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"/>
        <w:gridCol w:w="1910"/>
        <w:gridCol w:w="30"/>
        <w:gridCol w:w="1054"/>
        <w:gridCol w:w="5658"/>
        <w:gridCol w:w="3228"/>
        <w:gridCol w:w="1791"/>
        <w:gridCol w:w="9"/>
        <w:gridCol w:w="986"/>
      </w:tblGrid>
      <w:tr w:rsidR="00170466" w:rsidTr="00170466">
        <w:trPr>
          <w:trHeight w:hRule="exact" w:val="810"/>
        </w:trPr>
        <w:tc>
          <w:tcPr>
            <w:tcW w:w="705" w:type="pct"/>
            <w:gridSpan w:val="2"/>
          </w:tcPr>
          <w:p w:rsidR="00170466" w:rsidRDefault="00170466">
            <w:pPr>
              <w:pStyle w:val="TableParagraph"/>
              <w:spacing w:line="327" w:lineRule="exact"/>
              <w:rPr>
                <w:b/>
                <w:color w:val="C00000"/>
                <w:sz w:val="28"/>
              </w:rPr>
            </w:pPr>
          </w:p>
        </w:tc>
        <w:tc>
          <w:tcPr>
            <w:tcW w:w="10" w:type="pct"/>
          </w:tcPr>
          <w:p w:rsidR="00170466" w:rsidRDefault="00170466">
            <w:pPr>
              <w:pStyle w:val="TableParagraph"/>
              <w:spacing w:line="327" w:lineRule="exact"/>
              <w:rPr>
                <w:b/>
                <w:color w:val="C00000"/>
                <w:sz w:val="28"/>
              </w:rPr>
            </w:pPr>
          </w:p>
        </w:tc>
        <w:tc>
          <w:tcPr>
            <w:tcW w:w="4285" w:type="pct"/>
            <w:gridSpan w:val="6"/>
          </w:tcPr>
          <w:p w:rsidR="00170466" w:rsidRDefault="00170466">
            <w:pPr>
              <w:pStyle w:val="TableParagraph"/>
              <w:spacing w:line="327" w:lineRule="exact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Direction #4   Oversight and Accountability</w:t>
            </w:r>
          </w:p>
          <w:p w:rsidR="00170466" w:rsidRDefault="00170466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A commitment to improve oversight, accountability, sustainability, and transparency in all college processes.</w:t>
            </w:r>
          </w:p>
        </w:tc>
      </w:tr>
      <w:tr w:rsidR="00170466" w:rsidTr="00170466">
        <w:trPr>
          <w:trHeight w:hRule="exact" w:val="1136"/>
        </w:trPr>
        <w:tc>
          <w:tcPr>
            <w:tcW w:w="62" w:type="pct"/>
          </w:tcPr>
          <w:p w:rsidR="00170466" w:rsidRDefault="00170466"/>
        </w:tc>
        <w:tc>
          <w:tcPr>
            <w:tcW w:w="643" w:type="pct"/>
          </w:tcPr>
          <w:p w:rsidR="00170466" w:rsidRDefault="00170466">
            <w:pPr>
              <w:pStyle w:val="TableParagraph"/>
              <w:spacing w:before="8"/>
              <w:ind w:left="0"/>
              <w:rPr>
                <w:rFonts w:ascii="Times New Roman"/>
                <w:sz w:val="36"/>
              </w:rPr>
            </w:pPr>
          </w:p>
          <w:p w:rsidR="00170466" w:rsidRDefault="00170466">
            <w:pPr>
              <w:pStyle w:val="TableParagraph"/>
              <w:ind w:left="84" w:right="84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Initiatives</w:t>
            </w:r>
          </w:p>
        </w:tc>
        <w:tc>
          <w:tcPr>
            <w:tcW w:w="365" w:type="pct"/>
            <w:gridSpan w:val="2"/>
            <w:vAlign w:val="center"/>
          </w:tcPr>
          <w:p w:rsidR="00170466" w:rsidRDefault="00170466" w:rsidP="00170466">
            <w:pPr>
              <w:pStyle w:val="TableParagraph"/>
              <w:spacing w:before="5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b/>
                <w:color w:val="C00000"/>
                <w:sz w:val="24"/>
              </w:rPr>
              <w:t xml:space="preserve">Pathways Pillar                 </w:t>
            </w:r>
          </w:p>
        </w:tc>
        <w:tc>
          <w:tcPr>
            <w:tcW w:w="1905" w:type="pct"/>
            <w:vAlign w:val="center"/>
          </w:tcPr>
          <w:p w:rsidR="00170466" w:rsidRDefault="00170466" w:rsidP="00170466">
            <w:pPr>
              <w:pStyle w:val="TableParagraph"/>
              <w:spacing w:before="5"/>
              <w:ind w:left="0"/>
              <w:jc w:val="center"/>
              <w:rPr>
                <w:rFonts w:ascii="Times New Roman"/>
                <w:sz w:val="24"/>
              </w:rPr>
            </w:pPr>
          </w:p>
          <w:p w:rsidR="00170466" w:rsidRDefault="00170466" w:rsidP="00170466">
            <w:pPr>
              <w:pStyle w:val="TableParagraph"/>
              <w:spacing w:before="1"/>
              <w:ind w:right="244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How will you evaluate and document the initiative’s success?</w:t>
            </w:r>
          </w:p>
        </w:tc>
        <w:tc>
          <w:tcPr>
            <w:tcW w:w="1087" w:type="pct"/>
            <w:vAlign w:val="center"/>
          </w:tcPr>
          <w:p w:rsidR="00170466" w:rsidRDefault="00170466" w:rsidP="00170466">
            <w:pPr>
              <w:pStyle w:val="TableParagraph"/>
              <w:ind w:left="185" w:right="184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What committee/team would be responsible?</w:t>
            </w:r>
          </w:p>
          <w:p w:rsidR="00170466" w:rsidRDefault="00170466" w:rsidP="00170466">
            <w:pPr>
              <w:pStyle w:val="TableParagraph"/>
              <w:ind w:left="185" w:right="184"/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  <w:gridSpan w:val="2"/>
          </w:tcPr>
          <w:p w:rsidR="00170466" w:rsidRDefault="00170466" w:rsidP="00170466">
            <w:pPr>
              <w:pStyle w:val="TableParagraph"/>
              <w:ind w:left="185" w:right="184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Position</w:t>
            </w:r>
            <w:r>
              <w:rPr>
                <w:b/>
                <w:color w:val="C00000"/>
                <w:sz w:val="24"/>
              </w:rPr>
              <w:t xml:space="preserve"> responsible?</w:t>
            </w:r>
            <w:r>
              <w:rPr>
                <w:b/>
                <w:color w:val="C00000"/>
                <w:sz w:val="24"/>
              </w:rPr>
              <w:t xml:space="preserve"> </w:t>
            </w:r>
            <w:r w:rsidRPr="00170466">
              <w:rPr>
                <w:b/>
                <w:color w:val="C00000"/>
                <w:sz w:val="16"/>
                <w:szCs w:val="16"/>
              </w:rPr>
              <w:t xml:space="preserve">(The person closing the loop </w:t>
            </w:r>
            <w:r w:rsidRPr="00170466">
              <w:rPr>
                <w:b/>
                <w:color w:val="C00000"/>
                <w:sz w:val="16"/>
                <w:szCs w:val="16"/>
              </w:rPr>
              <w:t>&amp;</w:t>
            </w:r>
            <w:r w:rsidRPr="00170466">
              <w:rPr>
                <w:b/>
                <w:color w:val="C00000"/>
                <w:sz w:val="16"/>
                <w:szCs w:val="16"/>
              </w:rPr>
              <w:t>reporting out)</w:t>
            </w:r>
            <w:r>
              <w:rPr>
                <w:b/>
                <w:color w:val="C00000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(The person closing the loop and reporting out)</w:t>
            </w:r>
            <w:r>
              <w:rPr>
                <w:b/>
                <w:color w:val="C00000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(The person closing the loop and reporting out)</w:t>
            </w:r>
          </w:p>
          <w:p w:rsidR="00170466" w:rsidRDefault="00170466">
            <w:pPr>
              <w:pStyle w:val="TableParagraph"/>
              <w:spacing w:before="8"/>
              <w:ind w:left="0"/>
              <w:rPr>
                <w:rFonts w:ascii="Times New Roman"/>
                <w:sz w:val="36"/>
              </w:rPr>
            </w:pPr>
          </w:p>
        </w:tc>
        <w:tc>
          <w:tcPr>
            <w:tcW w:w="332" w:type="pct"/>
          </w:tcPr>
          <w:p w:rsidR="00170466" w:rsidRDefault="00170466">
            <w:pPr>
              <w:pStyle w:val="TableParagraph"/>
              <w:spacing w:before="8"/>
              <w:ind w:left="0"/>
              <w:rPr>
                <w:rFonts w:ascii="Times New Roman"/>
                <w:sz w:val="36"/>
              </w:rPr>
            </w:pPr>
          </w:p>
          <w:p w:rsidR="00170466" w:rsidRPr="00170466" w:rsidRDefault="00170466">
            <w:pPr>
              <w:pStyle w:val="TableParagraph"/>
              <w:ind w:left="164"/>
              <w:rPr>
                <w:b/>
              </w:rPr>
            </w:pPr>
            <w:r w:rsidRPr="00170466">
              <w:rPr>
                <w:b/>
                <w:color w:val="C00000"/>
              </w:rPr>
              <w:t>Scoring</w:t>
            </w:r>
          </w:p>
        </w:tc>
      </w:tr>
      <w:tr w:rsidR="00170466" w:rsidTr="00170466">
        <w:trPr>
          <w:trHeight w:hRule="exact" w:val="340"/>
        </w:trPr>
        <w:tc>
          <w:tcPr>
            <w:tcW w:w="705" w:type="pct"/>
            <w:gridSpan w:val="2"/>
            <w:shd w:val="clear" w:color="auto" w:fill="D99594"/>
          </w:tcPr>
          <w:p w:rsidR="00170466" w:rsidRDefault="00170466">
            <w:pPr>
              <w:pStyle w:val="TableParagraph"/>
              <w:spacing w:before="35"/>
              <w:ind w:left="5511" w:right="5512"/>
              <w:jc w:val="center"/>
              <w:rPr>
                <w:b/>
              </w:rPr>
            </w:pPr>
          </w:p>
        </w:tc>
        <w:tc>
          <w:tcPr>
            <w:tcW w:w="10" w:type="pct"/>
            <w:shd w:val="clear" w:color="auto" w:fill="D99594"/>
          </w:tcPr>
          <w:p w:rsidR="00170466" w:rsidRDefault="00170466">
            <w:pPr>
              <w:pStyle w:val="TableParagraph"/>
              <w:spacing w:before="35"/>
              <w:ind w:left="5511" w:right="5512"/>
              <w:jc w:val="center"/>
              <w:rPr>
                <w:b/>
              </w:rPr>
            </w:pPr>
          </w:p>
        </w:tc>
        <w:tc>
          <w:tcPr>
            <w:tcW w:w="4285" w:type="pct"/>
            <w:gridSpan w:val="6"/>
            <w:shd w:val="clear" w:color="auto" w:fill="D99594"/>
          </w:tcPr>
          <w:p w:rsidR="00170466" w:rsidRDefault="00170466" w:rsidP="00170466">
            <w:pPr>
              <w:pStyle w:val="TableParagraph"/>
              <w:spacing w:before="35"/>
              <w:ind w:right="5512"/>
              <w:rPr>
                <w:b/>
              </w:rPr>
            </w:pPr>
            <w:r>
              <w:rPr>
                <w:b/>
              </w:rPr>
              <w:t>Student Learning and Achievement</w:t>
            </w:r>
          </w:p>
        </w:tc>
      </w:tr>
      <w:tr w:rsidR="00170466" w:rsidTr="00170466">
        <w:trPr>
          <w:trHeight w:hRule="exact" w:val="947"/>
        </w:trPr>
        <w:tc>
          <w:tcPr>
            <w:tcW w:w="62" w:type="pct"/>
          </w:tcPr>
          <w:p w:rsidR="00170466" w:rsidRDefault="00170466">
            <w:pPr>
              <w:pStyle w:val="TableParagraph"/>
              <w:spacing w:line="234" w:lineRule="exact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3" w:type="pct"/>
          </w:tcPr>
          <w:p w:rsidR="00170466" w:rsidRDefault="00170466">
            <w:pPr>
              <w:pStyle w:val="TableParagraph"/>
              <w:spacing w:line="234" w:lineRule="exact"/>
              <w:ind w:left="84" w:right="10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Monitor student learning </w:t>
            </w:r>
          </w:p>
          <w:p w:rsidR="00170466" w:rsidRDefault="00170466">
            <w:pPr>
              <w:pStyle w:val="TableParagraph"/>
              <w:spacing w:line="234" w:lineRule="exact"/>
              <w:ind w:left="84" w:right="104"/>
              <w:jc w:val="center"/>
              <w:rPr>
                <w:sz w:val="20"/>
              </w:rPr>
            </w:pPr>
          </w:p>
        </w:tc>
        <w:tc>
          <w:tcPr>
            <w:tcW w:w="365" w:type="pct"/>
            <w:gridSpan w:val="2"/>
          </w:tcPr>
          <w:p w:rsidR="00170466" w:rsidRDefault="00170466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170466" w:rsidRDefault="00170466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Ensure</w:t>
            </w:r>
          </w:p>
          <w:p w:rsidR="00170466" w:rsidRDefault="00170466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Learning</w:t>
            </w:r>
          </w:p>
        </w:tc>
        <w:tc>
          <w:tcPr>
            <w:tcW w:w="1905" w:type="pct"/>
          </w:tcPr>
          <w:p w:rsidR="00170466" w:rsidRDefault="00170466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Positive impact of SLOs/PLOs/ILOs on student learning; Renegade Scorecard shows progress; annual ACCJC report is relatively easy to fill out.</w:t>
            </w:r>
          </w:p>
        </w:tc>
        <w:tc>
          <w:tcPr>
            <w:tcW w:w="1087" w:type="pct"/>
          </w:tcPr>
          <w:p w:rsidR="00170466" w:rsidRDefault="00170466" w:rsidP="00170466">
            <w:pPr>
              <w:pStyle w:val="TableParagraph"/>
              <w:ind w:right="1819"/>
              <w:rPr>
                <w:sz w:val="20"/>
              </w:rPr>
            </w:pPr>
            <w:r>
              <w:rPr>
                <w:sz w:val="20"/>
              </w:rPr>
              <w:t xml:space="preserve">Assessment Committee, </w:t>
            </w:r>
          </w:p>
        </w:tc>
        <w:tc>
          <w:tcPr>
            <w:tcW w:w="603" w:type="pct"/>
          </w:tcPr>
          <w:p w:rsidR="00170466" w:rsidRPr="00170466" w:rsidRDefault="00170466">
            <w:pPr>
              <w:rPr>
                <w:sz w:val="20"/>
                <w:szCs w:val="20"/>
              </w:rPr>
            </w:pPr>
            <w:r w:rsidRPr="00170466">
              <w:rPr>
                <w:sz w:val="20"/>
                <w:szCs w:val="20"/>
              </w:rPr>
              <w:t>Admin co-chair</w:t>
            </w:r>
          </w:p>
        </w:tc>
        <w:tc>
          <w:tcPr>
            <w:tcW w:w="335" w:type="pct"/>
            <w:gridSpan w:val="2"/>
          </w:tcPr>
          <w:p w:rsidR="00170466" w:rsidRDefault="00170466"/>
        </w:tc>
      </w:tr>
      <w:tr w:rsidR="00170466" w:rsidTr="00170466">
        <w:trPr>
          <w:trHeight w:hRule="exact" w:val="947"/>
        </w:trPr>
        <w:tc>
          <w:tcPr>
            <w:tcW w:w="62" w:type="pct"/>
          </w:tcPr>
          <w:p w:rsidR="00170466" w:rsidRDefault="00170466">
            <w:pPr>
              <w:pStyle w:val="TableParagraph"/>
              <w:spacing w:line="234" w:lineRule="exact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3" w:type="pct"/>
          </w:tcPr>
          <w:p w:rsidR="00170466" w:rsidRDefault="00170466">
            <w:pPr>
              <w:pStyle w:val="TableParagraph"/>
              <w:spacing w:line="234" w:lineRule="exact"/>
              <w:ind w:left="84" w:right="104"/>
              <w:jc w:val="center"/>
              <w:rPr>
                <w:sz w:val="20"/>
              </w:rPr>
            </w:pPr>
            <w:r>
              <w:rPr>
                <w:sz w:val="20"/>
              </w:rPr>
              <w:t>Monitor student achievement.</w:t>
            </w:r>
          </w:p>
        </w:tc>
        <w:tc>
          <w:tcPr>
            <w:tcW w:w="365" w:type="pct"/>
            <w:gridSpan w:val="2"/>
          </w:tcPr>
          <w:p w:rsidR="00170466" w:rsidRDefault="00170466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170466" w:rsidRDefault="00170466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Stay on the path</w:t>
            </w:r>
          </w:p>
        </w:tc>
        <w:tc>
          <w:tcPr>
            <w:tcW w:w="1905" w:type="pct"/>
          </w:tcPr>
          <w:p w:rsidR="00170466" w:rsidRDefault="00170466" w:rsidP="00170466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Show improvement of completion of  1</w:t>
            </w:r>
            <w:r w:rsidRPr="00170466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year milestone (enrolled in 15 units per semester) </w:t>
            </w:r>
          </w:p>
        </w:tc>
        <w:tc>
          <w:tcPr>
            <w:tcW w:w="1087" w:type="pct"/>
          </w:tcPr>
          <w:p w:rsidR="00170466" w:rsidRDefault="00170466" w:rsidP="00170466">
            <w:pPr>
              <w:pStyle w:val="TableParagraph"/>
              <w:ind w:left="101" w:right="288"/>
              <w:rPr>
                <w:sz w:val="20"/>
              </w:rPr>
            </w:pPr>
            <w:r>
              <w:rPr>
                <w:sz w:val="20"/>
              </w:rPr>
              <w:t xml:space="preserve">Completion Coaching Teams      </w:t>
            </w:r>
            <w:r>
              <w:rPr>
                <w:sz w:val="20"/>
              </w:rPr>
              <w:t xml:space="preserve">Institutional </w:t>
            </w:r>
            <w:r>
              <w:rPr>
                <w:sz w:val="20"/>
              </w:rPr>
              <w:t>Rese</w:t>
            </w:r>
            <w:r>
              <w:rPr>
                <w:sz w:val="20"/>
              </w:rPr>
              <w:t>arch</w:t>
            </w:r>
          </w:p>
        </w:tc>
        <w:tc>
          <w:tcPr>
            <w:tcW w:w="603" w:type="pct"/>
          </w:tcPr>
          <w:p w:rsidR="00170466" w:rsidRPr="00170466" w:rsidRDefault="00170466">
            <w:pPr>
              <w:rPr>
                <w:sz w:val="20"/>
                <w:szCs w:val="20"/>
              </w:rPr>
            </w:pPr>
            <w:r w:rsidRPr="00170466">
              <w:rPr>
                <w:sz w:val="20"/>
                <w:szCs w:val="20"/>
              </w:rPr>
              <w:t>Dean of Effectiveness</w:t>
            </w:r>
          </w:p>
        </w:tc>
        <w:tc>
          <w:tcPr>
            <w:tcW w:w="335" w:type="pct"/>
            <w:gridSpan w:val="2"/>
          </w:tcPr>
          <w:p w:rsidR="00170466" w:rsidRDefault="00170466"/>
        </w:tc>
      </w:tr>
      <w:tr w:rsidR="00170466" w:rsidTr="00170466">
        <w:trPr>
          <w:trHeight w:hRule="exact" w:val="340"/>
        </w:trPr>
        <w:tc>
          <w:tcPr>
            <w:tcW w:w="705" w:type="pct"/>
            <w:gridSpan w:val="2"/>
            <w:shd w:val="clear" w:color="auto" w:fill="D99594"/>
          </w:tcPr>
          <w:p w:rsidR="00170466" w:rsidRDefault="00170466">
            <w:pPr>
              <w:pStyle w:val="TableParagraph"/>
              <w:spacing w:before="35"/>
              <w:ind w:left="4304"/>
              <w:rPr>
                <w:b/>
              </w:rPr>
            </w:pPr>
          </w:p>
        </w:tc>
        <w:tc>
          <w:tcPr>
            <w:tcW w:w="10" w:type="pct"/>
            <w:shd w:val="clear" w:color="auto" w:fill="D99594"/>
          </w:tcPr>
          <w:p w:rsidR="00170466" w:rsidRDefault="00170466">
            <w:pPr>
              <w:pStyle w:val="TableParagraph"/>
              <w:spacing w:before="35"/>
              <w:ind w:left="4304"/>
              <w:rPr>
                <w:b/>
              </w:rPr>
            </w:pPr>
          </w:p>
        </w:tc>
        <w:tc>
          <w:tcPr>
            <w:tcW w:w="4285" w:type="pct"/>
            <w:gridSpan w:val="6"/>
            <w:shd w:val="clear" w:color="auto" w:fill="D99594"/>
          </w:tcPr>
          <w:p w:rsidR="00170466" w:rsidRDefault="00170466" w:rsidP="00170466">
            <w:pPr>
              <w:pStyle w:val="TableParagraph"/>
              <w:spacing w:before="35"/>
              <w:rPr>
                <w:b/>
              </w:rPr>
            </w:pPr>
            <w:r>
              <w:rPr>
                <w:b/>
              </w:rPr>
              <w:t>Program Review, Resource Allocation, and Closing the Loop</w:t>
            </w:r>
          </w:p>
        </w:tc>
      </w:tr>
      <w:tr w:rsidR="00170466" w:rsidTr="00170466">
        <w:trPr>
          <w:trHeight w:hRule="exact" w:val="2233"/>
        </w:trPr>
        <w:tc>
          <w:tcPr>
            <w:tcW w:w="62" w:type="pct"/>
          </w:tcPr>
          <w:p w:rsidR="00170466" w:rsidRDefault="00170466">
            <w:pPr>
              <w:pStyle w:val="TableParagraph"/>
              <w:spacing w:line="234" w:lineRule="exact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3" w:type="pct"/>
          </w:tcPr>
          <w:p w:rsidR="00170466" w:rsidRDefault="00170466" w:rsidP="00170466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Implement control number system to follow a budget request through the program review process to monitor links between requests and allocations.</w:t>
            </w:r>
          </w:p>
        </w:tc>
        <w:tc>
          <w:tcPr>
            <w:tcW w:w="365" w:type="pct"/>
            <w:gridSpan w:val="2"/>
          </w:tcPr>
          <w:p w:rsidR="00170466" w:rsidRDefault="00170466">
            <w:pPr>
              <w:pStyle w:val="TableParagraph"/>
              <w:ind w:right="261"/>
              <w:rPr>
                <w:sz w:val="20"/>
              </w:rPr>
            </w:pPr>
          </w:p>
        </w:tc>
        <w:tc>
          <w:tcPr>
            <w:tcW w:w="1905" w:type="pct"/>
          </w:tcPr>
          <w:p w:rsidR="00170466" w:rsidRDefault="00170466">
            <w:pPr>
              <w:pStyle w:val="TableParagraph"/>
              <w:ind w:right="261"/>
              <w:rPr>
                <w:sz w:val="20"/>
              </w:rPr>
            </w:pPr>
            <w:r>
              <w:rPr>
                <w:sz w:val="20"/>
              </w:rPr>
              <w:t>Document control number system; Budget Committee minutes; Program Review reports</w:t>
            </w:r>
          </w:p>
        </w:tc>
        <w:tc>
          <w:tcPr>
            <w:tcW w:w="1087" w:type="pct"/>
          </w:tcPr>
          <w:p w:rsidR="00170466" w:rsidRDefault="00170466">
            <w:pPr>
              <w:pStyle w:val="TableParagraph"/>
              <w:ind w:right="211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Budget Committee,</w:t>
            </w:r>
          </w:p>
          <w:p w:rsidR="00170466" w:rsidRDefault="00170466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Program Review Committee</w:t>
            </w:r>
          </w:p>
        </w:tc>
        <w:tc>
          <w:tcPr>
            <w:tcW w:w="603" w:type="pct"/>
          </w:tcPr>
          <w:p w:rsidR="00170466" w:rsidRDefault="00170466">
            <w:r>
              <w:rPr>
                <w:sz w:val="20"/>
              </w:rPr>
              <w:t>VP of Finance and Administrative Services</w:t>
            </w:r>
          </w:p>
        </w:tc>
        <w:tc>
          <w:tcPr>
            <w:tcW w:w="335" w:type="pct"/>
            <w:gridSpan w:val="2"/>
          </w:tcPr>
          <w:p w:rsidR="00170466" w:rsidRDefault="00170466"/>
        </w:tc>
      </w:tr>
      <w:tr w:rsidR="00170466" w:rsidTr="00170466">
        <w:trPr>
          <w:trHeight w:hRule="exact" w:val="1063"/>
        </w:trPr>
        <w:tc>
          <w:tcPr>
            <w:tcW w:w="62" w:type="pct"/>
          </w:tcPr>
          <w:p w:rsidR="00170466" w:rsidRDefault="00170466">
            <w:pPr>
              <w:pStyle w:val="TableParagraph"/>
              <w:spacing w:line="234" w:lineRule="exact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3" w:type="pct"/>
          </w:tcPr>
          <w:p w:rsidR="00170466" w:rsidRDefault="00170466">
            <w:pPr>
              <w:pStyle w:val="TableParagraph"/>
              <w:ind w:right="124"/>
              <w:rPr>
                <w:sz w:val="20"/>
              </w:rPr>
            </w:pPr>
          </w:p>
        </w:tc>
        <w:tc>
          <w:tcPr>
            <w:tcW w:w="365" w:type="pct"/>
            <w:gridSpan w:val="2"/>
          </w:tcPr>
          <w:p w:rsidR="00170466" w:rsidRDefault="00170466">
            <w:pPr>
              <w:pStyle w:val="TableParagraph"/>
              <w:ind w:right="176"/>
              <w:rPr>
                <w:sz w:val="20"/>
              </w:rPr>
            </w:pPr>
          </w:p>
        </w:tc>
        <w:tc>
          <w:tcPr>
            <w:tcW w:w="1905" w:type="pct"/>
          </w:tcPr>
          <w:p w:rsidR="00170466" w:rsidRDefault="00170466">
            <w:pPr>
              <w:pStyle w:val="TableParagraph"/>
              <w:ind w:right="176"/>
              <w:rPr>
                <w:sz w:val="20"/>
              </w:rPr>
            </w:pPr>
          </w:p>
        </w:tc>
        <w:tc>
          <w:tcPr>
            <w:tcW w:w="1087" w:type="pct"/>
          </w:tcPr>
          <w:p w:rsidR="00170466" w:rsidRDefault="00170466">
            <w:pPr>
              <w:pStyle w:val="TableParagraph"/>
              <w:spacing w:line="234" w:lineRule="exact"/>
              <w:rPr>
                <w:sz w:val="20"/>
              </w:rPr>
            </w:pPr>
          </w:p>
        </w:tc>
        <w:tc>
          <w:tcPr>
            <w:tcW w:w="603" w:type="pct"/>
          </w:tcPr>
          <w:p w:rsidR="00170466" w:rsidRDefault="00170466"/>
        </w:tc>
        <w:tc>
          <w:tcPr>
            <w:tcW w:w="335" w:type="pct"/>
            <w:gridSpan w:val="2"/>
          </w:tcPr>
          <w:p w:rsidR="00170466" w:rsidRDefault="00170466"/>
        </w:tc>
      </w:tr>
      <w:tr w:rsidR="00170466" w:rsidTr="00170466">
        <w:trPr>
          <w:trHeight w:hRule="exact" w:val="1781"/>
        </w:trPr>
        <w:tc>
          <w:tcPr>
            <w:tcW w:w="62" w:type="pct"/>
          </w:tcPr>
          <w:p w:rsidR="00170466" w:rsidRDefault="00170466">
            <w:pPr>
              <w:pStyle w:val="TableParagraph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3" w:type="pct"/>
          </w:tcPr>
          <w:p w:rsidR="00170466" w:rsidRDefault="00170466">
            <w:pPr>
              <w:pStyle w:val="TableParagraph"/>
              <w:ind w:right="264"/>
              <w:rPr>
                <w:sz w:val="20"/>
              </w:rPr>
            </w:pPr>
          </w:p>
        </w:tc>
        <w:tc>
          <w:tcPr>
            <w:tcW w:w="365" w:type="pct"/>
            <w:gridSpan w:val="2"/>
          </w:tcPr>
          <w:p w:rsidR="00170466" w:rsidRDefault="00170466">
            <w:pPr>
              <w:pStyle w:val="TableParagraph"/>
              <w:ind w:right="383"/>
              <w:rPr>
                <w:sz w:val="20"/>
              </w:rPr>
            </w:pPr>
          </w:p>
        </w:tc>
        <w:tc>
          <w:tcPr>
            <w:tcW w:w="1905" w:type="pct"/>
          </w:tcPr>
          <w:p w:rsidR="00170466" w:rsidRDefault="00170466">
            <w:pPr>
              <w:pStyle w:val="TableParagraph"/>
              <w:ind w:right="617"/>
              <w:jc w:val="both"/>
              <w:rPr>
                <w:sz w:val="20"/>
              </w:rPr>
            </w:pPr>
          </w:p>
        </w:tc>
        <w:tc>
          <w:tcPr>
            <w:tcW w:w="1087" w:type="pct"/>
          </w:tcPr>
          <w:p w:rsidR="00170466" w:rsidRDefault="00170466">
            <w:pPr>
              <w:pStyle w:val="TableParagraph"/>
              <w:ind w:right="211"/>
              <w:rPr>
                <w:sz w:val="20"/>
              </w:rPr>
            </w:pPr>
          </w:p>
        </w:tc>
        <w:tc>
          <w:tcPr>
            <w:tcW w:w="603" w:type="pct"/>
          </w:tcPr>
          <w:p w:rsidR="00170466" w:rsidRDefault="00170466"/>
        </w:tc>
        <w:tc>
          <w:tcPr>
            <w:tcW w:w="335" w:type="pct"/>
            <w:gridSpan w:val="2"/>
          </w:tcPr>
          <w:p w:rsidR="00170466" w:rsidRDefault="00170466"/>
        </w:tc>
      </w:tr>
      <w:tr w:rsidR="00170466" w:rsidTr="00170466">
        <w:trPr>
          <w:trHeight w:hRule="exact" w:val="955"/>
        </w:trPr>
        <w:tc>
          <w:tcPr>
            <w:tcW w:w="62" w:type="pct"/>
          </w:tcPr>
          <w:p w:rsidR="00170466" w:rsidRDefault="00170466">
            <w:pPr>
              <w:pStyle w:val="TableParagraph"/>
              <w:spacing w:line="234" w:lineRule="exact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3" w:type="pct"/>
          </w:tcPr>
          <w:p w:rsidR="00170466" w:rsidRDefault="00170466">
            <w:pPr>
              <w:pStyle w:val="TableParagraph"/>
              <w:ind w:right="259"/>
              <w:jc w:val="both"/>
              <w:rPr>
                <w:sz w:val="20"/>
              </w:rPr>
            </w:pPr>
            <w:r>
              <w:rPr>
                <w:sz w:val="20"/>
              </w:rPr>
              <w:t>Include opportunity in the budget process for the campus community to look at the budget before it goes to the District Office.</w:t>
            </w:r>
          </w:p>
        </w:tc>
        <w:tc>
          <w:tcPr>
            <w:tcW w:w="365" w:type="pct"/>
            <w:gridSpan w:val="2"/>
          </w:tcPr>
          <w:p w:rsidR="00170466" w:rsidRDefault="00170466">
            <w:pPr>
              <w:pStyle w:val="TableParagraph"/>
              <w:ind w:right="1140"/>
              <w:rPr>
                <w:sz w:val="20"/>
              </w:rPr>
            </w:pPr>
          </w:p>
        </w:tc>
        <w:tc>
          <w:tcPr>
            <w:tcW w:w="1905" w:type="pct"/>
          </w:tcPr>
          <w:p w:rsidR="00170466" w:rsidRDefault="00170466">
            <w:pPr>
              <w:pStyle w:val="TableParagraph"/>
              <w:ind w:right="1140"/>
              <w:rPr>
                <w:sz w:val="20"/>
              </w:rPr>
            </w:pPr>
            <w:r>
              <w:rPr>
                <w:sz w:val="20"/>
              </w:rPr>
              <w:t>Posted Budget Committee minutes. Publicized climate/trust surveys. Posted College Council minutes.</w:t>
            </w:r>
          </w:p>
        </w:tc>
        <w:tc>
          <w:tcPr>
            <w:tcW w:w="1087" w:type="pct"/>
          </w:tcPr>
          <w:p w:rsidR="00170466" w:rsidRDefault="00170466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VP of Finance and Administrative Services, Budget Committee</w:t>
            </w:r>
          </w:p>
        </w:tc>
        <w:tc>
          <w:tcPr>
            <w:tcW w:w="603" w:type="pct"/>
          </w:tcPr>
          <w:p w:rsidR="00170466" w:rsidRDefault="00170466"/>
        </w:tc>
        <w:tc>
          <w:tcPr>
            <w:tcW w:w="335" w:type="pct"/>
            <w:gridSpan w:val="2"/>
          </w:tcPr>
          <w:p w:rsidR="00170466" w:rsidRDefault="00170466"/>
        </w:tc>
      </w:tr>
      <w:tr w:rsidR="00170466" w:rsidTr="00170466">
        <w:trPr>
          <w:trHeight w:hRule="exact" w:val="670"/>
        </w:trPr>
        <w:tc>
          <w:tcPr>
            <w:tcW w:w="62" w:type="pct"/>
          </w:tcPr>
          <w:p w:rsidR="00170466" w:rsidRDefault="00170466">
            <w:pPr>
              <w:pStyle w:val="TableParagraph"/>
              <w:spacing w:line="234" w:lineRule="exact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3" w:type="pct"/>
          </w:tcPr>
          <w:p w:rsidR="00170466" w:rsidRDefault="00170466">
            <w:pPr>
              <w:pStyle w:val="TableParagraph"/>
              <w:ind w:right="702"/>
              <w:rPr>
                <w:sz w:val="20"/>
              </w:rPr>
            </w:pPr>
            <w:r>
              <w:rPr>
                <w:sz w:val="20"/>
              </w:rPr>
              <w:t>Hold campus wide presentation on tentative budget (with details).</w:t>
            </w:r>
          </w:p>
        </w:tc>
        <w:tc>
          <w:tcPr>
            <w:tcW w:w="365" w:type="pct"/>
            <w:gridSpan w:val="2"/>
          </w:tcPr>
          <w:p w:rsidR="00170466" w:rsidRDefault="00170466">
            <w:pPr>
              <w:pStyle w:val="TableParagraph"/>
              <w:ind w:right="344"/>
              <w:rPr>
                <w:sz w:val="20"/>
              </w:rPr>
            </w:pPr>
          </w:p>
        </w:tc>
        <w:tc>
          <w:tcPr>
            <w:tcW w:w="1905" w:type="pct"/>
          </w:tcPr>
          <w:p w:rsidR="00170466" w:rsidRDefault="00170466"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Presentation and tentative budget posted on the Budget Committee page.</w:t>
            </w:r>
          </w:p>
        </w:tc>
        <w:tc>
          <w:tcPr>
            <w:tcW w:w="1087" w:type="pct"/>
          </w:tcPr>
          <w:p w:rsidR="00170466" w:rsidRDefault="00170466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VP of Finance and Administrative Services, Budget Committee</w:t>
            </w:r>
          </w:p>
        </w:tc>
        <w:tc>
          <w:tcPr>
            <w:tcW w:w="603" w:type="pct"/>
          </w:tcPr>
          <w:p w:rsidR="00170466" w:rsidRDefault="00170466"/>
        </w:tc>
        <w:tc>
          <w:tcPr>
            <w:tcW w:w="335" w:type="pct"/>
            <w:gridSpan w:val="2"/>
          </w:tcPr>
          <w:p w:rsidR="00170466" w:rsidRDefault="00170466"/>
        </w:tc>
      </w:tr>
      <w:tr w:rsidR="00170466" w:rsidTr="00170466">
        <w:trPr>
          <w:trHeight w:hRule="exact" w:val="720"/>
        </w:trPr>
        <w:tc>
          <w:tcPr>
            <w:tcW w:w="62" w:type="pct"/>
          </w:tcPr>
          <w:p w:rsidR="00170466" w:rsidRDefault="00170466">
            <w:pPr>
              <w:pStyle w:val="TableParagraph"/>
              <w:spacing w:line="234" w:lineRule="exact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643" w:type="pct"/>
          </w:tcPr>
          <w:p w:rsidR="00170466" w:rsidRDefault="00170466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Continue to improve rigor and focus of the Closing the Loop document.</w:t>
            </w:r>
          </w:p>
        </w:tc>
        <w:tc>
          <w:tcPr>
            <w:tcW w:w="365" w:type="pct"/>
            <w:gridSpan w:val="2"/>
          </w:tcPr>
          <w:p w:rsidR="00170466" w:rsidRDefault="00170466">
            <w:pPr>
              <w:pStyle w:val="TableParagraph"/>
              <w:spacing w:line="234" w:lineRule="exact"/>
              <w:rPr>
                <w:sz w:val="20"/>
              </w:rPr>
            </w:pPr>
          </w:p>
        </w:tc>
        <w:tc>
          <w:tcPr>
            <w:tcW w:w="1905" w:type="pct"/>
          </w:tcPr>
          <w:p w:rsidR="00170466" w:rsidRDefault="00170466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Annual Closing the Loop document.</w:t>
            </w:r>
          </w:p>
        </w:tc>
        <w:tc>
          <w:tcPr>
            <w:tcW w:w="1087" w:type="pct"/>
          </w:tcPr>
          <w:p w:rsidR="00170466" w:rsidRDefault="00170466">
            <w:pPr>
              <w:pStyle w:val="TableParagraph"/>
              <w:ind w:right="2160"/>
              <w:rPr>
                <w:sz w:val="20"/>
              </w:rPr>
            </w:pPr>
            <w:r>
              <w:rPr>
                <w:sz w:val="20"/>
              </w:rPr>
              <w:t>President’s Cabinet, College Council</w:t>
            </w:r>
          </w:p>
        </w:tc>
        <w:tc>
          <w:tcPr>
            <w:tcW w:w="603" w:type="pct"/>
          </w:tcPr>
          <w:p w:rsidR="00170466" w:rsidRDefault="00170466"/>
        </w:tc>
        <w:tc>
          <w:tcPr>
            <w:tcW w:w="335" w:type="pct"/>
            <w:gridSpan w:val="2"/>
          </w:tcPr>
          <w:p w:rsidR="00170466" w:rsidRDefault="00170466"/>
        </w:tc>
      </w:tr>
    </w:tbl>
    <w:p w:rsidR="00DF2698" w:rsidRDefault="00DF2698">
      <w:pPr>
        <w:pStyle w:val="BodyText"/>
        <w:rPr>
          <w:rFonts w:ascii="Times New Roman"/>
          <w:i w:val="0"/>
          <w:sz w:val="20"/>
        </w:rPr>
      </w:pPr>
    </w:p>
    <w:p w:rsidR="00DF2698" w:rsidRDefault="00DF2698">
      <w:pPr>
        <w:pStyle w:val="BodyText"/>
        <w:rPr>
          <w:rFonts w:ascii="Times New Roman"/>
          <w:i w:val="0"/>
          <w:sz w:val="20"/>
        </w:rPr>
      </w:pPr>
    </w:p>
    <w:p w:rsidR="00DF2698" w:rsidRDefault="00DF2698">
      <w:pPr>
        <w:pStyle w:val="BodyText"/>
        <w:spacing w:before="7"/>
        <w:rPr>
          <w:rFonts w:ascii="Times New Roman"/>
          <w:i w:val="0"/>
          <w:sz w:val="20"/>
        </w:rPr>
      </w:pPr>
    </w:p>
    <w:p w:rsidR="00DF2698" w:rsidRDefault="00170466">
      <w:pPr>
        <w:pStyle w:val="BodyText"/>
        <w:tabs>
          <w:tab w:val="left" w:pos="13763"/>
        </w:tabs>
        <w:spacing w:before="99"/>
        <w:ind w:left="220"/>
        <w:rPr>
          <w:i w:val="0"/>
        </w:rPr>
      </w:pPr>
      <w:r>
        <w:t>2015-2018 Strategic Directions for</w:t>
      </w:r>
      <w:r>
        <w:rPr>
          <w:spacing w:val="-11"/>
        </w:rPr>
        <w:t xml:space="preserve"> </w:t>
      </w:r>
      <w:r>
        <w:t>Bakersfield</w:t>
      </w:r>
      <w:r>
        <w:rPr>
          <w:spacing w:val="-4"/>
        </w:rPr>
        <w:t xml:space="preserve"> </w:t>
      </w:r>
      <w:r>
        <w:t>College</w:t>
      </w:r>
      <w:r>
        <w:tab/>
      </w:r>
      <w:r>
        <w:rPr>
          <w:i w:val="0"/>
        </w:rPr>
        <w:t>Page |</w:t>
      </w:r>
      <w:r>
        <w:rPr>
          <w:i w:val="0"/>
          <w:spacing w:val="-6"/>
        </w:rPr>
        <w:t xml:space="preserve"> </w:t>
      </w:r>
      <w:r>
        <w:rPr>
          <w:i w:val="0"/>
        </w:rPr>
        <w:t>21</w:t>
      </w:r>
    </w:p>
    <w:sectPr w:rsidR="00DF2698">
      <w:type w:val="continuous"/>
      <w:pgSz w:w="15840" w:h="12240" w:orient="landscape"/>
      <w:pgMar w:top="720" w:right="50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AyIzU2MjU0MDSyUdpeDU4uLM/DyQAsNaALlwr0QsAAAA"/>
  </w:docVars>
  <w:rsids>
    <w:rsidRoot w:val="00DF2698"/>
    <w:rsid w:val="00170466"/>
    <w:rsid w:val="00D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2015-2018 Strategic Directions for Bakersfield College</vt:lpstr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2015-2018 Strategic Directions for Bakersfield College</dc:title>
  <dc:creator>Kate</dc:creator>
  <cp:lastModifiedBy>Teresa McAllister</cp:lastModifiedBy>
  <cp:revision>2</cp:revision>
  <dcterms:created xsi:type="dcterms:W3CDTF">2017-10-12T06:52:00Z</dcterms:created>
  <dcterms:modified xsi:type="dcterms:W3CDTF">2017-10-12T06:52:00Z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2017-10-12T00:00:00Z</vt:filetime>
  </property>
</Properties>
</file>