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630" w:tblpY="-1710"/>
        <w:tblW w:w="12590" w:type="dxa"/>
        <w:tblLayout w:type="fixed"/>
        <w:tblLook w:val="04A0" w:firstRow="1" w:lastRow="0" w:firstColumn="1" w:lastColumn="0" w:noHBand="0" w:noVBand="1"/>
      </w:tblPr>
      <w:tblGrid>
        <w:gridCol w:w="699"/>
        <w:gridCol w:w="1456"/>
        <w:gridCol w:w="3060"/>
        <w:gridCol w:w="3600"/>
        <w:gridCol w:w="3775"/>
      </w:tblGrid>
      <w:tr w:rsidR="001B2E42" w:rsidRPr="00371F84" w:rsidTr="000E338B">
        <w:tc>
          <w:tcPr>
            <w:tcW w:w="12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0A8F" w:rsidRPr="00371F84" w:rsidRDefault="00390A8F" w:rsidP="004B08D3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 </w:t>
            </w:r>
          </w:p>
        </w:tc>
      </w:tr>
      <w:tr w:rsidR="00C669BF" w:rsidRPr="00371F84" w:rsidTr="000E338B">
        <w:tc>
          <w:tcPr>
            <w:tcW w:w="125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69BF" w:rsidRPr="00284565" w:rsidRDefault="00C669BF" w:rsidP="0035353D">
            <w:pPr>
              <w:tabs>
                <w:tab w:val="center" w:pos="6729"/>
                <w:tab w:val="left" w:pos="10845"/>
                <w:tab w:val="left" w:pos="11805"/>
              </w:tabs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32"/>
                <w:szCs w:val="32"/>
              </w:rPr>
            </w:pPr>
            <w:r w:rsidRPr="00284565">
              <w:rPr>
                <w:rFonts w:asciiTheme="majorHAnsi" w:hAnsiTheme="majorHAnsi"/>
                <w:b/>
                <w:color w:val="C00000"/>
                <w:sz w:val="32"/>
                <w:szCs w:val="32"/>
              </w:rPr>
              <w:t>Self Evaluation Team 2018</w:t>
            </w:r>
          </w:p>
          <w:p w:rsidR="00C669BF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Co-Chairs:  </w:t>
            </w:r>
            <w:r w:rsidR="00E33AE8" w:rsidRPr="00371F84">
              <w:rPr>
                <w:rFonts w:asciiTheme="majorHAnsi" w:hAnsiTheme="majorHAnsi"/>
              </w:rPr>
              <w:t>Liz Rozell and Jason Stratton</w:t>
            </w:r>
            <w:r w:rsidRPr="00371F84">
              <w:rPr>
                <w:rFonts w:asciiTheme="majorHAnsi" w:hAnsiTheme="majorHAnsi"/>
              </w:rPr>
              <w:br/>
              <w:t>Data Lead: Janet Fulks</w:t>
            </w:r>
          </w:p>
          <w:p w:rsidR="00262953" w:rsidRPr="00371F84" w:rsidRDefault="00C669BF" w:rsidP="0035353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Assessment Lead: </w:t>
            </w:r>
            <w:r w:rsidR="00571AEB" w:rsidRPr="00371F84">
              <w:rPr>
                <w:rFonts w:asciiTheme="majorHAnsi" w:hAnsiTheme="majorHAnsi"/>
              </w:rPr>
              <w:t>Mindy Wilmot</w:t>
            </w:r>
          </w:p>
          <w:p w:rsidR="00262953" w:rsidRPr="00371F84" w:rsidRDefault="00371F84" w:rsidP="004B08D3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Version 1</w:t>
            </w:r>
            <w:r w:rsidR="00D249BA">
              <w:rPr>
                <w:rFonts w:asciiTheme="majorHAnsi" w:hAnsiTheme="majorHAnsi"/>
              </w:rPr>
              <w:t>4</w:t>
            </w:r>
            <w:r w:rsidR="00262953" w:rsidRPr="00371F84">
              <w:rPr>
                <w:rFonts w:asciiTheme="majorHAnsi" w:hAnsiTheme="majorHAnsi"/>
              </w:rPr>
              <w:t>, January 2</w:t>
            </w:r>
            <w:r>
              <w:rPr>
                <w:rFonts w:asciiTheme="majorHAnsi" w:hAnsiTheme="majorHAnsi"/>
              </w:rPr>
              <w:t>5</w:t>
            </w:r>
            <w:r w:rsidR="00262953" w:rsidRPr="00371F84">
              <w:rPr>
                <w:rFonts w:asciiTheme="majorHAnsi" w:hAnsiTheme="majorHAnsi"/>
              </w:rPr>
              <w:t>, 2017</w:t>
            </w:r>
          </w:p>
        </w:tc>
      </w:tr>
      <w:tr w:rsidR="00390A8F" w:rsidRPr="00371F84" w:rsidTr="003B4774"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Standard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Lead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B2E42" w:rsidRPr="003B4774" w:rsidRDefault="00390A8F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Team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:rsidR="001B2E42" w:rsidRPr="003B4774" w:rsidRDefault="001B2E42" w:rsidP="003B477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Committee</w:t>
            </w:r>
            <w:r w:rsidR="008A7F0B" w:rsidRPr="003B4774">
              <w:rPr>
                <w:rFonts w:asciiTheme="majorHAnsi" w:hAnsiTheme="majorHAnsi"/>
                <w:b/>
              </w:rPr>
              <w:t>s</w:t>
            </w:r>
          </w:p>
        </w:tc>
      </w:tr>
      <w:tr w:rsidR="00574655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574655" w:rsidRPr="003B4774" w:rsidRDefault="00574655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9CC2E5" w:themeFill="accent1" w:themeFillTint="99"/>
            <w:vAlign w:val="center"/>
          </w:tcPr>
          <w:p w:rsidR="00574655" w:rsidRPr="000E338B" w:rsidRDefault="00574655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I: Mission, Academic Quality and Institutional Effectiveness, and Integrity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Mission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Manny Mourtzanos</w:t>
            </w:r>
          </w:p>
          <w:p w:rsidR="00571AEB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David Koeth</w:t>
            </w:r>
          </w:p>
        </w:tc>
        <w:tc>
          <w:tcPr>
            <w:tcW w:w="3600" w:type="dxa"/>
          </w:tcPr>
          <w:p w:rsidR="001B1A5C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Kimberly Bligh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Commiso</w:t>
            </w:r>
          </w:p>
          <w:p w:rsidR="00F6155C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Nicky Damania 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Regina Hukill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Moton</w:t>
            </w:r>
          </w:p>
          <w:p w:rsidR="00CE3AE1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Odella Johnson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Nancy Perkins</w:t>
            </w:r>
          </w:p>
          <w:p w:rsid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 xml:space="preserve">Jahnea Palfrey (Classified) </w:t>
            </w:r>
          </w:p>
          <w:p w:rsidR="00031818" w:rsidRPr="00031818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One more Classified employee - TBD</w:t>
            </w:r>
          </w:p>
          <w:p w:rsidR="00031818" w:rsidRPr="00371F84" w:rsidRDefault="00031818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Professional Development Committee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Academic Quality and Institutional Effectiveness</w:t>
            </w:r>
          </w:p>
        </w:tc>
        <w:tc>
          <w:tcPr>
            <w:tcW w:w="3060" w:type="dxa"/>
            <w:vAlign w:val="center"/>
          </w:tcPr>
          <w:p w:rsidR="001B2E42" w:rsidRPr="00371F84" w:rsidRDefault="00EA4F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Fulks</w:t>
            </w:r>
          </w:p>
          <w:p w:rsidR="002A541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Nickell</w:t>
            </w:r>
          </w:p>
        </w:tc>
        <w:tc>
          <w:tcPr>
            <w:tcW w:w="3600" w:type="dxa"/>
          </w:tcPr>
          <w:p w:rsidR="00BF626F" w:rsidRPr="00371F84" w:rsidRDefault="00BF626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Laura Lorigo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Manny Mourtzanos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 Watkin</w:t>
            </w:r>
          </w:p>
          <w:p w:rsidR="00A46EE7" w:rsidRPr="00371F84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Enrollment Management 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</w:t>
            </w:r>
            <w:r w:rsidR="00390A8F" w:rsidRPr="00371F84">
              <w:rPr>
                <w:rFonts w:asciiTheme="majorHAnsi" w:hAnsiTheme="majorHAnsi"/>
                <w:i/>
              </w:rPr>
              <w:t>rogram Review</w:t>
            </w:r>
          </w:p>
          <w:p w:rsidR="00722A68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Data Coaches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9CC2E5" w:themeFill="accent1" w:themeFillTint="99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Institutional Integrity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Shannon Musser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Johnson</w:t>
            </w:r>
            <w:r w:rsidR="00813B55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Sharon Bush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571AEB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Glaser</w:t>
            </w:r>
          </w:p>
          <w:p w:rsidR="00571AEB" w:rsidRPr="00371F84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Edie Nelson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AE1953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571AEB" w:rsidRDefault="00571AE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A46EE7" w:rsidRPr="00371F84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</w:tc>
        <w:tc>
          <w:tcPr>
            <w:tcW w:w="3775" w:type="dxa"/>
          </w:tcPr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  <w:i/>
              </w:rPr>
              <w:t>AIQ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FE599" w:themeFill="accent4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II:  Student Learning Programs and Support Services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Instructional Programs</w:t>
            </w:r>
          </w:p>
        </w:tc>
        <w:tc>
          <w:tcPr>
            <w:tcW w:w="3060" w:type="dxa"/>
            <w:vAlign w:val="center"/>
          </w:tcPr>
          <w:p w:rsidR="008503B9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AA4F31" w:rsidRPr="00371F84" w:rsidRDefault="00AA4F3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Justin Flint, CTE</w:t>
            </w:r>
          </w:p>
          <w:p w:rsidR="0071731F" w:rsidRPr="00371F84" w:rsidRDefault="0071731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Qiu Jimenez, General Education</w:t>
            </w:r>
          </w:p>
          <w:p w:rsidR="00813B55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Tim Capehart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Gustavo Enriquez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Chelsea Esquibias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Carla Gard</w:t>
            </w:r>
          </w:p>
          <w:p w:rsidR="00EF03A0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 McCrow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Krista Moreland</w:t>
            </w:r>
          </w:p>
          <w:p w:rsidR="00C93499" w:rsidRDefault="00C93499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Talita Pruett</w:t>
            </w:r>
          </w:p>
          <w:p w:rsidR="007F55C4" w:rsidRPr="00371F84" w:rsidRDefault="007F55C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Klint Rigby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Corny Rodriguez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Assessment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Career &amp; Technical Education Council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Curriculum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Operational Committee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Dual Enrollment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Library and Learning Support Services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Stephen Waller</w:t>
            </w:r>
          </w:p>
          <w:p w:rsidR="002A5413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Kirk Russell</w:t>
            </w:r>
          </w:p>
        </w:tc>
        <w:tc>
          <w:tcPr>
            <w:tcW w:w="3600" w:type="dxa"/>
          </w:tcPr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Arbolante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Faith Bradham</w:t>
            </w:r>
          </w:p>
          <w:p w:rsidR="002F44C1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Sondra Keckley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</w:p>
          <w:p w:rsidR="009C07BE" w:rsidRPr="00371F84" w:rsidRDefault="009C07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New library hire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Erica Menchaca</w:t>
            </w:r>
          </w:p>
          <w:p w:rsidR="00EF03A0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Kim NIckell</w:t>
            </w:r>
            <w:r w:rsidR="00C669BF" w:rsidRPr="00371F84">
              <w:rPr>
                <w:rFonts w:asciiTheme="majorHAnsi" w:hAnsiTheme="majorHAnsi"/>
              </w:rPr>
              <w:t xml:space="preserve"> </w:t>
            </w:r>
          </w:p>
          <w:p w:rsidR="009C07BE" w:rsidRPr="00371F84" w:rsidRDefault="009C07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Eileen Pierce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Kristin Rabe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Mindy Wilmot</w:t>
            </w:r>
          </w:p>
          <w:p w:rsidR="008125E4" w:rsidRDefault="00623426" w:rsidP="004B08D3">
            <w:pPr>
              <w:spacing w:line="240" w:lineRule="auto"/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</w:pPr>
            <w:r w:rsidRPr="00371F84">
              <w:rPr>
                <w:rFonts w:asciiTheme="majorHAnsi" w:hAnsiTheme="majorHAnsi"/>
              </w:rPr>
              <w:t xml:space="preserve">Jessica </w:t>
            </w:r>
            <w:r w:rsidRPr="00371F84">
              <w:rPr>
                <w:rStyle w:val="Strong"/>
                <w:rFonts w:cs="Helvetica"/>
                <w:b w:val="0"/>
                <w:color w:val="333333"/>
                <w:shd w:val="clear" w:color="auto" w:fill="FFFFFF"/>
              </w:rPr>
              <w:t>Wojtysiak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Cohort Leaders Group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  <w:p w:rsidR="000D2BBE" w:rsidRPr="00371F84" w:rsidRDefault="00623426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Peer tutoring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FE599" w:themeFill="accent4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Student Support Services</w:t>
            </w:r>
          </w:p>
        </w:tc>
        <w:tc>
          <w:tcPr>
            <w:tcW w:w="3060" w:type="dxa"/>
            <w:vAlign w:val="center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Grace Commiso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Sandi Taylor</w:t>
            </w:r>
          </w:p>
          <w:p w:rsidR="00390A8F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Jonathan Schultz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D2257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Nicky Damania</w:t>
            </w:r>
          </w:p>
          <w:p w:rsidR="002F44C1" w:rsidRPr="00371F84" w:rsidRDefault="003D225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Keith Ford</w:t>
            </w:r>
          </w:p>
          <w:p w:rsidR="002A5413" w:rsidRPr="00371F84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Terri Goldstein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Keri Kennedy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Michelle Pena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Shoreh Rahman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Eric Sabella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Steve Watkin </w:t>
            </w:r>
          </w:p>
          <w:p w:rsidR="00AE1953" w:rsidRDefault="002A541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Maria Wright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EF03A0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Cohort Leaders Group 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SALT </w:t>
            </w:r>
          </w:p>
          <w:p w:rsidR="00390A8F" w:rsidRPr="00371F84" w:rsidRDefault="00EF03A0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Student </w:t>
            </w:r>
            <w:r w:rsidR="00390A8F" w:rsidRPr="00371F84">
              <w:rPr>
                <w:rFonts w:asciiTheme="majorHAnsi" w:hAnsiTheme="majorHAnsi"/>
                <w:i/>
              </w:rPr>
              <w:t>Success &amp; Equity Committee</w:t>
            </w:r>
          </w:p>
          <w:p w:rsidR="001B2E42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</w:tc>
      </w:tr>
      <w:tr w:rsidR="000E338B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C5E0B3" w:themeFill="accent6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E338B">
              <w:rPr>
                <w:rFonts w:asciiTheme="majorHAnsi" w:hAnsiTheme="majorHAnsi"/>
                <w:b/>
                <w:sz w:val="28"/>
                <w:szCs w:val="28"/>
              </w:rPr>
              <w:t>Standard III:  Resources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Human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Dena Rhoades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Michael Ivey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Judy Ahl</w:t>
            </w:r>
          </w:p>
          <w:p w:rsidR="00F6155C" w:rsidRPr="00371F84" w:rsidRDefault="00F615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Todd Coston </w:t>
            </w:r>
          </w:p>
          <w:p w:rsidR="002F44C1" w:rsidRPr="00371F84" w:rsidRDefault="002F44C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Giertz</w:t>
            </w:r>
          </w:p>
          <w:p w:rsidR="008125E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Reese Weltman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3B4774" w:rsidRDefault="003B477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2A5413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EODAC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Equivalency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Professional Development</w:t>
            </w:r>
            <w:r w:rsidR="001B2E42" w:rsidRPr="00371F84">
              <w:rPr>
                <w:rFonts w:asciiTheme="majorHAnsi" w:hAnsiTheme="majorHAnsi"/>
                <w:i/>
              </w:rPr>
              <w:t xml:space="preserve"> (</w:t>
            </w:r>
            <w:r w:rsidRPr="00371F84"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Physical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Potter</w:t>
            </w:r>
          </w:p>
          <w:p w:rsidR="001B2E42" w:rsidRPr="00371F84" w:rsidRDefault="00813B55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Duane Anderson</w:t>
            </w:r>
            <w:r w:rsidR="004C2299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623426" w:rsidRPr="00371F84" w:rsidRDefault="000245F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Greg Cluff</w:t>
            </w:r>
          </w:p>
          <w:p w:rsidR="00EF03A0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Cindy Collier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Wayne Cooper</w:t>
            </w:r>
          </w:p>
          <w:p w:rsidR="00623426" w:rsidRPr="00371F84" w:rsidRDefault="006234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Mike Daniel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Rachell Morehouse</w:t>
            </w:r>
          </w:p>
          <w:p w:rsidR="00EF03A0" w:rsidRPr="00371F84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Mary Jo Pasek</w:t>
            </w:r>
          </w:p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Ramon Puga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Kristin Rabe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722A68" w:rsidRPr="00371F84" w:rsidRDefault="00722A6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Accessibility Task Force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Career and Technical Education Council 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 xml:space="preserve">Facilities &amp; Sustainability </w:t>
            </w:r>
          </w:p>
          <w:p w:rsidR="00561CFA" w:rsidRPr="00371F84" w:rsidRDefault="00561CF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Safety Advisory Committee</w:t>
            </w:r>
          </w:p>
          <w:p w:rsidR="008125E4" w:rsidRPr="00371F84" w:rsidRDefault="008125E4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</w:tc>
      </w:tr>
      <w:tr w:rsidR="00390A8F" w:rsidRPr="00371F84" w:rsidTr="000E338B"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Technology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Todd Coston</w:t>
            </w:r>
          </w:p>
          <w:p w:rsidR="00813B55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Richard Marquez</w:t>
            </w:r>
            <w:r w:rsidR="00322A41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262953" w:rsidRPr="00371F84" w:rsidRDefault="00262953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Bill Moseley</w:t>
            </w:r>
          </w:p>
          <w:p w:rsidR="00556726" w:rsidRPr="00371F84" w:rsidRDefault="0055672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Matt Jones</w:t>
            </w:r>
          </w:p>
          <w:p w:rsidR="00EF03A0" w:rsidRDefault="00EF03A0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Kristin Rabe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371F84" w:rsidTr="000E338B">
        <w:trPr>
          <w:trHeight w:val="521"/>
        </w:trPr>
        <w:tc>
          <w:tcPr>
            <w:tcW w:w="699" w:type="dxa"/>
            <w:shd w:val="clear" w:color="auto" w:fill="C5E0B3" w:themeFill="accent6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III.D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3B4774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Financial Resources</w:t>
            </w:r>
          </w:p>
        </w:tc>
        <w:tc>
          <w:tcPr>
            <w:tcW w:w="3060" w:type="dxa"/>
            <w:vAlign w:val="center"/>
          </w:tcPr>
          <w:p w:rsidR="001B2E42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</w:t>
            </w:r>
            <w:r w:rsidR="00BF42B2">
              <w:rPr>
                <w:rFonts w:asciiTheme="majorHAnsi" w:hAnsiTheme="majorHAnsi"/>
              </w:rPr>
              <w:t>ald</w:t>
            </w:r>
            <w:r>
              <w:rPr>
                <w:rFonts w:asciiTheme="majorHAnsi" w:hAnsiTheme="majorHAnsi"/>
              </w:rPr>
              <w:t xml:space="preserve"> C</w:t>
            </w:r>
            <w:r w:rsidR="00BF42B2">
              <w:rPr>
                <w:rFonts w:asciiTheme="majorHAnsi" w:hAnsiTheme="majorHAnsi"/>
              </w:rPr>
              <w:t>hrusciel</w:t>
            </w:r>
          </w:p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CE3AE1" w:rsidRPr="00371F84" w:rsidRDefault="00CE3AE1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Achan</w:t>
            </w:r>
          </w:p>
          <w:p w:rsidR="003B477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Categoricals Budget Manager </w:t>
            </w:r>
            <w:r w:rsidR="003B4774">
              <w:rPr>
                <w:rFonts w:asciiTheme="majorHAnsi" w:hAnsiTheme="majorHAnsi"/>
              </w:rPr>
              <w:t xml:space="preserve">–TBD </w:t>
            </w: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Tom Gelder</w:t>
            </w: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Gerhold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John Hart</w:t>
            </w:r>
          </w:p>
          <w:p w:rsidR="00EF03A0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Rozanne Hernandez </w:t>
            </w:r>
          </w:p>
          <w:p w:rsidR="003B4774" w:rsidRPr="00371F8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410318" w:rsidRPr="00371F84" w:rsidRDefault="00ED04E6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Meg Stid</w:t>
            </w:r>
            <w:r w:rsidR="00410318" w:rsidRPr="00371F84">
              <w:rPr>
                <w:rFonts w:asciiTheme="majorHAnsi" w:hAnsiTheme="majorHAnsi"/>
              </w:rPr>
              <w:t>ham</w:t>
            </w:r>
          </w:p>
          <w:p w:rsidR="008125E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5E6D5A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0E338B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0E338B" w:rsidRPr="003B4774" w:rsidRDefault="000E338B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F7CAAC" w:themeFill="accent2" w:themeFillTint="66"/>
            <w:vAlign w:val="center"/>
          </w:tcPr>
          <w:p w:rsidR="000E338B" w:rsidRPr="000E338B" w:rsidRDefault="000E338B" w:rsidP="004B08D3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Standard IV:  Leadership and Governance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IV.A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Decision-Making Roles and Processes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Nan Gomez-Heitzeberg</w:t>
            </w:r>
          </w:p>
          <w:p w:rsidR="00390A8F" w:rsidRPr="00371F84" w:rsidRDefault="008125E4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Jason Stratton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Faith Bradham</w:t>
            </w:r>
          </w:p>
          <w:p w:rsidR="000D2BBE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 xml:space="preserve">Corny Rodriguez </w:t>
            </w:r>
          </w:p>
          <w:p w:rsidR="00AE1953" w:rsidRDefault="008A7F0B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Sue Vaughn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  <w:p w:rsidR="001B2E42" w:rsidRPr="00371F84" w:rsidRDefault="00515C7C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Committee Co-C</w:t>
            </w:r>
            <w:r w:rsidR="001B2E42" w:rsidRPr="00371F84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IV.B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Chief Executive Officer</w:t>
            </w:r>
          </w:p>
        </w:tc>
        <w:tc>
          <w:tcPr>
            <w:tcW w:w="3060" w:type="dxa"/>
            <w:vAlign w:val="center"/>
          </w:tcPr>
          <w:p w:rsidR="001B2E42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Lesley Bonds</w:t>
            </w:r>
          </w:p>
          <w:p w:rsidR="001B2E42" w:rsidRPr="00371F84" w:rsidRDefault="001B2E42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Andrea Thorson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Jennifer Marden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IV.C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Governing Board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813B55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Steven Holmes</w:t>
            </w:r>
            <w:r w:rsidR="00623426" w:rsidRPr="00371F8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390A8F" w:rsidRPr="00371F84" w:rsidRDefault="00E51CF7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Chris Glas</w:t>
            </w:r>
            <w:r w:rsidR="001B1A5C" w:rsidRPr="00371F84">
              <w:rPr>
                <w:rFonts w:asciiTheme="majorHAnsi" w:hAnsiTheme="majorHAnsi"/>
              </w:rPr>
              <w:t>er</w:t>
            </w:r>
          </w:p>
          <w:p w:rsidR="001B1A5C" w:rsidRPr="00371F84" w:rsidRDefault="001B1A5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Janet Thomas</w:t>
            </w:r>
          </w:p>
          <w:p w:rsidR="00390A8F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1B2E42" w:rsidRPr="00371F84" w:rsidRDefault="005E6D5A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5221C7" w:rsidRPr="00371F84" w:rsidRDefault="005221C7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371F84" w:rsidTr="000E338B">
        <w:tc>
          <w:tcPr>
            <w:tcW w:w="699" w:type="dxa"/>
            <w:shd w:val="clear" w:color="auto" w:fill="F7CAAC" w:themeFill="accent2" w:themeFillTint="66"/>
            <w:vAlign w:val="center"/>
          </w:tcPr>
          <w:p w:rsidR="001B2E42" w:rsidRPr="003B4774" w:rsidRDefault="001B2E42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IV.D</w:t>
            </w:r>
          </w:p>
        </w:tc>
        <w:tc>
          <w:tcPr>
            <w:tcW w:w="1456" w:type="dxa"/>
            <w:vAlign w:val="center"/>
          </w:tcPr>
          <w:p w:rsidR="001B2E42" w:rsidRPr="00371F84" w:rsidRDefault="001B2E42" w:rsidP="004B08D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Multi-College Districts or Systems</w:t>
            </w:r>
          </w:p>
        </w:tc>
        <w:tc>
          <w:tcPr>
            <w:tcW w:w="3060" w:type="dxa"/>
            <w:vAlign w:val="center"/>
          </w:tcPr>
          <w:p w:rsidR="001B2E42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Zav Dadabhoy</w:t>
            </w:r>
          </w:p>
          <w:p w:rsidR="006546FC" w:rsidRPr="00371F84" w:rsidRDefault="006546FC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Nick Strobel</w:t>
            </w:r>
          </w:p>
        </w:tc>
        <w:tc>
          <w:tcPr>
            <w:tcW w:w="3600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371F84" w:rsidRDefault="00390A8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CCA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1B2E42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Chairs of Standard III.A-D: 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 &amp; Michael Ivey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 &amp; Duane Anderson</w:t>
            </w:r>
          </w:p>
          <w:p w:rsidR="000E338B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 Coston &amp; Richard Marquez</w:t>
            </w: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                 &amp; Steven Holmes</w:t>
            </w:r>
          </w:p>
          <w:p w:rsidR="00390A8F" w:rsidRPr="00371F84" w:rsidRDefault="000D2BBE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Bernadette Martinez</w:t>
            </w:r>
            <w:r w:rsidR="000E338B">
              <w:rPr>
                <w:rFonts w:asciiTheme="majorHAnsi" w:hAnsiTheme="majorHAnsi"/>
              </w:rPr>
              <w:t>, CSEA</w:t>
            </w:r>
          </w:p>
          <w:p w:rsidR="00AE1953" w:rsidRDefault="005A2FEF" w:rsidP="004B08D3">
            <w:pPr>
              <w:spacing w:line="240" w:lineRule="auto"/>
              <w:rPr>
                <w:rFonts w:asciiTheme="majorHAnsi" w:hAnsiTheme="majorHAnsi"/>
              </w:rPr>
            </w:pPr>
            <w:r w:rsidRPr="00371F84">
              <w:rPr>
                <w:rFonts w:asciiTheme="majorHAnsi" w:hAnsiTheme="majorHAnsi"/>
              </w:rPr>
              <w:t>Management Association</w:t>
            </w:r>
            <w:r w:rsidR="000E338B">
              <w:rPr>
                <w:rFonts w:asciiTheme="majorHAnsi" w:hAnsiTheme="majorHAnsi"/>
              </w:rPr>
              <w:t xml:space="preserve"> – TBD </w:t>
            </w:r>
          </w:p>
          <w:p w:rsidR="00A46EE7" w:rsidRDefault="00A46EE7" w:rsidP="004B08D3">
            <w:pPr>
              <w:spacing w:line="240" w:lineRule="auto"/>
              <w:rPr>
                <w:rFonts w:asciiTheme="majorHAnsi" w:hAnsiTheme="majorHAnsi"/>
              </w:rPr>
            </w:pPr>
            <w:r w:rsidRPr="00031818">
              <w:rPr>
                <w:rFonts w:asciiTheme="majorHAnsi" w:hAnsiTheme="majorHAnsi"/>
              </w:rPr>
              <w:t>Student Representative – TBD</w:t>
            </w: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3B4774" w:rsidRDefault="003B4774" w:rsidP="004B08D3">
            <w:pPr>
              <w:spacing w:line="240" w:lineRule="auto"/>
              <w:rPr>
                <w:rFonts w:asciiTheme="majorHAnsi" w:hAnsiTheme="majorHAnsi"/>
              </w:rPr>
            </w:pPr>
          </w:p>
          <w:p w:rsidR="000E338B" w:rsidRPr="00371F84" w:rsidRDefault="000E338B" w:rsidP="004B08D3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775" w:type="dxa"/>
          </w:tcPr>
          <w:p w:rsidR="000E338B" w:rsidRDefault="000E338B" w:rsidP="004B08D3">
            <w:pPr>
              <w:spacing w:line="240" w:lineRule="auto"/>
              <w:rPr>
                <w:rFonts w:asciiTheme="majorHAnsi" w:hAnsiTheme="majorHAnsi"/>
                <w:i/>
              </w:rPr>
            </w:pPr>
          </w:p>
          <w:p w:rsidR="00410318" w:rsidRPr="00371F84" w:rsidRDefault="00410318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Academic Senate</w:t>
            </w:r>
          </w:p>
          <w:p w:rsidR="001B2E42" w:rsidRPr="00371F84" w:rsidRDefault="00CA7399" w:rsidP="004B08D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71F84"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B4774" w:rsidRPr="00371F84" w:rsidTr="003B4774">
        <w:trPr>
          <w:trHeight w:val="134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3B4774" w:rsidRPr="003B4774" w:rsidRDefault="003B4774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  <w:shd w:val="clear" w:color="auto" w:fill="B4C6E7" w:themeFill="accent5" w:themeFillTint="66"/>
          </w:tcPr>
          <w:p w:rsid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B4774" w:rsidRPr="003B4774" w:rsidRDefault="003B4774" w:rsidP="003B4774">
            <w:pPr>
              <w:spacing w:before="120" w:after="12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B4774">
              <w:rPr>
                <w:rFonts w:asciiTheme="majorHAnsi" w:hAnsiTheme="majorHAnsi"/>
                <w:b/>
                <w:sz w:val="28"/>
                <w:szCs w:val="28"/>
              </w:rPr>
              <w:t>Quality Focus Essay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(QFE)</w:t>
            </w:r>
          </w:p>
        </w:tc>
      </w:tr>
      <w:tr w:rsidR="00BF3823" w:rsidRPr="00371F84" w:rsidTr="003B4774">
        <w:trPr>
          <w:trHeight w:val="5210"/>
        </w:trPr>
        <w:tc>
          <w:tcPr>
            <w:tcW w:w="699" w:type="dxa"/>
            <w:shd w:val="clear" w:color="auto" w:fill="B4C6E7" w:themeFill="accent5" w:themeFillTint="66"/>
            <w:vAlign w:val="bottom"/>
          </w:tcPr>
          <w:p w:rsidR="00BF3823" w:rsidRPr="003B4774" w:rsidRDefault="00EA401D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3B4774">
              <w:rPr>
                <w:rFonts w:asciiTheme="majorHAnsi" w:hAnsiTheme="majorHAnsi"/>
                <w:b/>
              </w:rPr>
              <w:t>QFE</w:t>
            </w: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  <w:p w:rsidR="00BF3823" w:rsidRPr="003B4774" w:rsidRDefault="00BF3823" w:rsidP="004B08D3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891" w:type="dxa"/>
            <w:gridSpan w:val="4"/>
          </w:tcPr>
          <w:tbl>
            <w:tblPr>
              <w:tblStyle w:val="TableGrid"/>
              <w:tblW w:w="1250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3888"/>
              <w:gridCol w:w="5444"/>
            </w:tblGrid>
            <w:tr w:rsidR="003B4774" w:rsidTr="003B4774">
              <w:tc>
                <w:tcPr>
                  <w:tcW w:w="3173" w:type="dxa"/>
                </w:tcPr>
                <w:p w:rsidR="003B4774" w:rsidRDefault="003B4774" w:rsidP="00D249BA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Leads</w:t>
                  </w:r>
                </w:p>
              </w:tc>
              <w:tc>
                <w:tcPr>
                  <w:tcW w:w="3888" w:type="dxa"/>
                </w:tcPr>
                <w:p w:rsidR="003B4774" w:rsidRDefault="003B4774" w:rsidP="00D249BA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Teams</w:t>
                  </w:r>
                </w:p>
              </w:tc>
              <w:tc>
                <w:tcPr>
                  <w:tcW w:w="5444" w:type="dxa"/>
                </w:tcPr>
                <w:p w:rsidR="003B4774" w:rsidRDefault="003B4774" w:rsidP="00D249BA">
                  <w:pPr>
                    <w:framePr w:hSpace="180" w:wrap="around" w:hAnchor="margin" w:x="-630" w:y="-1710"/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Committees</w:t>
                  </w:r>
                </w:p>
              </w:tc>
            </w:tr>
            <w:tr w:rsidR="003B4774" w:rsidTr="003B4774">
              <w:trPr>
                <w:trHeight w:val="4580"/>
              </w:trPr>
              <w:tc>
                <w:tcPr>
                  <w:tcW w:w="3173" w:type="dxa"/>
                </w:tcPr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Janet Fulks</w:t>
                  </w: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Mark Staller</w:t>
                  </w:r>
                </w:p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88" w:type="dxa"/>
                </w:tcPr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</w:pP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 xml:space="preserve">Grace Commiso </w:t>
                  </w: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John Giertz</w:t>
                  </w:r>
                </w:p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  <w:r w:rsidRPr="00371F84">
                    <w:rPr>
                      <w:rFonts w:asciiTheme="majorHAnsi" w:hAnsiTheme="majorHAnsi"/>
                    </w:rPr>
                    <w:t>Michelle Pena</w:t>
                  </w: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</w:pPr>
                  <w:r w:rsidRPr="00371F84">
                    <w:t>Nick Strobel</w:t>
                  </w: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444" w:type="dxa"/>
                </w:tcPr>
                <w:p w:rsidR="003B4774" w:rsidRP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Pathways Implementation Team</w:t>
                  </w:r>
                </w:p>
                <w:p w:rsidR="003B4774" w:rsidRP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  <w:i/>
                    </w:rPr>
                  </w:pPr>
                  <w:r w:rsidRPr="003B4774">
                    <w:rPr>
                      <w:rFonts w:asciiTheme="majorHAnsi" w:hAnsiTheme="majorHAnsi"/>
                      <w:i/>
                    </w:rPr>
                    <w:t>Strategic Directions Task Force</w:t>
                  </w:r>
                </w:p>
                <w:p w:rsidR="003B4774" w:rsidRPr="00371F8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3B4774" w:rsidRDefault="003B4774" w:rsidP="00D249BA">
                  <w:pPr>
                    <w:framePr w:hSpace="180" w:wrap="around" w:hAnchor="margin" w:x="-630" w:y="-171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3B4774" w:rsidRPr="003B4774" w:rsidRDefault="003B4774" w:rsidP="004B08D3">
            <w:pPr>
              <w:spacing w:line="240" w:lineRule="auto"/>
              <w:rPr>
                <w:b/>
              </w:rPr>
            </w:pPr>
          </w:p>
          <w:p w:rsidR="00E33AE8" w:rsidRPr="00371F84" w:rsidRDefault="00E33AE8" w:rsidP="003B4774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1B2E42" w:rsidRPr="00371F84" w:rsidRDefault="001B2E42" w:rsidP="001B2E42">
      <w:pPr>
        <w:spacing w:beforeLines="40" w:before="96" w:afterLines="40" w:after="96" w:line="240" w:lineRule="auto"/>
      </w:pPr>
    </w:p>
    <w:p w:rsidR="001B2E42" w:rsidRPr="00371F84" w:rsidRDefault="001B2E42" w:rsidP="001B2E42">
      <w:pPr>
        <w:spacing w:line="240" w:lineRule="auto"/>
        <w:rPr>
          <w:color w:val="1F497D"/>
        </w:rPr>
      </w:pPr>
    </w:p>
    <w:p w:rsidR="00722A68" w:rsidRPr="00371F84" w:rsidRDefault="00722A68" w:rsidP="001B2E42">
      <w:pPr>
        <w:spacing w:line="240" w:lineRule="auto"/>
        <w:rPr>
          <w:color w:val="1F497D"/>
        </w:rPr>
      </w:pPr>
    </w:p>
    <w:p w:rsidR="005E54F5" w:rsidRPr="00371F84" w:rsidRDefault="005E54F5" w:rsidP="001B2E42">
      <w:pPr>
        <w:spacing w:line="240" w:lineRule="auto"/>
        <w:rPr>
          <w:color w:val="1F497D"/>
        </w:rPr>
      </w:pPr>
    </w:p>
    <w:sectPr w:rsidR="005E54F5" w:rsidRPr="00371F84" w:rsidSect="00C669BF">
      <w:headerReference w:type="default" r:id="rId7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30" w:rsidRDefault="00402530" w:rsidP="008A7F0B">
      <w:pPr>
        <w:spacing w:line="240" w:lineRule="auto"/>
      </w:pPr>
      <w:r>
        <w:separator/>
      </w:r>
    </w:p>
  </w:endnote>
  <w:endnote w:type="continuationSeparator" w:id="0">
    <w:p w:rsidR="00402530" w:rsidRDefault="00402530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30" w:rsidRDefault="00402530" w:rsidP="008A7F0B">
      <w:pPr>
        <w:spacing w:line="240" w:lineRule="auto"/>
      </w:pPr>
      <w:r>
        <w:separator/>
      </w:r>
    </w:p>
  </w:footnote>
  <w:footnote w:type="continuationSeparator" w:id="0">
    <w:p w:rsidR="00402530" w:rsidRDefault="00402530" w:rsidP="008A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0B" w:rsidRDefault="008A7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208A"/>
    <w:multiLevelType w:val="hybridMultilevel"/>
    <w:tmpl w:val="117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0245FE"/>
    <w:rsid w:val="0002747E"/>
    <w:rsid w:val="00031818"/>
    <w:rsid w:val="000D2111"/>
    <w:rsid w:val="000D2BBE"/>
    <w:rsid w:val="000E338B"/>
    <w:rsid w:val="00146BE7"/>
    <w:rsid w:val="001B1A5C"/>
    <w:rsid w:val="001B2E42"/>
    <w:rsid w:val="001F5094"/>
    <w:rsid w:val="002025C4"/>
    <w:rsid w:val="00262953"/>
    <w:rsid w:val="00284565"/>
    <w:rsid w:val="0029277B"/>
    <w:rsid w:val="002A5413"/>
    <w:rsid w:val="002F44C1"/>
    <w:rsid w:val="00322A41"/>
    <w:rsid w:val="00345D1B"/>
    <w:rsid w:val="0035353D"/>
    <w:rsid w:val="00371F84"/>
    <w:rsid w:val="00390A8F"/>
    <w:rsid w:val="003B4774"/>
    <w:rsid w:val="003D2257"/>
    <w:rsid w:val="00402530"/>
    <w:rsid w:val="00410318"/>
    <w:rsid w:val="004B08D3"/>
    <w:rsid w:val="004C2299"/>
    <w:rsid w:val="00502607"/>
    <w:rsid w:val="00515C7C"/>
    <w:rsid w:val="005221C7"/>
    <w:rsid w:val="00554DDA"/>
    <w:rsid w:val="00556726"/>
    <w:rsid w:val="00561CFA"/>
    <w:rsid w:val="005626B3"/>
    <w:rsid w:val="00571AEB"/>
    <w:rsid w:val="00574655"/>
    <w:rsid w:val="005A2FEF"/>
    <w:rsid w:val="005B2E0F"/>
    <w:rsid w:val="005D184F"/>
    <w:rsid w:val="005D634B"/>
    <w:rsid w:val="005D73E5"/>
    <w:rsid w:val="005E356C"/>
    <w:rsid w:val="005E54F5"/>
    <w:rsid w:val="005E6D5A"/>
    <w:rsid w:val="005E7ED8"/>
    <w:rsid w:val="00623426"/>
    <w:rsid w:val="006546FC"/>
    <w:rsid w:val="00691AD0"/>
    <w:rsid w:val="006A294D"/>
    <w:rsid w:val="006B21C4"/>
    <w:rsid w:val="006D1BA1"/>
    <w:rsid w:val="0071731F"/>
    <w:rsid w:val="00722A68"/>
    <w:rsid w:val="007A77CA"/>
    <w:rsid w:val="007A7B09"/>
    <w:rsid w:val="007F55C4"/>
    <w:rsid w:val="00802995"/>
    <w:rsid w:val="008125E4"/>
    <w:rsid w:val="00813B55"/>
    <w:rsid w:val="008503B9"/>
    <w:rsid w:val="008804B6"/>
    <w:rsid w:val="008876DF"/>
    <w:rsid w:val="008A7F0B"/>
    <w:rsid w:val="009163A9"/>
    <w:rsid w:val="0099648F"/>
    <w:rsid w:val="009B4848"/>
    <w:rsid w:val="009C07BE"/>
    <w:rsid w:val="009F5C1A"/>
    <w:rsid w:val="00A17950"/>
    <w:rsid w:val="00A40869"/>
    <w:rsid w:val="00A46EE7"/>
    <w:rsid w:val="00A8433F"/>
    <w:rsid w:val="00A969FA"/>
    <w:rsid w:val="00AA4F31"/>
    <w:rsid w:val="00AE1953"/>
    <w:rsid w:val="00AF2592"/>
    <w:rsid w:val="00B7047D"/>
    <w:rsid w:val="00BA33E1"/>
    <w:rsid w:val="00BF3823"/>
    <w:rsid w:val="00BF42B2"/>
    <w:rsid w:val="00BF626F"/>
    <w:rsid w:val="00C56747"/>
    <w:rsid w:val="00C669BF"/>
    <w:rsid w:val="00C93499"/>
    <w:rsid w:val="00CA7399"/>
    <w:rsid w:val="00CE3AE1"/>
    <w:rsid w:val="00CF42DB"/>
    <w:rsid w:val="00D20E5D"/>
    <w:rsid w:val="00D249BA"/>
    <w:rsid w:val="00E33AE8"/>
    <w:rsid w:val="00E41F50"/>
    <w:rsid w:val="00E51CF7"/>
    <w:rsid w:val="00EA401D"/>
    <w:rsid w:val="00EA4FFC"/>
    <w:rsid w:val="00ED04E6"/>
    <w:rsid w:val="00EE6E18"/>
    <w:rsid w:val="00EF03A0"/>
    <w:rsid w:val="00F118C3"/>
    <w:rsid w:val="00F6155C"/>
    <w:rsid w:val="00F915DF"/>
    <w:rsid w:val="00F91D0B"/>
    <w:rsid w:val="00FB37E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  <w:style w:type="paragraph" w:styleId="BalloonText">
    <w:name w:val="Balloon Text"/>
    <w:basedOn w:val="Normal"/>
    <w:link w:val="BalloonTextChar"/>
    <w:uiPriority w:val="99"/>
    <w:semiHidden/>
    <w:unhideWhenUsed/>
    <w:rsid w:val="0032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23426"/>
    <w:rPr>
      <w:b/>
      <w:bCs/>
    </w:rPr>
  </w:style>
  <w:style w:type="paragraph" w:styleId="ListParagraph">
    <w:name w:val="List Paragraph"/>
    <w:basedOn w:val="Normal"/>
    <w:uiPriority w:val="34"/>
    <w:qFormat/>
    <w:rsid w:val="00C93499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3</cp:revision>
  <cp:lastPrinted>2017-01-13T00:46:00Z</cp:lastPrinted>
  <dcterms:created xsi:type="dcterms:W3CDTF">2017-01-26T04:18:00Z</dcterms:created>
  <dcterms:modified xsi:type="dcterms:W3CDTF">2017-01-26T04:19:00Z</dcterms:modified>
</cp:coreProperties>
</file>