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67" w:rsidRPr="00B669EA" w:rsidRDefault="00E17167" w:rsidP="00E17167">
      <w:pPr>
        <w:spacing w:after="0" w:line="360" w:lineRule="auto"/>
        <w:jc w:val="center"/>
        <w:rPr>
          <w:b/>
          <w:color w:val="C00000"/>
          <w:sz w:val="28"/>
          <w:szCs w:val="28"/>
        </w:rPr>
      </w:pPr>
      <w:r w:rsidRPr="00B669EA">
        <w:rPr>
          <w:b/>
          <w:color w:val="C00000"/>
          <w:sz w:val="28"/>
          <w:szCs w:val="28"/>
        </w:rPr>
        <w:t xml:space="preserve">Strategic Directions and Planning for BC’s Future </w:t>
      </w:r>
    </w:p>
    <w:p w:rsidR="00E17167" w:rsidRPr="00B669EA" w:rsidRDefault="00E17167" w:rsidP="00B669EA">
      <w:pPr>
        <w:spacing w:after="0" w:line="240" w:lineRule="auto"/>
        <w:jc w:val="center"/>
        <w:rPr>
          <w:sz w:val="24"/>
          <w:szCs w:val="24"/>
        </w:rPr>
      </w:pPr>
      <w:r w:rsidRPr="00B669EA">
        <w:rPr>
          <w:sz w:val="24"/>
          <w:szCs w:val="24"/>
        </w:rPr>
        <w:t>Thursday, December 11, 2014</w:t>
      </w:r>
    </w:p>
    <w:p w:rsidR="00E17167" w:rsidRDefault="00E17167" w:rsidP="00B669EA">
      <w:pPr>
        <w:spacing w:after="0" w:line="240" w:lineRule="auto"/>
        <w:jc w:val="center"/>
        <w:rPr>
          <w:sz w:val="24"/>
          <w:szCs w:val="24"/>
        </w:rPr>
      </w:pPr>
      <w:r w:rsidRPr="00B669EA">
        <w:rPr>
          <w:sz w:val="24"/>
          <w:szCs w:val="24"/>
        </w:rPr>
        <w:t>3:30—5:00 in SE 57</w:t>
      </w:r>
    </w:p>
    <w:p w:rsidR="00B669EA" w:rsidRPr="00B669EA" w:rsidRDefault="00B669EA" w:rsidP="00B669EA">
      <w:pPr>
        <w:spacing w:after="0" w:line="240" w:lineRule="auto"/>
        <w:jc w:val="center"/>
        <w:rPr>
          <w:sz w:val="24"/>
          <w:szCs w:val="24"/>
        </w:rPr>
      </w:pPr>
    </w:p>
    <w:p w:rsidR="00E17167" w:rsidRPr="00FF01A8" w:rsidRDefault="00E17167" w:rsidP="00FF01A8">
      <w:pPr>
        <w:pStyle w:val="ListParagraph"/>
        <w:numPr>
          <w:ilvl w:val="0"/>
          <w:numId w:val="3"/>
        </w:numPr>
        <w:spacing w:after="0" w:line="240" w:lineRule="auto"/>
        <w:rPr>
          <w:b/>
        </w:rPr>
      </w:pPr>
      <w:r w:rsidRPr="00FF01A8">
        <w:rPr>
          <w:b/>
        </w:rPr>
        <w:t>Review minutes from December 5</w:t>
      </w:r>
      <w:r w:rsidRPr="00FF01A8">
        <w:rPr>
          <w:b/>
          <w:vertAlign w:val="superscript"/>
        </w:rPr>
        <w:t>th</w:t>
      </w:r>
      <w:r w:rsidRPr="00FF01A8">
        <w:rPr>
          <w:b/>
        </w:rPr>
        <w:t xml:space="preserve"> meeting.</w:t>
      </w:r>
    </w:p>
    <w:p w:rsidR="00FF01A8" w:rsidRPr="00FF01A8" w:rsidRDefault="00FF01A8" w:rsidP="00FF01A8">
      <w:pPr>
        <w:spacing w:after="0" w:line="240" w:lineRule="auto"/>
        <w:rPr>
          <w:b/>
        </w:rPr>
      </w:pPr>
    </w:p>
    <w:p w:rsidR="00FF01A8" w:rsidRPr="00FF01A8" w:rsidRDefault="00FF01A8" w:rsidP="00FF01A8">
      <w:pPr>
        <w:pStyle w:val="ListParagraph"/>
        <w:numPr>
          <w:ilvl w:val="0"/>
          <w:numId w:val="3"/>
        </w:numPr>
        <w:spacing w:after="0" w:line="240" w:lineRule="auto"/>
        <w:rPr>
          <w:b/>
        </w:rPr>
      </w:pPr>
      <w:r w:rsidRPr="00FF01A8">
        <w:rPr>
          <w:b/>
        </w:rPr>
        <w:t>What’s next</w:t>
      </w:r>
      <w:r>
        <w:rPr>
          <w:b/>
        </w:rPr>
        <w:t xml:space="preserve"> with the goals</w:t>
      </w:r>
      <w:r w:rsidRPr="00FF01A8">
        <w:rPr>
          <w:b/>
        </w:rPr>
        <w:t>?</w:t>
      </w:r>
    </w:p>
    <w:p w:rsidR="00FF01A8" w:rsidRPr="00E17167" w:rsidRDefault="00FF01A8" w:rsidP="00FF01A8">
      <w:pPr>
        <w:pStyle w:val="ListParagraph"/>
        <w:numPr>
          <w:ilvl w:val="0"/>
          <w:numId w:val="5"/>
        </w:numPr>
        <w:spacing w:after="0" w:line="240" w:lineRule="auto"/>
      </w:pPr>
      <w:r w:rsidRPr="00E17167">
        <w:t>The final recommendation was to change the goals to the following:</w:t>
      </w:r>
    </w:p>
    <w:p w:rsidR="00FF01A8" w:rsidRPr="000D2FFD" w:rsidRDefault="00FF01A8" w:rsidP="00FF01A8">
      <w:pPr>
        <w:pStyle w:val="ListParagraph"/>
        <w:numPr>
          <w:ilvl w:val="0"/>
          <w:numId w:val="1"/>
        </w:numPr>
        <w:spacing w:after="0" w:line="240" w:lineRule="auto"/>
        <w:ind w:left="1800"/>
      </w:pPr>
      <w:r w:rsidRPr="000D2FFD">
        <w:t>Student Learning</w:t>
      </w:r>
    </w:p>
    <w:p w:rsidR="00FF01A8" w:rsidRPr="000D2FFD" w:rsidRDefault="00FF01A8" w:rsidP="00FF01A8">
      <w:pPr>
        <w:pStyle w:val="ListParagraph"/>
        <w:numPr>
          <w:ilvl w:val="0"/>
          <w:numId w:val="1"/>
        </w:numPr>
        <w:spacing w:after="0" w:line="240" w:lineRule="auto"/>
        <w:ind w:left="1800"/>
      </w:pPr>
      <w:r w:rsidRPr="000D2FFD">
        <w:t>Student Progression and Completion</w:t>
      </w:r>
    </w:p>
    <w:p w:rsidR="00FF01A8" w:rsidRPr="000D2FFD" w:rsidRDefault="00FF01A8" w:rsidP="00FF01A8">
      <w:pPr>
        <w:pStyle w:val="ListParagraph"/>
        <w:numPr>
          <w:ilvl w:val="0"/>
          <w:numId w:val="1"/>
        </w:numPr>
        <w:spacing w:after="0" w:line="240" w:lineRule="auto"/>
        <w:ind w:left="1800"/>
      </w:pPr>
      <w:r w:rsidRPr="000D2FFD">
        <w:t>Facilities, Infrastructure</w:t>
      </w:r>
      <w:r>
        <w:t xml:space="preserve">, </w:t>
      </w:r>
      <w:r w:rsidRPr="000D2FFD">
        <w:t>and Technology</w:t>
      </w:r>
    </w:p>
    <w:p w:rsidR="00FF01A8" w:rsidRPr="000D2FFD" w:rsidRDefault="00FF01A8" w:rsidP="00FF01A8">
      <w:pPr>
        <w:pStyle w:val="ListParagraph"/>
        <w:numPr>
          <w:ilvl w:val="0"/>
          <w:numId w:val="1"/>
        </w:numPr>
        <w:spacing w:after="0" w:line="240" w:lineRule="auto"/>
        <w:ind w:left="1800"/>
      </w:pPr>
      <w:r w:rsidRPr="000D2FFD">
        <w:t>Fiscal Sustainability</w:t>
      </w:r>
    </w:p>
    <w:p w:rsidR="00FF01A8" w:rsidRPr="000D2FFD" w:rsidRDefault="00FF01A8" w:rsidP="00FF01A8">
      <w:pPr>
        <w:pStyle w:val="ListParagraph"/>
        <w:numPr>
          <w:ilvl w:val="0"/>
          <w:numId w:val="1"/>
        </w:numPr>
        <w:spacing w:after="0" w:line="240" w:lineRule="auto"/>
        <w:ind w:left="1800"/>
      </w:pPr>
      <w:r w:rsidRPr="000D2FFD">
        <w:t>Oversight and Accountability</w:t>
      </w:r>
    </w:p>
    <w:p w:rsidR="00FF01A8" w:rsidRPr="000D2FFD" w:rsidRDefault="00FF01A8" w:rsidP="00FF01A8">
      <w:pPr>
        <w:pStyle w:val="ListParagraph"/>
        <w:numPr>
          <w:ilvl w:val="0"/>
          <w:numId w:val="1"/>
        </w:numPr>
        <w:spacing w:after="0" w:line="240" w:lineRule="auto"/>
        <w:ind w:left="1800"/>
      </w:pPr>
      <w:r w:rsidRPr="000D2FFD">
        <w:t>Engagement</w:t>
      </w:r>
    </w:p>
    <w:p w:rsidR="00FF01A8" w:rsidRDefault="00FF01A8" w:rsidP="00FF01A8">
      <w:pPr>
        <w:spacing w:after="0" w:line="240" w:lineRule="auto"/>
        <w:ind w:firstLine="720"/>
      </w:pPr>
    </w:p>
    <w:p w:rsidR="00FF01A8" w:rsidRDefault="00B669EA" w:rsidP="00FF01A8">
      <w:pPr>
        <w:pStyle w:val="ListParagraph"/>
        <w:numPr>
          <w:ilvl w:val="0"/>
          <w:numId w:val="5"/>
        </w:numPr>
        <w:spacing w:after="0" w:line="240" w:lineRule="auto"/>
      </w:pPr>
      <w:r>
        <w:t>W</w:t>
      </w:r>
      <w:r w:rsidR="00FF01A8">
        <w:t>e need to develop definitions/brief explanations of goals</w:t>
      </w:r>
      <w:r>
        <w:t>.</w:t>
      </w:r>
    </w:p>
    <w:p w:rsidR="00FF01A8" w:rsidRDefault="00FF01A8" w:rsidP="00FF01A8">
      <w:pPr>
        <w:spacing w:after="0" w:line="240" w:lineRule="auto"/>
        <w:ind w:left="720"/>
      </w:pPr>
    </w:p>
    <w:p w:rsidR="00FF01A8" w:rsidRDefault="00FF01A8" w:rsidP="00FF01A8">
      <w:pPr>
        <w:pStyle w:val="ListParagraph"/>
        <w:numPr>
          <w:ilvl w:val="0"/>
          <w:numId w:val="5"/>
        </w:numPr>
        <w:spacing w:after="0" w:line="240" w:lineRule="auto"/>
      </w:pPr>
      <w:r>
        <w:t xml:space="preserve">Where do we incorporate professional development?   Communication?   Community?   Do they all fit under Engagement?  </w:t>
      </w:r>
    </w:p>
    <w:p w:rsidR="00FF01A8" w:rsidRDefault="00FF01A8" w:rsidP="000D2FFD">
      <w:pPr>
        <w:spacing w:after="0" w:line="240" w:lineRule="auto"/>
      </w:pPr>
    </w:p>
    <w:p w:rsidR="00F00ACA" w:rsidRPr="000D2FFD" w:rsidRDefault="00FF01A8" w:rsidP="00FF01A8">
      <w:pPr>
        <w:pStyle w:val="ListParagraph"/>
        <w:numPr>
          <w:ilvl w:val="0"/>
          <w:numId w:val="5"/>
        </w:numPr>
        <w:spacing w:after="0" w:line="240" w:lineRule="auto"/>
      </w:pPr>
      <w:r>
        <w:t xml:space="preserve">Reference </w:t>
      </w:r>
    </w:p>
    <w:p w:rsidR="00F03273" w:rsidRPr="000D2FFD" w:rsidRDefault="00F03273" w:rsidP="00FF01A8">
      <w:pPr>
        <w:shd w:val="clear" w:color="auto" w:fill="FFFFFF"/>
        <w:spacing w:after="0" w:line="240" w:lineRule="auto"/>
        <w:ind w:left="1080"/>
        <w:outlineLvl w:val="2"/>
        <w:rPr>
          <w:rFonts w:eastAsia="Times New Roman" w:cs="Times New Roman"/>
          <w:b/>
          <w:bCs/>
          <w:color w:val="333333"/>
        </w:rPr>
      </w:pPr>
      <w:r w:rsidRPr="000D2FFD">
        <w:rPr>
          <w:rFonts w:eastAsia="Times New Roman" w:cs="Times New Roman"/>
          <w:b/>
          <w:bCs/>
          <w:color w:val="333333"/>
        </w:rPr>
        <w:t>Bakersfield College Mission Statement</w:t>
      </w:r>
      <w:r w:rsidR="00B669EA">
        <w:rPr>
          <w:rFonts w:eastAsia="Times New Roman" w:cs="Times New Roman"/>
          <w:b/>
          <w:bCs/>
          <w:color w:val="333333"/>
        </w:rPr>
        <w:t xml:space="preserve"> (will need to change if we are approved for BAS)</w:t>
      </w:r>
    </w:p>
    <w:p w:rsidR="00F03273" w:rsidRPr="000D2FFD" w:rsidRDefault="00F03273" w:rsidP="00FF01A8">
      <w:pPr>
        <w:shd w:val="clear" w:color="auto" w:fill="FFFFFF"/>
        <w:spacing w:after="0" w:line="240" w:lineRule="auto"/>
        <w:ind w:left="1080"/>
        <w:rPr>
          <w:rFonts w:eastAsia="Times New Roman" w:cs="Times New Roman"/>
          <w:color w:val="333333"/>
        </w:rPr>
      </w:pPr>
      <w:r w:rsidRPr="000D2FFD">
        <w:rPr>
          <w:rFonts w:eastAsia="Times New Roman" w:cs="Times New Roman"/>
          <w:color w:val="333333"/>
        </w:rPr>
        <w:t>Bakersfield College provides opportunities for students from diverse economic, cultural, and educational backgrounds to attain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F03273" w:rsidRPr="000D2FFD" w:rsidRDefault="00F03273" w:rsidP="00FF01A8">
      <w:pPr>
        <w:shd w:val="clear" w:color="auto" w:fill="FFFFFF"/>
        <w:spacing w:after="0" w:line="240" w:lineRule="auto"/>
        <w:ind w:left="1080"/>
        <w:outlineLvl w:val="2"/>
        <w:rPr>
          <w:rFonts w:eastAsia="Times New Roman" w:cs="Times New Roman"/>
          <w:b/>
          <w:bCs/>
          <w:color w:val="333333"/>
        </w:rPr>
      </w:pPr>
      <w:r w:rsidRPr="000D2FFD">
        <w:rPr>
          <w:rFonts w:eastAsia="Times New Roman" w:cs="Times New Roman"/>
          <w:b/>
          <w:bCs/>
          <w:color w:val="333333"/>
        </w:rPr>
        <w:t>Bakersfield College Vision Statement</w:t>
      </w:r>
    </w:p>
    <w:p w:rsidR="00F03273" w:rsidRPr="000D2FFD" w:rsidRDefault="00F03273" w:rsidP="00FF01A8">
      <w:pPr>
        <w:shd w:val="clear" w:color="auto" w:fill="FFFFFF"/>
        <w:spacing w:after="0" w:line="240" w:lineRule="auto"/>
        <w:ind w:left="1080"/>
        <w:rPr>
          <w:rFonts w:eastAsia="Times New Roman" w:cs="Times New Roman"/>
          <w:color w:val="333333"/>
        </w:rPr>
      </w:pPr>
      <w:r w:rsidRPr="000D2FFD">
        <w:rPr>
          <w:rFonts w:eastAsia="Times New Roman" w:cs="Times New Roman"/>
          <w:color w:val="333333"/>
        </w:rPr>
        <w:t>Building upon more than 100 years of excellence, Bakersfield College continues to contribute to the intellectual, cultural, and economic vitality of the communities it serves.</w:t>
      </w:r>
    </w:p>
    <w:p w:rsidR="00F03273" w:rsidRPr="000D2FFD" w:rsidRDefault="00F03273" w:rsidP="00FF01A8">
      <w:pPr>
        <w:shd w:val="clear" w:color="auto" w:fill="FFFFFF"/>
        <w:spacing w:after="0" w:line="240" w:lineRule="auto"/>
        <w:ind w:left="1080"/>
        <w:outlineLvl w:val="1"/>
        <w:rPr>
          <w:i/>
        </w:rPr>
      </w:pPr>
      <w:r w:rsidRPr="000D2FFD">
        <w:rPr>
          <w:rFonts w:eastAsia="Times New Roman" w:cs="Times New Roman"/>
          <w:bCs/>
          <w:i/>
          <w:color w:val="333333"/>
        </w:rPr>
        <w:t>Mission &amp; Vision Statements a</w:t>
      </w:r>
      <w:r w:rsidRPr="000D2FFD">
        <w:rPr>
          <w:rFonts w:eastAsia="Times New Roman" w:cs="Times New Roman"/>
          <w:i/>
          <w:color w:val="333333"/>
        </w:rPr>
        <w:t>dopted by College Council, May 14, 2014 and approved by Board of Trustees, June 12, 2014</w:t>
      </w:r>
    </w:p>
    <w:p w:rsidR="00F03273" w:rsidRPr="00B669EA" w:rsidRDefault="00F03273" w:rsidP="000D2FFD">
      <w:pPr>
        <w:spacing w:after="0" w:line="240" w:lineRule="auto"/>
      </w:pPr>
    </w:p>
    <w:p w:rsidR="00F03273" w:rsidRPr="00B669EA" w:rsidRDefault="00F03273" w:rsidP="00FF01A8">
      <w:pPr>
        <w:pStyle w:val="ListParagraph"/>
        <w:numPr>
          <w:ilvl w:val="0"/>
          <w:numId w:val="3"/>
        </w:numPr>
        <w:spacing w:after="0" w:line="240" w:lineRule="auto"/>
        <w:rPr>
          <w:b/>
        </w:rPr>
      </w:pPr>
      <w:r w:rsidRPr="00B669EA">
        <w:rPr>
          <w:b/>
        </w:rPr>
        <w:t>Draft of KCCD goals for new strategic plan:</w:t>
      </w:r>
    </w:p>
    <w:p w:rsidR="00F03273" w:rsidRPr="000D2FFD" w:rsidRDefault="00F03273" w:rsidP="00FF01A8">
      <w:pPr>
        <w:pStyle w:val="Default"/>
        <w:ind w:left="1080"/>
        <w:rPr>
          <w:rFonts w:asciiTheme="minorHAnsi" w:hAnsiTheme="minorHAnsi" w:cs="Adobe Garamond Pro Bold"/>
          <w:color w:val="auto"/>
          <w:sz w:val="22"/>
          <w:szCs w:val="22"/>
        </w:rPr>
      </w:pPr>
      <w:r w:rsidRPr="000D2FFD">
        <w:rPr>
          <w:rStyle w:val="A17"/>
          <w:rFonts w:asciiTheme="minorHAnsi" w:hAnsiTheme="minorHAnsi" w:cs="Adobe Garamond Pro"/>
          <w:b w:val="0"/>
          <w:bCs w:val="0"/>
          <w:color w:val="auto"/>
          <w:sz w:val="22"/>
          <w:szCs w:val="22"/>
        </w:rPr>
        <w:t xml:space="preserve">Strategic Goal #1: </w:t>
      </w:r>
      <w:r w:rsidRPr="000D2FFD">
        <w:rPr>
          <w:rStyle w:val="A17"/>
          <w:rFonts w:asciiTheme="minorHAnsi" w:hAnsiTheme="minorHAnsi" w:cs="Adobe Garamond Pro Bold"/>
          <w:color w:val="auto"/>
          <w:sz w:val="22"/>
          <w:szCs w:val="22"/>
        </w:rPr>
        <w:t>Student Success</w:t>
      </w:r>
    </w:p>
    <w:p w:rsidR="00F03273" w:rsidRPr="000D2FFD" w:rsidRDefault="00F03273" w:rsidP="00FF01A8">
      <w:pPr>
        <w:pStyle w:val="Pa27"/>
        <w:numPr>
          <w:ilvl w:val="1"/>
          <w:numId w:val="2"/>
        </w:numPr>
        <w:spacing w:line="240" w:lineRule="auto"/>
        <w:ind w:left="1800"/>
        <w:rPr>
          <w:rFonts w:asciiTheme="minorHAnsi" w:hAnsiTheme="minorHAnsi" w:cs="Adobe Garamond Pro"/>
          <w:sz w:val="22"/>
          <w:szCs w:val="22"/>
        </w:rPr>
      </w:pPr>
      <w:r w:rsidRPr="000D2FFD">
        <w:rPr>
          <w:rStyle w:val="A6"/>
          <w:rFonts w:asciiTheme="minorHAnsi" w:hAnsiTheme="minorHAnsi"/>
          <w:color w:val="auto"/>
          <w:sz w:val="22"/>
          <w:szCs w:val="22"/>
        </w:rPr>
        <w:t>Increase Completion</w:t>
      </w:r>
    </w:p>
    <w:p w:rsidR="00F03273" w:rsidRPr="000D2FFD" w:rsidRDefault="00F03273" w:rsidP="00FF01A8">
      <w:pPr>
        <w:pStyle w:val="Pa27"/>
        <w:numPr>
          <w:ilvl w:val="1"/>
          <w:numId w:val="2"/>
        </w:numPr>
        <w:spacing w:line="240" w:lineRule="auto"/>
        <w:ind w:left="1800"/>
        <w:rPr>
          <w:rFonts w:asciiTheme="minorHAnsi" w:hAnsiTheme="minorHAnsi" w:cs="Adobe Garamond Pro"/>
          <w:sz w:val="22"/>
          <w:szCs w:val="22"/>
        </w:rPr>
      </w:pPr>
      <w:r w:rsidRPr="000D2FFD">
        <w:rPr>
          <w:rStyle w:val="A6"/>
          <w:rFonts w:asciiTheme="minorHAnsi" w:hAnsiTheme="minorHAnsi"/>
          <w:color w:val="auto"/>
          <w:sz w:val="22"/>
          <w:szCs w:val="22"/>
        </w:rPr>
        <w:t>Improve Milestone Achievements</w:t>
      </w:r>
    </w:p>
    <w:p w:rsidR="00F03273" w:rsidRPr="000D2FFD" w:rsidRDefault="00F03273" w:rsidP="00FF01A8">
      <w:pPr>
        <w:pStyle w:val="Pa27"/>
        <w:numPr>
          <w:ilvl w:val="1"/>
          <w:numId w:val="2"/>
        </w:numPr>
        <w:spacing w:line="240" w:lineRule="auto"/>
        <w:ind w:left="1800"/>
        <w:rPr>
          <w:rFonts w:asciiTheme="minorHAnsi" w:hAnsiTheme="minorHAnsi" w:cs="Adobe Garamond Pro"/>
          <w:sz w:val="22"/>
          <w:szCs w:val="22"/>
        </w:rPr>
      </w:pPr>
      <w:r w:rsidRPr="000D2FFD">
        <w:rPr>
          <w:rStyle w:val="A6"/>
          <w:rFonts w:asciiTheme="minorHAnsi" w:hAnsiTheme="minorHAnsi"/>
          <w:color w:val="auto"/>
          <w:sz w:val="22"/>
          <w:szCs w:val="22"/>
        </w:rPr>
        <w:t>Increase Student Engagement</w:t>
      </w:r>
    </w:p>
    <w:p w:rsidR="00F03273" w:rsidRPr="000D2FFD" w:rsidRDefault="00F03273" w:rsidP="00FF01A8">
      <w:pPr>
        <w:pStyle w:val="Pa28"/>
        <w:spacing w:line="240" w:lineRule="auto"/>
        <w:ind w:left="1080"/>
        <w:rPr>
          <w:rFonts w:asciiTheme="minorHAnsi" w:hAnsiTheme="minorHAnsi" w:cs="Adobe Garamond Pro Bold"/>
          <w:sz w:val="22"/>
          <w:szCs w:val="22"/>
        </w:rPr>
      </w:pPr>
      <w:r w:rsidRPr="000D2FFD">
        <w:rPr>
          <w:rStyle w:val="A17"/>
          <w:rFonts w:asciiTheme="minorHAnsi" w:hAnsiTheme="minorHAnsi" w:cs="Adobe Garamond Pro"/>
          <w:b w:val="0"/>
          <w:bCs w:val="0"/>
          <w:color w:val="auto"/>
          <w:sz w:val="22"/>
          <w:szCs w:val="22"/>
        </w:rPr>
        <w:t xml:space="preserve">Strategic Goal #2: </w:t>
      </w:r>
      <w:r w:rsidRPr="000D2FFD">
        <w:rPr>
          <w:rStyle w:val="A17"/>
          <w:rFonts w:asciiTheme="minorHAnsi" w:hAnsiTheme="minorHAnsi" w:cs="Adobe Garamond Pro Bold"/>
          <w:color w:val="auto"/>
          <w:sz w:val="22"/>
          <w:szCs w:val="22"/>
        </w:rPr>
        <w:t>Equity</w:t>
      </w:r>
    </w:p>
    <w:p w:rsidR="00F03273" w:rsidRPr="000D2FFD" w:rsidRDefault="00F03273" w:rsidP="00FF01A8">
      <w:pPr>
        <w:pStyle w:val="Pa27"/>
        <w:numPr>
          <w:ilvl w:val="1"/>
          <w:numId w:val="2"/>
        </w:numPr>
        <w:spacing w:line="240" w:lineRule="auto"/>
        <w:ind w:left="1800"/>
        <w:rPr>
          <w:rFonts w:asciiTheme="minorHAnsi" w:hAnsiTheme="minorHAnsi" w:cs="Adobe Garamond Pro"/>
          <w:sz w:val="22"/>
          <w:szCs w:val="22"/>
        </w:rPr>
      </w:pPr>
      <w:r w:rsidRPr="000D2FFD">
        <w:rPr>
          <w:rStyle w:val="A6"/>
          <w:rFonts w:asciiTheme="minorHAnsi" w:hAnsiTheme="minorHAnsi"/>
          <w:color w:val="auto"/>
          <w:sz w:val="22"/>
          <w:szCs w:val="22"/>
        </w:rPr>
        <w:t>Close Achievement Gaps</w:t>
      </w:r>
    </w:p>
    <w:p w:rsidR="00F03273" w:rsidRPr="000D2FFD" w:rsidRDefault="00F03273" w:rsidP="00FF01A8">
      <w:pPr>
        <w:pStyle w:val="Pa28"/>
        <w:spacing w:line="240" w:lineRule="auto"/>
        <w:ind w:left="1080"/>
        <w:rPr>
          <w:rFonts w:asciiTheme="minorHAnsi" w:hAnsiTheme="minorHAnsi" w:cs="Adobe Garamond Pro Bold"/>
          <w:sz w:val="22"/>
          <w:szCs w:val="22"/>
        </w:rPr>
      </w:pPr>
      <w:r w:rsidRPr="000D2FFD">
        <w:rPr>
          <w:rStyle w:val="A17"/>
          <w:rFonts w:asciiTheme="minorHAnsi" w:hAnsiTheme="minorHAnsi" w:cs="Adobe Garamond Pro"/>
          <w:b w:val="0"/>
          <w:bCs w:val="0"/>
          <w:color w:val="auto"/>
          <w:sz w:val="22"/>
          <w:szCs w:val="22"/>
        </w:rPr>
        <w:t xml:space="preserve">Strategic Goal #3: </w:t>
      </w:r>
      <w:r w:rsidRPr="000D2FFD">
        <w:rPr>
          <w:rStyle w:val="A17"/>
          <w:rFonts w:asciiTheme="minorHAnsi" w:hAnsiTheme="minorHAnsi" w:cs="Adobe Garamond Pro Bold"/>
          <w:color w:val="auto"/>
          <w:sz w:val="22"/>
          <w:szCs w:val="22"/>
        </w:rPr>
        <w:t>Access</w:t>
      </w:r>
    </w:p>
    <w:p w:rsidR="00F03273" w:rsidRPr="000D2FFD" w:rsidRDefault="00F03273" w:rsidP="00FF01A8">
      <w:pPr>
        <w:pStyle w:val="Pa27"/>
        <w:numPr>
          <w:ilvl w:val="1"/>
          <w:numId w:val="2"/>
        </w:numPr>
        <w:spacing w:line="240" w:lineRule="auto"/>
        <w:ind w:left="1800"/>
        <w:rPr>
          <w:rFonts w:asciiTheme="minorHAnsi" w:hAnsiTheme="minorHAnsi" w:cs="Adobe Garamond Pro"/>
          <w:sz w:val="22"/>
          <w:szCs w:val="22"/>
        </w:rPr>
      </w:pPr>
      <w:r w:rsidRPr="000D2FFD">
        <w:rPr>
          <w:rStyle w:val="A6"/>
          <w:rFonts w:asciiTheme="minorHAnsi" w:hAnsiTheme="minorHAnsi"/>
          <w:color w:val="auto"/>
          <w:sz w:val="22"/>
          <w:szCs w:val="22"/>
        </w:rPr>
        <w:t>Optimize Student Enrollment</w:t>
      </w:r>
    </w:p>
    <w:p w:rsidR="00F03273" w:rsidRPr="000D2FFD" w:rsidRDefault="00F03273" w:rsidP="00FF01A8">
      <w:pPr>
        <w:pStyle w:val="Pa27"/>
        <w:numPr>
          <w:ilvl w:val="1"/>
          <w:numId w:val="2"/>
        </w:numPr>
        <w:spacing w:line="240" w:lineRule="auto"/>
        <w:ind w:left="1800"/>
        <w:rPr>
          <w:rFonts w:asciiTheme="minorHAnsi" w:hAnsiTheme="minorHAnsi" w:cs="Adobe Garamond Pro"/>
          <w:sz w:val="22"/>
          <w:szCs w:val="22"/>
        </w:rPr>
      </w:pPr>
      <w:r w:rsidRPr="000D2FFD">
        <w:rPr>
          <w:rStyle w:val="A6"/>
          <w:rFonts w:asciiTheme="minorHAnsi" w:hAnsiTheme="minorHAnsi"/>
          <w:color w:val="auto"/>
          <w:sz w:val="22"/>
          <w:szCs w:val="22"/>
        </w:rPr>
        <w:t>Be the Higher Education Option of First Choice</w:t>
      </w:r>
    </w:p>
    <w:p w:rsidR="00F03273" w:rsidRPr="000D2FFD" w:rsidRDefault="00F03273" w:rsidP="00FF01A8">
      <w:pPr>
        <w:pStyle w:val="Pa28"/>
        <w:spacing w:line="240" w:lineRule="auto"/>
        <w:ind w:left="1080"/>
        <w:rPr>
          <w:rFonts w:asciiTheme="minorHAnsi" w:hAnsiTheme="minorHAnsi" w:cs="Adobe Garamond Pro Bold"/>
          <w:sz w:val="22"/>
          <w:szCs w:val="22"/>
        </w:rPr>
      </w:pPr>
      <w:r w:rsidRPr="000D2FFD">
        <w:rPr>
          <w:rStyle w:val="A17"/>
          <w:rFonts w:asciiTheme="minorHAnsi" w:hAnsiTheme="minorHAnsi" w:cs="Adobe Garamond Pro"/>
          <w:b w:val="0"/>
          <w:bCs w:val="0"/>
          <w:color w:val="auto"/>
          <w:sz w:val="22"/>
          <w:szCs w:val="22"/>
        </w:rPr>
        <w:t xml:space="preserve">Strategic Goal #4: </w:t>
      </w:r>
      <w:r w:rsidRPr="000D2FFD">
        <w:rPr>
          <w:rStyle w:val="A17"/>
          <w:rFonts w:asciiTheme="minorHAnsi" w:hAnsiTheme="minorHAnsi" w:cs="Adobe Garamond Pro Bold"/>
          <w:color w:val="auto"/>
          <w:sz w:val="22"/>
          <w:szCs w:val="22"/>
        </w:rPr>
        <w:t>Community Connections</w:t>
      </w:r>
    </w:p>
    <w:p w:rsidR="00F03273" w:rsidRPr="000D2FFD" w:rsidRDefault="00F03273" w:rsidP="00FF01A8">
      <w:pPr>
        <w:pStyle w:val="Pa27"/>
        <w:numPr>
          <w:ilvl w:val="1"/>
          <w:numId w:val="2"/>
        </w:numPr>
        <w:spacing w:line="240" w:lineRule="auto"/>
        <w:ind w:left="1800"/>
        <w:rPr>
          <w:rFonts w:asciiTheme="minorHAnsi" w:hAnsiTheme="minorHAnsi" w:cs="Adobe Garamond Pro"/>
          <w:sz w:val="22"/>
          <w:szCs w:val="22"/>
        </w:rPr>
      </w:pPr>
      <w:r w:rsidRPr="000D2FFD">
        <w:rPr>
          <w:rStyle w:val="A6"/>
          <w:rFonts w:asciiTheme="minorHAnsi" w:hAnsiTheme="minorHAnsi"/>
          <w:color w:val="auto"/>
          <w:sz w:val="22"/>
          <w:szCs w:val="22"/>
        </w:rPr>
        <w:t>Provide Workforce and Economic Development Programs that Respond to Local Industry</w:t>
      </w:r>
    </w:p>
    <w:p w:rsidR="00F03273" w:rsidRPr="000D2FFD" w:rsidRDefault="00F03273" w:rsidP="00FF01A8">
      <w:pPr>
        <w:pStyle w:val="Pa27"/>
        <w:numPr>
          <w:ilvl w:val="1"/>
          <w:numId w:val="2"/>
        </w:numPr>
        <w:spacing w:line="240" w:lineRule="auto"/>
        <w:ind w:left="1800"/>
        <w:rPr>
          <w:rFonts w:asciiTheme="minorHAnsi" w:hAnsiTheme="minorHAnsi" w:cs="Adobe Garamond Pro"/>
          <w:sz w:val="22"/>
          <w:szCs w:val="22"/>
        </w:rPr>
      </w:pPr>
      <w:r w:rsidRPr="000D2FFD">
        <w:rPr>
          <w:rStyle w:val="A6"/>
          <w:rFonts w:asciiTheme="minorHAnsi" w:hAnsiTheme="minorHAnsi"/>
          <w:color w:val="auto"/>
          <w:sz w:val="22"/>
          <w:szCs w:val="22"/>
        </w:rPr>
        <w:t>Reflect the Communities We Serve</w:t>
      </w:r>
    </w:p>
    <w:p w:rsidR="00F03273" w:rsidRPr="000D2FFD" w:rsidRDefault="00F03273" w:rsidP="00FF01A8">
      <w:pPr>
        <w:pStyle w:val="Pa28"/>
        <w:spacing w:line="240" w:lineRule="auto"/>
        <w:ind w:left="1080"/>
        <w:rPr>
          <w:rFonts w:asciiTheme="minorHAnsi" w:hAnsiTheme="minorHAnsi" w:cs="Adobe Garamond Pro Bold"/>
          <w:sz w:val="22"/>
          <w:szCs w:val="22"/>
        </w:rPr>
      </w:pPr>
      <w:r w:rsidRPr="000D2FFD">
        <w:rPr>
          <w:rStyle w:val="A17"/>
          <w:rFonts w:asciiTheme="minorHAnsi" w:hAnsiTheme="minorHAnsi" w:cs="Adobe Garamond Pro"/>
          <w:b w:val="0"/>
          <w:bCs w:val="0"/>
          <w:color w:val="auto"/>
          <w:sz w:val="22"/>
          <w:szCs w:val="22"/>
        </w:rPr>
        <w:t xml:space="preserve">Strategic Goal #5: </w:t>
      </w:r>
      <w:r w:rsidRPr="000D2FFD">
        <w:rPr>
          <w:rStyle w:val="A17"/>
          <w:rFonts w:asciiTheme="minorHAnsi" w:hAnsiTheme="minorHAnsi" w:cs="Adobe Garamond Pro Bold"/>
          <w:color w:val="auto"/>
          <w:sz w:val="22"/>
          <w:szCs w:val="22"/>
        </w:rPr>
        <w:t>Organizational Effectiveness</w:t>
      </w:r>
    </w:p>
    <w:p w:rsidR="00F03273" w:rsidRPr="000D2FFD" w:rsidRDefault="00F03273" w:rsidP="00FF01A8">
      <w:pPr>
        <w:pStyle w:val="Pa27"/>
        <w:numPr>
          <w:ilvl w:val="2"/>
          <w:numId w:val="2"/>
        </w:numPr>
        <w:spacing w:line="240" w:lineRule="auto"/>
        <w:rPr>
          <w:rFonts w:asciiTheme="minorHAnsi" w:hAnsiTheme="minorHAnsi" w:cs="Adobe Garamond Pro"/>
          <w:sz w:val="22"/>
          <w:szCs w:val="22"/>
        </w:rPr>
      </w:pPr>
      <w:r w:rsidRPr="000D2FFD">
        <w:rPr>
          <w:rStyle w:val="A6"/>
          <w:rFonts w:asciiTheme="minorHAnsi" w:hAnsiTheme="minorHAnsi"/>
          <w:color w:val="auto"/>
          <w:sz w:val="22"/>
          <w:szCs w:val="22"/>
        </w:rPr>
        <w:t>Provide Effective Professional Development</w:t>
      </w:r>
    </w:p>
    <w:p w:rsidR="00F03273" w:rsidRPr="000D2FFD" w:rsidRDefault="00F03273" w:rsidP="00FF01A8">
      <w:pPr>
        <w:pStyle w:val="Pa27"/>
        <w:numPr>
          <w:ilvl w:val="2"/>
          <w:numId w:val="2"/>
        </w:numPr>
        <w:spacing w:line="240" w:lineRule="auto"/>
        <w:rPr>
          <w:rFonts w:asciiTheme="minorHAnsi" w:hAnsiTheme="minorHAnsi" w:cs="Adobe Garamond Pro"/>
          <w:sz w:val="22"/>
          <w:szCs w:val="22"/>
        </w:rPr>
      </w:pPr>
      <w:r w:rsidRPr="000D2FFD">
        <w:rPr>
          <w:rStyle w:val="A6"/>
          <w:rFonts w:asciiTheme="minorHAnsi" w:hAnsiTheme="minorHAnsi"/>
          <w:color w:val="auto"/>
          <w:sz w:val="22"/>
          <w:szCs w:val="22"/>
        </w:rPr>
        <w:t>Meet and Exceed Internal and External Standards and Requirements</w:t>
      </w:r>
    </w:p>
    <w:p w:rsidR="00F03273" w:rsidRPr="000D2FFD" w:rsidRDefault="00F03273" w:rsidP="00FF01A8">
      <w:pPr>
        <w:pStyle w:val="Pa27"/>
        <w:numPr>
          <w:ilvl w:val="2"/>
          <w:numId w:val="2"/>
        </w:numPr>
        <w:spacing w:line="240" w:lineRule="auto"/>
        <w:rPr>
          <w:rFonts w:asciiTheme="minorHAnsi" w:hAnsiTheme="minorHAnsi" w:cs="Adobe Garamond Pro"/>
          <w:sz w:val="22"/>
          <w:szCs w:val="22"/>
        </w:rPr>
      </w:pPr>
      <w:r w:rsidRPr="000D2FFD">
        <w:rPr>
          <w:rStyle w:val="A6"/>
          <w:rFonts w:asciiTheme="minorHAnsi" w:hAnsiTheme="minorHAnsi"/>
          <w:color w:val="auto"/>
          <w:sz w:val="22"/>
          <w:szCs w:val="22"/>
        </w:rPr>
        <w:t>Increase Trust and Create a Collaborative Culture</w:t>
      </w:r>
    </w:p>
    <w:p w:rsidR="00F03273" w:rsidRPr="00FF01A8" w:rsidRDefault="00F03273" w:rsidP="00FF01A8">
      <w:pPr>
        <w:pStyle w:val="ListParagraph"/>
        <w:numPr>
          <w:ilvl w:val="2"/>
          <w:numId w:val="2"/>
        </w:numPr>
        <w:spacing w:after="0" w:line="240" w:lineRule="auto"/>
        <w:rPr>
          <w:rStyle w:val="A6"/>
          <w:rFonts w:asciiTheme="minorHAnsi" w:hAnsiTheme="minorHAnsi" w:cstheme="minorBidi"/>
          <w:color w:val="auto"/>
          <w:sz w:val="22"/>
          <w:szCs w:val="22"/>
        </w:rPr>
      </w:pPr>
      <w:r w:rsidRPr="000D2FFD">
        <w:rPr>
          <w:rStyle w:val="A6"/>
          <w:rFonts w:asciiTheme="minorHAnsi" w:hAnsiTheme="minorHAnsi"/>
          <w:color w:val="auto"/>
          <w:sz w:val="22"/>
          <w:szCs w:val="22"/>
        </w:rPr>
        <w:lastRenderedPageBreak/>
        <w:t>Improve Facilities and Maintenance</w:t>
      </w:r>
    </w:p>
    <w:p w:rsidR="00FF01A8" w:rsidRDefault="00FF01A8" w:rsidP="00FF01A8">
      <w:pPr>
        <w:spacing w:after="0" w:line="240" w:lineRule="auto"/>
        <w:rPr>
          <w:b/>
        </w:rPr>
      </w:pPr>
    </w:p>
    <w:p w:rsidR="00FF01A8" w:rsidRPr="00FF01A8" w:rsidRDefault="00FF01A8" w:rsidP="00FF01A8">
      <w:pPr>
        <w:pStyle w:val="ListParagraph"/>
        <w:numPr>
          <w:ilvl w:val="0"/>
          <w:numId w:val="3"/>
        </w:numPr>
        <w:spacing w:after="0" w:line="240" w:lineRule="auto"/>
        <w:rPr>
          <w:b/>
        </w:rPr>
      </w:pPr>
      <w:r w:rsidRPr="00FF01A8">
        <w:rPr>
          <w:b/>
        </w:rPr>
        <w:t>How do we incorporate our environmental scan into spring meetings?</w:t>
      </w:r>
    </w:p>
    <w:p w:rsidR="00FF01A8" w:rsidRPr="00FF01A8" w:rsidRDefault="00FF01A8" w:rsidP="00FF01A8">
      <w:pPr>
        <w:spacing w:after="0" w:line="240" w:lineRule="auto"/>
        <w:rPr>
          <w:b/>
        </w:rPr>
      </w:pPr>
    </w:p>
    <w:p w:rsidR="00FF01A8" w:rsidRPr="00FF01A8" w:rsidRDefault="00FF01A8" w:rsidP="00FF01A8">
      <w:pPr>
        <w:pStyle w:val="ListParagraph"/>
        <w:numPr>
          <w:ilvl w:val="0"/>
          <w:numId w:val="3"/>
        </w:numPr>
        <w:spacing w:after="0" w:line="240" w:lineRule="auto"/>
        <w:rPr>
          <w:b/>
        </w:rPr>
      </w:pPr>
      <w:r w:rsidRPr="00FF01A8">
        <w:rPr>
          <w:b/>
        </w:rPr>
        <w:t>Schedule spring committee meetings</w:t>
      </w:r>
      <w:r>
        <w:rPr>
          <w:b/>
        </w:rPr>
        <w:t xml:space="preserve"> (January and February)</w:t>
      </w:r>
    </w:p>
    <w:tbl>
      <w:tblPr>
        <w:tblStyle w:val="TableGrid"/>
        <w:tblpPr w:leftFromText="180" w:rightFromText="180" w:vertAnchor="text" w:horzAnchor="margin" w:tblpXSpec="center" w:tblpY="163"/>
        <w:tblW w:w="0" w:type="auto"/>
        <w:tblLook w:val="04A0" w:firstRow="1" w:lastRow="0" w:firstColumn="1" w:lastColumn="0" w:noHBand="0" w:noVBand="1"/>
      </w:tblPr>
      <w:tblGrid>
        <w:gridCol w:w="3192"/>
        <w:gridCol w:w="1326"/>
        <w:gridCol w:w="1260"/>
        <w:gridCol w:w="1530"/>
      </w:tblGrid>
      <w:tr w:rsidR="00B669EA" w:rsidTr="00B669EA">
        <w:trPr>
          <w:trHeight w:val="576"/>
        </w:trPr>
        <w:tc>
          <w:tcPr>
            <w:tcW w:w="3192" w:type="dxa"/>
            <w:vAlign w:val="center"/>
          </w:tcPr>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Academic Senate</w:t>
            </w:r>
          </w:p>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Wednesdays, 330-500</w:t>
            </w:r>
          </w:p>
        </w:tc>
        <w:tc>
          <w:tcPr>
            <w:tcW w:w="1326"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1/28</w:t>
            </w:r>
          </w:p>
          <w:p w:rsidR="00B669EA" w:rsidRPr="00FF01A8" w:rsidRDefault="00B669EA" w:rsidP="00B669EA">
            <w:pPr>
              <w:spacing w:after="0" w:line="240" w:lineRule="auto"/>
              <w:rPr>
                <w:rFonts w:eastAsia="Times New Roman"/>
                <w:sz w:val="20"/>
                <w:szCs w:val="20"/>
              </w:rPr>
            </w:pPr>
          </w:p>
        </w:tc>
        <w:tc>
          <w:tcPr>
            <w:tcW w:w="126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 xml:space="preserve">2/11, </w:t>
            </w:r>
          </w:p>
          <w:p w:rsidR="00B669EA" w:rsidRPr="00FF01A8" w:rsidRDefault="00B669EA" w:rsidP="00B669EA">
            <w:pPr>
              <w:spacing w:after="0" w:line="240" w:lineRule="auto"/>
              <w:rPr>
                <w:rFonts w:eastAsia="Times New Roman"/>
                <w:sz w:val="20"/>
                <w:szCs w:val="20"/>
              </w:rPr>
            </w:pPr>
            <w:r w:rsidRPr="00FF01A8">
              <w:rPr>
                <w:rFonts w:eastAsia="Times New Roman"/>
                <w:sz w:val="20"/>
                <w:szCs w:val="20"/>
              </w:rPr>
              <w:t>2/25</w:t>
            </w:r>
          </w:p>
        </w:tc>
        <w:tc>
          <w:tcPr>
            <w:tcW w:w="153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Kate</w:t>
            </w:r>
          </w:p>
        </w:tc>
      </w:tr>
      <w:tr w:rsidR="00B669EA" w:rsidTr="00B669EA">
        <w:trPr>
          <w:trHeight w:val="576"/>
        </w:trPr>
        <w:tc>
          <w:tcPr>
            <w:tcW w:w="3192" w:type="dxa"/>
            <w:vAlign w:val="center"/>
          </w:tcPr>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 xml:space="preserve">Administrative Council </w:t>
            </w:r>
          </w:p>
          <w:p w:rsidR="00B669EA" w:rsidRPr="00FF01A8" w:rsidRDefault="00B669EA" w:rsidP="00B669EA">
            <w:pPr>
              <w:spacing w:after="0" w:line="240" w:lineRule="auto"/>
              <w:contextualSpacing/>
              <w:rPr>
                <w:rFonts w:eastAsia="Times New Roman"/>
                <w:sz w:val="20"/>
                <w:szCs w:val="20"/>
              </w:rPr>
            </w:pPr>
          </w:p>
        </w:tc>
        <w:tc>
          <w:tcPr>
            <w:tcW w:w="1326"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1/12</w:t>
            </w:r>
          </w:p>
        </w:tc>
        <w:tc>
          <w:tcPr>
            <w:tcW w:w="126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2/9</w:t>
            </w:r>
          </w:p>
        </w:tc>
        <w:tc>
          <w:tcPr>
            <w:tcW w:w="153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Todd, Craig, Liz</w:t>
            </w:r>
          </w:p>
        </w:tc>
      </w:tr>
      <w:tr w:rsidR="00B669EA" w:rsidTr="00B669EA">
        <w:trPr>
          <w:trHeight w:val="576"/>
        </w:trPr>
        <w:tc>
          <w:tcPr>
            <w:tcW w:w="3192" w:type="dxa"/>
            <w:vAlign w:val="center"/>
          </w:tcPr>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AIQ</w:t>
            </w:r>
          </w:p>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Tuesdays, 330-500</w:t>
            </w:r>
          </w:p>
        </w:tc>
        <w:tc>
          <w:tcPr>
            <w:tcW w:w="1326"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1/20</w:t>
            </w:r>
          </w:p>
        </w:tc>
        <w:tc>
          <w:tcPr>
            <w:tcW w:w="126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 xml:space="preserve">2/3, </w:t>
            </w:r>
          </w:p>
          <w:p w:rsidR="00B669EA" w:rsidRPr="00FF01A8" w:rsidRDefault="00B669EA" w:rsidP="00B669EA">
            <w:pPr>
              <w:spacing w:after="0" w:line="240" w:lineRule="auto"/>
              <w:rPr>
                <w:rFonts w:eastAsia="Times New Roman"/>
                <w:sz w:val="20"/>
                <w:szCs w:val="20"/>
              </w:rPr>
            </w:pPr>
            <w:r w:rsidRPr="00FF01A8">
              <w:rPr>
                <w:rFonts w:eastAsia="Times New Roman"/>
                <w:sz w:val="20"/>
                <w:szCs w:val="20"/>
              </w:rPr>
              <w:t>2/17</w:t>
            </w:r>
          </w:p>
        </w:tc>
        <w:tc>
          <w:tcPr>
            <w:tcW w:w="153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Kate, Todd</w:t>
            </w:r>
          </w:p>
        </w:tc>
      </w:tr>
      <w:tr w:rsidR="00B669EA" w:rsidTr="00B669EA">
        <w:trPr>
          <w:trHeight w:val="576"/>
        </w:trPr>
        <w:tc>
          <w:tcPr>
            <w:tcW w:w="3192" w:type="dxa"/>
            <w:vAlign w:val="center"/>
          </w:tcPr>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Assessment</w:t>
            </w:r>
          </w:p>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Fridays, 900-1030</w:t>
            </w:r>
          </w:p>
        </w:tc>
        <w:tc>
          <w:tcPr>
            <w:tcW w:w="1326" w:type="dxa"/>
            <w:vAlign w:val="center"/>
          </w:tcPr>
          <w:p w:rsidR="00B669EA" w:rsidRPr="00FF01A8" w:rsidRDefault="00B669EA" w:rsidP="00B669EA">
            <w:pPr>
              <w:spacing w:after="0" w:line="240" w:lineRule="auto"/>
              <w:rPr>
                <w:rFonts w:eastAsia="Times New Roman"/>
                <w:sz w:val="20"/>
                <w:szCs w:val="20"/>
              </w:rPr>
            </w:pPr>
          </w:p>
        </w:tc>
        <w:tc>
          <w:tcPr>
            <w:tcW w:w="1260" w:type="dxa"/>
            <w:vAlign w:val="center"/>
          </w:tcPr>
          <w:p w:rsidR="00B669EA" w:rsidRPr="00FF01A8" w:rsidRDefault="00B669EA" w:rsidP="00B669EA">
            <w:pPr>
              <w:spacing w:after="0" w:line="240" w:lineRule="auto"/>
              <w:rPr>
                <w:rFonts w:eastAsia="Times New Roman"/>
                <w:sz w:val="20"/>
                <w:szCs w:val="20"/>
                <w:highlight w:val="yellow"/>
              </w:rPr>
            </w:pPr>
            <w:r w:rsidRPr="00FF01A8">
              <w:rPr>
                <w:rFonts w:eastAsia="Times New Roman"/>
                <w:sz w:val="20"/>
                <w:szCs w:val="20"/>
                <w:highlight w:val="yellow"/>
              </w:rPr>
              <w:t>2/6</w:t>
            </w:r>
          </w:p>
        </w:tc>
        <w:tc>
          <w:tcPr>
            <w:tcW w:w="1530" w:type="dxa"/>
            <w:vAlign w:val="center"/>
          </w:tcPr>
          <w:p w:rsidR="00B669EA" w:rsidRPr="00FF01A8" w:rsidRDefault="00B669EA" w:rsidP="00B669EA">
            <w:pPr>
              <w:spacing w:after="0" w:line="240" w:lineRule="auto"/>
              <w:rPr>
                <w:rFonts w:eastAsia="Times New Roman"/>
                <w:sz w:val="20"/>
                <w:szCs w:val="20"/>
              </w:rPr>
            </w:pPr>
          </w:p>
        </w:tc>
      </w:tr>
      <w:tr w:rsidR="00B669EA" w:rsidTr="00B669EA">
        <w:trPr>
          <w:trHeight w:val="576"/>
        </w:trPr>
        <w:tc>
          <w:tcPr>
            <w:tcW w:w="3192" w:type="dxa"/>
            <w:vAlign w:val="center"/>
          </w:tcPr>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Budget</w:t>
            </w:r>
          </w:p>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Mondays, 330-500</w:t>
            </w:r>
          </w:p>
        </w:tc>
        <w:tc>
          <w:tcPr>
            <w:tcW w:w="1326"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1/26</w:t>
            </w:r>
          </w:p>
        </w:tc>
        <w:tc>
          <w:tcPr>
            <w:tcW w:w="126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2/23</w:t>
            </w:r>
          </w:p>
        </w:tc>
        <w:tc>
          <w:tcPr>
            <w:tcW w:w="1530" w:type="dxa"/>
            <w:vAlign w:val="center"/>
          </w:tcPr>
          <w:p w:rsidR="00B669EA" w:rsidRPr="00FF01A8" w:rsidRDefault="00B669EA" w:rsidP="00B669EA">
            <w:pPr>
              <w:spacing w:after="0" w:line="240" w:lineRule="auto"/>
              <w:rPr>
                <w:rFonts w:eastAsia="Times New Roman"/>
                <w:sz w:val="20"/>
                <w:szCs w:val="20"/>
              </w:rPr>
            </w:pPr>
          </w:p>
        </w:tc>
      </w:tr>
      <w:tr w:rsidR="00B669EA" w:rsidTr="00B669EA">
        <w:trPr>
          <w:trHeight w:val="576"/>
        </w:trPr>
        <w:tc>
          <w:tcPr>
            <w:tcW w:w="3192" w:type="dxa"/>
            <w:vAlign w:val="center"/>
          </w:tcPr>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College Council</w:t>
            </w:r>
          </w:p>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Fridays, 830-1030</w:t>
            </w:r>
          </w:p>
        </w:tc>
        <w:tc>
          <w:tcPr>
            <w:tcW w:w="1326"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1/30</w:t>
            </w:r>
          </w:p>
        </w:tc>
        <w:tc>
          <w:tcPr>
            <w:tcW w:w="126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 xml:space="preserve">2/6, </w:t>
            </w:r>
          </w:p>
          <w:p w:rsidR="00B669EA" w:rsidRPr="00FF01A8" w:rsidRDefault="00B669EA" w:rsidP="00B669EA">
            <w:pPr>
              <w:spacing w:after="0" w:line="240" w:lineRule="auto"/>
              <w:rPr>
                <w:rFonts w:eastAsia="Times New Roman"/>
                <w:sz w:val="20"/>
                <w:szCs w:val="20"/>
              </w:rPr>
            </w:pPr>
            <w:r w:rsidRPr="00FF01A8">
              <w:rPr>
                <w:rFonts w:eastAsia="Times New Roman"/>
                <w:sz w:val="20"/>
                <w:szCs w:val="20"/>
              </w:rPr>
              <w:t>2/20</w:t>
            </w:r>
          </w:p>
        </w:tc>
        <w:tc>
          <w:tcPr>
            <w:tcW w:w="153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Kate</w:t>
            </w:r>
          </w:p>
        </w:tc>
      </w:tr>
      <w:tr w:rsidR="00B669EA" w:rsidTr="00B669EA">
        <w:trPr>
          <w:trHeight w:val="576"/>
        </w:trPr>
        <w:tc>
          <w:tcPr>
            <w:tcW w:w="3192" w:type="dxa"/>
            <w:vAlign w:val="center"/>
          </w:tcPr>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Curriculum</w:t>
            </w:r>
          </w:p>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Thursdays, 230-400</w:t>
            </w:r>
          </w:p>
        </w:tc>
        <w:tc>
          <w:tcPr>
            <w:tcW w:w="1326" w:type="dxa"/>
            <w:vAlign w:val="center"/>
          </w:tcPr>
          <w:p w:rsidR="00B669EA" w:rsidRPr="00FF01A8" w:rsidRDefault="00B669EA" w:rsidP="00B669EA">
            <w:pPr>
              <w:spacing w:after="0" w:line="240" w:lineRule="auto"/>
              <w:rPr>
                <w:rFonts w:eastAsia="Times New Roman"/>
                <w:sz w:val="20"/>
                <w:szCs w:val="20"/>
              </w:rPr>
            </w:pPr>
          </w:p>
        </w:tc>
        <w:tc>
          <w:tcPr>
            <w:tcW w:w="126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 xml:space="preserve">2/12, </w:t>
            </w:r>
          </w:p>
          <w:p w:rsidR="00B669EA" w:rsidRPr="00FF01A8" w:rsidRDefault="00B669EA" w:rsidP="00B669EA">
            <w:pPr>
              <w:spacing w:after="0" w:line="240" w:lineRule="auto"/>
              <w:rPr>
                <w:rFonts w:eastAsia="Times New Roman"/>
                <w:sz w:val="20"/>
                <w:szCs w:val="20"/>
                <w:highlight w:val="yellow"/>
              </w:rPr>
            </w:pPr>
            <w:r w:rsidRPr="00FF01A8">
              <w:rPr>
                <w:rFonts w:eastAsia="Times New Roman"/>
                <w:sz w:val="20"/>
                <w:szCs w:val="20"/>
              </w:rPr>
              <w:t>2/26</w:t>
            </w:r>
          </w:p>
        </w:tc>
        <w:tc>
          <w:tcPr>
            <w:tcW w:w="1530" w:type="dxa"/>
            <w:vAlign w:val="center"/>
          </w:tcPr>
          <w:p w:rsidR="00B669EA" w:rsidRPr="00FF01A8" w:rsidRDefault="00B669EA" w:rsidP="00B669EA">
            <w:pPr>
              <w:spacing w:after="0" w:line="240" w:lineRule="auto"/>
              <w:rPr>
                <w:rFonts w:eastAsia="Times New Roman"/>
                <w:sz w:val="20"/>
                <w:szCs w:val="20"/>
              </w:rPr>
            </w:pPr>
          </w:p>
        </w:tc>
      </w:tr>
      <w:tr w:rsidR="00B669EA" w:rsidTr="00B669EA">
        <w:trPr>
          <w:trHeight w:val="576"/>
        </w:trPr>
        <w:tc>
          <w:tcPr>
            <w:tcW w:w="3192" w:type="dxa"/>
            <w:vAlign w:val="center"/>
          </w:tcPr>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EODAC</w:t>
            </w:r>
          </w:p>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Fridays, 930-1030</w:t>
            </w:r>
          </w:p>
        </w:tc>
        <w:tc>
          <w:tcPr>
            <w:tcW w:w="1326" w:type="dxa"/>
            <w:vAlign w:val="center"/>
          </w:tcPr>
          <w:p w:rsidR="00B669EA" w:rsidRPr="00FF01A8" w:rsidRDefault="00B669EA" w:rsidP="00B669EA">
            <w:pPr>
              <w:spacing w:after="0" w:line="240" w:lineRule="auto"/>
              <w:rPr>
                <w:rFonts w:eastAsia="Times New Roman"/>
                <w:sz w:val="20"/>
                <w:szCs w:val="20"/>
              </w:rPr>
            </w:pPr>
          </w:p>
        </w:tc>
        <w:tc>
          <w:tcPr>
            <w:tcW w:w="1260" w:type="dxa"/>
            <w:vAlign w:val="center"/>
          </w:tcPr>
          <w:p w:rsidR="00B669EA" w:rsidRPr="00FF01A8" w:rsidRDefault="00B669EA" w:rsidP="00B669EA">
            <w:pPr>
              <w:spacing w:after="0" w:line="240" w:lineRule="auto"/>
              <w:rPr>
                <w:rFonts w:eastAsia="Times New Roman"/>
                <w:sz w:val="20"/>
                <w:szCs w:val="20"/>
                <w:highlight w:val="yellow"/>
              </w:rPr>
            </w:pPr>
            <w:r w:rsidRPr="00FF01A8">
              <w:rPr>
                <w:rFonts w:eastAsia="Times New Roman"/>
                <w:sz w:val="20"/>
                <w:szCs w:val="20"/>
                <w:highlight w:val="yellow"/>
              </w:rPr>
              <w:t>2/13</w:t>
            </w:r>
          </w:p>
        </w:tc>
        <w:tc>
          <w:tcPr>
            <w:tcW w:w="1530" w:type="dxa"/>
            <w:vAlign w:val="center"/>
          </w:tcPr>
          <w:p w:rsidR="00B669EA" w:rsidRPr="00FF01A8" w:rsidRDefault="00B669EA" w:rsidP="00B669EA">
            <w:pPr>
              <w:spacing w:after="0" w:line="240" w:lineRule="auto"/>
              <w:rPr>
                <w:rFonts w:eastAsia="Times New Roman"/>
                <w:sz w:val="20"/>
                <w:szCs w:val="20"/>
              </w:rPr>
            </w:pPr>
          </w:p>
        </w:tc>
      </w:tr>
      <w:tr w:rsidR="00B669EA" w:rsidTr="00B669EA">
        <w:trPr>
          <w:trHeight w:val="576"/>
        </w:trPr>
        <w:tc>
          <w:tcPr>
            <w:tcW w:w="3192" w:type="dxa"/>
            <w:vAlign w:val="center"/>
          </w:tcPr>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Facilities</w:t>
            </w:r>
          </w:p>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Wednesday s, 100-2230</w:t>
            </w:r>
          </w:p>
        </w:tc>
        <w:tc>
          <w:tcPr>
            <w:tcW w:w="1326"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1/7</w:t>
            </w:r>
          </w:p>
        </w:tc>
        <w:tc>
          <w:tcPr>
            <w:tcW w:w="126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2/4</w:t>
            </w:r>
          </w:p>
        </w:tc>
        <w:tc>
          <w:tcPr>
            <w:tcW w:w="153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Craig</w:t>
            </w:r>
          </w:p>
        </w:tc>
      </w:tr>
      <w:tr w:rsidR="00B669EA" w:rsidTr="00B669EA">
        <w:trPr>
          <w:trHeight w:val="576"/>
        </w:trPr>
        <w:tc>
          <w:tcPr>
            <w:tcW w:w="3192" w:type="dxa"/>
            <w:vAlign w:val="center"/>
          </w:tcPr>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FCDC</w:t>
            </w:r>
          </w:p>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Fridays, 830-1030</w:t>
            </w:r>
          </w:p>
        </w:tc>
        <w:tc>
          <w:tcPr>
            <w:tcW w:w="1326"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1/23</w:t>
            </w:r>
          </w:p>
        </w:tc>
        <w:tc>
          <w:tcPr>
            <w:tcW w:w="126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2/27</w:t>
            </w:r>
          </w:p>
        </w:tc>
        <w:tc>
          <w:tcPr>
            <w:tcW w:w="153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Liz</w:t>
            </w:r>
          </w:p>
        </w:tc>
      </w:tr>
      <w:tr w:rsidR="00B669EA" w:rsidTr="00B669EA">
        <w:trPr>
          <w:trHeight w:val="576"/>
        </w:trPr>
        <w:tc>
          <w:tcPr>
            <w:tcW w:w="3192" w:type="dxa"/>
            <w:vAlign w:val="center"/>
          </w:tcPr>
          <w:p w:rsidR="00B669EA" w:rsidRPr="00FF01A8" w:rsidRDefault="00B669EA" w:rsidP="00B669EA">
            <w:pPr>
              <w:spacing w:after="0" w:line="240" w:lineRule="auto"/>
              <w:contextualSpacing/>
              <w:rPr>
                <w:sz w:val="20"/>
                <w:szCs w:val="20"/>
              </w:rPr>
            </w:pPr>
            <w:r w:rsidRPr="00FF01A8">
              <w:rPr>
                <w:rFonts w:eastAsia="Times New Roman"/>
                <w:sz w:val="20"/>
                <w:szCs w:val="20"/>
              </w:rPr>
              <w:t>ISIT</w:t>
            </w:r>
          </w:p>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Mondays, 300-430</w:t>
            </w:r>
          </w:p>
        </w:tc>
        <w:tc>
          <w:tcPr>
            <w:tcW w:w="1326" w:type="dxa"/>
            <w:vAlign w:val="center"/>
          </w:tcPr>
          <w:p w:rsidR="00B669EA" w:rsidRPr="00FF01A8" w:rsidRDefault="00B669EA" w:rsidP="00B669EA">
            <w:pPr>
              <w:spacing w:after="0" w:line="240" w:lineRule="auto"/>
              <w:rPr>
                <w:rFonts w:eastAsia="Times New Roman"/>
                <w:sz w:val="20"/>
                <w:szCs w:val="20"/>
              </w:rPr>
            </w:pPr>
          </w:p>
        </w:tc>
        <w:tc>
          <w:tcPr>
            <w:tcW w:w="1260" w:type="dxa"/>
            <w:vAlign w:val="center"/>
          </w:tcPr>
          <w:p w:rsidR="00B669EA" w:rsidRPr="00FF01A8" w:rsidRDefault="00B669EA" w:rsidP="00B669EA">
            <w:pPr>
              <w:spacing w:after="0" w:line="240" w:lineRule="auto"/>
              <w:rPr>
                <w:rFonts w:eastAsia="Times New Roman"/>
                <w:sz w:val="20"/>
                <w:szCs w:val="20"/>
                <w:highlight w:val="yellow"/>
              </w:rPr>
            </w:pPr>
            <w:r w:rsidRPr="00FF01A8">
              <w:rPr>
                <w:rFonts w:eastAsia="Times New Roman"/>
                <w:sz w:val="20"/>
                <w:szCs w:val="20"/>
                <w:highlight w:val="yellow"/>
              </w:rPr>
              <w:t>2/2</w:t>
            </w:r>
          </w:p>
        </w:tc>
        <w:tc>
          <w:tcPr>
            <w:tcW w:w="153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Todd</w:t>
            </w:r>
          </w:p>
        </w:tc>
      </w:tr>
      <w:tr w:rsidR="00B669EA" w:rsidTr="00B669EA">
        <w:trPr>
          <w:trHeight w:val="720"/>
        </w:trPr>
        <w:tc>
          <w:tcPr>
            <w:tcW w:w="3192" w:type="dxa"/>
          </w:tcPr>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Professional Development</w:t>
            </w:r>
          </w:p>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Fridays, 1000-1100</w:t>
            </w:r>
          </w:p>
        </w:tc>
        <w:tc>
          <w:tcPr>
            <w:tcW w:w="1326" w:type="dxa"/>
          </w:tcPr>
          <w:p w:rsidR="00B669EA" w:rsidRPr="00FF01A8" w:rsidRDefault="00B669EA" w:rsidP="00B669EA">
            <w:pPr>
              <w:spacing w:after="0" w:line="240" w:lineRule="auto"/>
              <w:rPr>
                <w:rFonts w:eastAsia="Times New Roman"/>
                <w:sz w:val="20"/>
                <w:szCs w:val="20"/>
              </w:rPr>
            </w:pPr>
          </w:p>
        </w:tc>
        <w:tc>
          <w:tcPr>
            <w:tcW w:w="1260" w:type="dxa"/>
            <w:vAlign w:val="center"/>
          </w:tcPr>
          <w:p w:rsidR="00B669EA" w:rsidRPr="00FF01A8" w:rsidRDefault="00B669EA" w:rsidP="00B669EA">
            <w:pPr>
              <w:spacing w:after="0" w:line="240" w:lineRule="auto"/>
              <w:rPr>
                <w:rFonts w:eastAsia="Times New Roman"/>
                <w:sz w:val="20"/>
                <w:szCs w:val="20"/>
                <w:highlight w:val="yellow"/>
              </w:rPr>
            </w:pPr>
            <w:r w:rsidRPr="00FF01A8">
              <w:rPr>
                <w:rFonts w:eastAsia="Times New Roman"/>
                <w:sz w:val="20"/>
                <w:szCs w:val="20"/>
                <w:highlight w:val="yellow"/>
              </w:rPr>
              <w:t>2/6</w:t>
            </w:r>
          </w:p>
        </w:tc>
        <w:tc>
          <w:tcPr>
            <w:tcW w:w="153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Todd</w:t>
            </w:r>
          </w:p>
        </w:tc>
      </w:tr>
      <w:tr w:rsidR="00B669EA" w:rsidTr="00B669EA">
        <w:trPr>
          <w:trHeight w:val="720"/>
        </w:trPr>
        <w:tc>
          <w:tcPr>
            <w:tcW w:w="3192" w:type="dxa"/>
            <w:vAlign w:val="center"/>
          </w:tcPr>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Program Review</w:t>
            </w:r>
          </w:p>
          <w:p w:rsidR="00B669EA" w:rsidRPr="00FF01A8" w:rsidRDefault="00B669EA" w:rsidP="00B669EA">
            <w:pPr>
              <w:spacing w:after="0" w:line="240" w:lineRule="auto"/>
              <w:contextualSpacing/>
              <w:rPr>
                <w:rFonts w:eastAsia="Times New Roman"/>
                <w:sz w:val="20"/>
                <w:szCs w:val="20"/>
              </w:rPr>
            </w:pPr>
            <w:r w:rsidRPr="00FF01A8">
              <w:rPr>
                <w:rFonts w:eastAsia="Times New Roman"/>
                <w:sz w:val="20"/>
                <w:szCs w:val="20"/>
              </w:rPr>
              <w:t>Tuesdays, 330-500</w:t>
            </w:r>
          </w:p>
          <w:p w:rsidR="00B669EA" w:rsidRPr="00FF01A8" w:rsidRDefault="00B669EA" w:rsidP="00B669EA">
            <w:pPr>
              <w:spacing w:after="0" w:line="240" w:lineRule="auto"/>
              <w:contextualSpacing/>
              <w:rPr>
                <w:rFonts w:eastAsia="Times New Roman"/>
                <w:sz w:val="20"/>
                <w:szCs w:val="20"/>
              </w:rPr>
            </w:pPr>
          </w:p>
        </w:tc>
        <w:tc>
          <w:tcPr>
            <w:tcW w:w="1326"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1/27</w:t>
            </w:r>
          </w:p>
        </w:tc>
        <w:tc>
          <w:tcPr>
            <w:tcW w:w="126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 xml:space="preserve">2/10, </w:t>
            </w:r>
          </w:p>
          <w:p w:rsidR="00B669EA" w:rsidRPr="00FF01A8" w:rsidRDefault="00B669EA" w:rsidP="00B669EA">
            <w:pPr>
              <w:spacing w:after="0" w:line="240" w:lineRule="auto"/>
              <w:rPr>
                <w:rFonts w:eastAsia="Times New Roman"/>
                <w:sz w:val="20"/>
                <w:szCs w:val="20"/>
              </w:rPr>
            </w:pPr>
            <w:r w:rsidRPr="00FF01A8">
              <w:rPr>
                <w:rFonts w:eastAsia="Times New Roman"/>
                <w:sz w:val="20"/>
                <w:szCs w:val="20"/>
              </w:rPr>
              <w:t>2/24</w:t>
            </w:r>
          </w:p>
        </w:tc>
        <w:tc>
          <w:tcPr>
            <w:tcW w:w="1530" w:type="dxa"/>
            <w:vAlign w:val="center"/>
          </w:tcPr>
          <w:p w:rsidR="00B669EA" w:rsidRPr="00FF01A8" w:rsidRDefault="00B669EA" w:rsidP="00B669EA">
            <w:pPr>
              <w:spacing w:after="0" w:line="240" w:lineRule="auto"/>
              <w:rPr>
                <w:rFonts w:eastAsia="Times New Roman"/>
                <w:sz w:val="20"/>
                <w:szCs w:val="20"/>
              </w:rPr>
            </w:pPr>
            <w:r w:rsidRPr="00FF01A8">
              <w:rPr>
                <w:rFonts w:eastAsia="Times New Roman"/>
                <w:sz w:val="20"/>
                <w:szCs w:val="20"/>
              </w:rPr>
              <w:t>Kate</w:t>
            </w:r>
          </w:p>
        </w:tc>
      </w:tr>
    </w:tbl>
    <w:p w:rsidR="00FF01A8" w:rsidRPr="00FF01A8" w:rsidRDefault="00FF01A8" w:rsidP="00FF01A8">
      <w:pPr>
        <w:pStyle w:val="ListParagraph"/>
        <w:rPr>
          <w:b/>
          <w:sz w:val="28"/>
          <w:szCs w:val="28"/>
        </w:rPr>
      </w:pPr>
    </w:p>
    <w:p w:rsidR="00FF01A8" w:rsidRDefault="00FF01A8" w:rsidP="00FF01A8">
      <w:pPr>
        <w:pStyle w:val="ListParagraph"/>
        <w:spacing w:line="240" w:lineRule="auto"/>
      </w:pPr>
    </w:p>
    <w:p w:rsidR="00FF01A8" w:rsidRPr="00FF01A8" w:rsidRDefault="00FF01A8" w:rsidP="00FF01A8">
      <w:pPr>
        <w:spacing w:after="0" w:line="240" w:lineRule="auto"/>
        <w:rPr>
          <w:b/>
        </w:rPr>
      </w:pPr>
    </w:p>
    <w:p w:rsidR="00FF01A8" w:rsidRDefault="00FF01A8"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FF01A8">
      <w:pPr>
        <w:spacing w:after="0" w:line="240" w:lineRule="auto"/>
        <w:rPr>
          <w:b/>
        </w:rPr>
      </w:pPr>
    </w:p>
    <w:p w:rsidR="00B669EA" w:rsidRDefault="00B669EA" w:rsidP="00B669EA">
      <w:pPr>
        <w:pStyle w:val="ListParagraph"/>
        <w:numPr>
          <w:ilvl w:val="0"/>
          <w:numId w:val="3"/>
        </w:numPr>
        <w:spacing w:after="0" w:line="240" w:lineRule="auto"/>
        <w:rPr>
          <w:b/>
        </w:rPr>
      </w:pPr>
      <w:r>
        <w:rPr>
          <w:b/>
        </w:rPr>
        <w:t>Plan for committee visit (Craig)</w:t>
      </w:r>
    </w:p>
    <w:p w:rsidR="00B669EA" w:rsidRDefault="00B669EA" w:rsidP="00B669EA">
      <w:pPr>
        <w:pStyle w:val="ListParagraph"/>
        <w:spacing w:after="0" w:line="240" w:lineRule="auto"/>
        <w:rPr>
          <w:b/>
        </w:rPr>
      </w:pPr>
    </w:p>
    <w:p w:rsidR="00B669EA" w:rsidRDefault="00B669EA" w:rsidP="00B669EA">
      <w:pPr>
        <w:pStyle w:val="ListParagraph"/>
        <w:numPr>
          <w:ilvl w:val="0"/>
          <w:numId w:val="3"/>
        </w:numPr>
        <w:spacing w:after="0" w:line="240" w:lineRule="auto"/>
        <w:rPr>
          <w:b/>
        </w:rPr>
      </w:pPr>
      <w:r>
        <w:rPr>
          <w:b/>
        </w:rPr>
        <w:t>Schedule forums</w:t>
      </w:r>
    </w:p>
    <w:p w:rsidR="00B669EA" w:rsidRDefault="00B669EA" w:rsidP="00B669EA">
      <w:pPr>
        <w:pStyle w:val="ListParagraph"/>
        <w:numPr>
          <w:ilvl w:val="1"/>
          <w:numId w:val="3"/>
        </w:numPr>
        <w:spacing w:after="0" w:line="240" w:lineRule="auto"/>
        <w:rPr>
          <w:b/>
        </w:rPr>
      </w:pPr>
      <w:r>
        <w:rPr>
          <w:b/>
        </w:rPr>
        <w:t>1-3 at Panorama campus</w:t>
      </w:r>
    </w:p>
    <w:p w:rsidR="00B669EA" w:rsidRDefault="00B669EA" w:rsidP="00B669EA">
      <w:pPr>
        <w:pStyle w:val="ListParagraph"/>
        <w:numPr>
          <w:ilvl w:val="1"/>
          <w:numId w:val="3"/>
        </w:numPr>
        <w:spacing w:after="0" w:line="240" w:lineRule="auto"/>
        <w:rPr>
          <w:b/>
        </w:rPr>
      </w:pPr>
      <w:r>
        <w:rPr>
          <w:b/>
        </w:rPr>
        <w:t>1 at Delano</w:t>
      </w:r>
    </w:p>
    <w:p w:rsidR="00B669EA" w:rsidRDefault="00B669EA" w:rsidP="00B669EA">
      <w:pPr>
        <w:pStyle w:val="ListParagraph"/>
        <w:spacing w:after="0" w:line="240" w:lineRule="auto"/>
        <w:ind w:left="1440"/>
        <w:rPr>
          <w:b/>
        </w:rPr>
      </w:pPr>
      <w:bookmarkStart w:id="0" w:name="_GoBack"/>
      <w:bookmarkEnd w:id="0"/>
    </w:p>
    <w:p w:rsidR="00B669EA" w:rsidRPr="00B669EA" w:rsidRDefault="00B669EA" w:rsidP="00B669EA">
      <w:pPr>
        <w:pStyle w:val="ListParagraph"/>
        <w:numPr>
          <w:ilvl w:val="0"/>
          <w:numId w:val="3"/>
        </w:numPr>
        <w:spacing w:after="0" w:line="240" w:lineRule="auto"/>
        <w:rPr>
          <w:b/>
        </w:rPr>
      </w:pPr>
      <w:r>
        <w:rPr>
          <w:b/>
        </w:rPr>
        <w:t>When do we meet next?</w:t>
      </w:r>
    </w:p>
    <w:sectPr w:rsidR="00B669EA" w:rsidRPr="00B669EA" w:rsidSect="00B669EA">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UHTXJ+ZapfDingbatsITC">
    <w:altName w:val="Zapf Dingbats"/>
    <w:panose1 w:val="00000000000000000000"/>
    <w:charset w:val="00"/>
    <w:family w:val="auto"/>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6121"/>
    <w:multiLevelType w:val="hybridMultilevel"/>
    <w:tmpl w:val="436844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7E0419"/>
    <w:multiLevelType w:val="hybridMultilevel"/>
    <w:tmpl w:val="7B062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A6260"/>
    <w:multiLevelType w:val="hybridMultilevel"/>
    <w:tmpl w:val="D30CF796"/>
    <w:lvl w:ilvl="0" w:tplc="04090001">
      <w:start w:val="1"/>
      <w:numFmt w:val="bullet"/>
      <w:lvlText w:val=""/>
      <w:lvlJc w:val="left"/>
      <w:pPr>
        <w:ind w:left="360" w:hanging="360"/>
      </w:pPr>
      <w:rPr>
        <w:rFonts w:ascii="Symbol" w:hAnsi="Symbol" w:hint="default"/>
      </w:rPr>
    </w:lvl>
    <w:lvl w:ilvl="1" w:tplc="D98A0AA8">
      <w:numFmt w:val="bullet"/>
      <w:lvlText w:val="•"/>
      <w:lvlJc w:val="left"/>
      <w:pPr>
        <w:ind w:left="1080" w:hanging="360"/>
      </w:pPr>
      <w:rPr>
        <w:rFonts w:ascii="Calibri" w:eastAsiaTheme="minorHAnsi" w:hAnsi="Calibri" w:cs="Adobe Garamond Pro"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2C7D55"/>
    <w:multiLevelType w:val="hybridMultilevel"/>
    <w:tmpl w:val="E8A6E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E731E6"/>
    <w:multiLevelType w:val="hybridMultilevel"/>
    <w:tmpl w:val="F06E7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73"/>
    <w:rsid w:val="000D2FFD"/>
    <w:rsid w:val="00397C4E"/>
    <w:rsid w:val="007A4C60"/>
    <w:rsid w:val="00897C52"/>
    <w:rsid w:val="00B669EA"/>
    <w:rsid w:val="00E17167"/>
    <w:rsid w:val="00F00ACA"/>
    <w:rsid w:val="00F03273"/>
    <w:rsid w:val="00FF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273"/>
    <w:pPr>
      <w:ind w:left="720"/>
      <w:contextualSpacing/>
    </w:pPr>
  </w:style>
  <w:style w:type="paragraph" w:customStyle="1" w:styleId="Default">
    <w:name w:val="Default"/>
    <w:rsid w:val="00F03273"/>
    <w:pPr>
      <w:autoSpaceDE w:val="0"/>
      <w:autoSpaceDN w:val="0"/>
      <w:adjustRightInd w:val="0"/>
      <w:spacing w:line="240" w:lineRule="auto"/>
    </w:pPr>
    <w:rPr>
      <w:rFonts w:ascii="GUHTXJ+ZapfDingbatsITC" w:hAnsi="GUHTXJ+ZapfDingbatsITC" w:cs="GUHTXJ+ZapfDingbatsITC"/>
      <w:color w:val="000000"/>
      <w:sz w:val="24"/>
      <w:szCs w:val="24"/>
    </w:rPr>
  </w:style>
  <w:style w:type="character" w:customStyle="1" w:styleId="A17">
    <w:name w:val="A17"/>
    <w:uiPriority w:val="99"/>
    <w:rsid w:val="00F03273"/>
    <w:rPr>
      <w:rFonts w:cs="GUHTXJ+ZapfDingbatsITC"/>
      <w:b/>
      <w:bCs/>
      <w:color w:val="B31E23"/>
      <w:sz w:val="44"/>
      <w:szCs w:val="44"/>
    </w:rPr>
  </w:style>
  <w:style w:type="paragraph" w:customStyle="1" w:styleId="Pa27">
    <w:name w:val="Pa27"/>
    <w:basedOn w:val="Default"/>
    <w:next w:val="Default"/>
    <w:uiPriority w:val="99"/>
    <w:rsid w:val="00F03273"/>
    <w:pPr>
      <w:spacing w:line="221" w:lineRule="atLeast"/>
    </w:pPr>
    <w:rPr>
      <w:rFonts w:cstheme="minorBidi"/>
      <w:color w:val="auto"/>
    </w:rPr>
  </w:style>
  <w:style w:type="character" w:customStyle="1" w:styleId="A6">
    <w:name w:val="A6"/>
    <w:uiPriority w:val="99"/>
    <w:rsid w:val="00F03273"/>
    <w:rPr>
      <w:rFonts w:ascii="Adobe Garamond Pro" w:hAnsi="Adobe Garamond Pro" w:cs="Adobe Garamond Pro"/>
      <w:color w:val="F48D1E"/>
      <w:sz w:val="32"/>
      <w:szCs w:val="32"/>
    </w:rPr>
  </w:style>
  <w:style w:type="paragraph" w:customStyle="1" w:styleId="Pa28">
    <w:name w:val="Pa28"/>
    <w:basedOn w:val="Default"/>
    <w:next w:val="Default"/>
    <w:uiPriority w:val="99"/>
    <w:rsid w:val="00F03273"/>
    <w:pPr>
      <w:spacing w:line="321" w:lineRule="atLeast"/>
    </w:pPr>
    <w:rPr>
      <w:rFonts w:cstheme="minorBidi"/>
      <w:color w:val="auto"/>
    </w:rPr>
  </w:style>
  <w:style w:type="table" w:styleId="TableGrid">
    <w:name w:val="Table Grid"/>
    <w:basedOn w:val="TableNormal"/>
    <w:uiPriority w:val="59"/>
    <w:rsid w:val="00FF01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273"/>
    <w:pPr>
      <w:ind w:left="720"/>
      <w:contextualSpacing/>
    </w:pPr>
  </w:style>
  <w:style w:type="paragraph" w:customStyle="1" w:styleId="Default">
    <w:name w:val="Default"/>
    <w:rsid w:val="00F03273"/>
    <w:pPr>
      <w:autoSpaceDE w:val="0"/>
      <w:autoSpaceDN w:val="0"/>
      <w:adjustRightInd w:val="0"/>
      <w:spacing w:line="240" w:lineRule="auto"/>
    </w:pPr>
    <w:rPr>
      <w:rFonts w:ascii="GUHTXJ+ZapfDingbatsITC" w:hAnsi="GUHTXJ+ZapfDingbatsITC" w:cs="GUHTXJ+ZapfDingbatsITC"/>
      <w:color w:val="000000"/>
      <w:sz w:val="24"/>
      <w:szCs w:val="24"/>
    </w:rPr>
  </w:style>
  <w:style w:type="character" w:customStyle="1" w:styleId="A17">
    <w:name w:val="A17"/>
    <w:uiPriority w:val="99"/>
    <w:rsid w:val="00F03273"/>
    <w:rPr>
      <w:rFonts w:cs="GUHTXJ+ZapfDingbatsITC"/>
      <w:b/>
      <w:bCs/>
      <w:color w:val="B31E23"/>
      <w:sz w:val="44"/>
      <w:szCs w:val="44"/>
    </w:rPr>
  </w:style>
  <w:style w:type="paragraph" w:customStyle="1" w:styleId="Pa27">
    <w:name w:val="Pa27"/>
    <w:basedOn w:val="Default"/>
    <w:next w:val="Default"/>
    <w:uiPriority w:val="99"/>
    <w:rsid w:val="00F03273"/>
    <w:pPr>
      <w:spacing w:line="221" w:lineRule="atLeast"/>
    </w:pPr>
    <w:rPr>
      <w:rFonts w:cstheme="minorBidi"/>
      <w:color w:val="auto"/>
    </w:rPr>
  </w:style>
  <w:style w:type="character" w:customStyle="1" w:styleId="A6">
    <w:name w:val="A6"/>
    <w:uiPriority w:val="99"/>
    <w:rsid w:val="00F03273"/>
    <w:rPr>
      <w:rFonts w:ascii="Adobe Garamond Pro" w:hAnsi="Adobe Garamond Pro" w:cs="Adobe Garamond Pro"/>
      <w:color w:val="F48D1E"/>
      <w:sz w:val="32"/>
      <w:szCs w:val="32"/>
    </w:rPr>
  </w:style>
  <w:style w:type="paragraph" w:customStyle="1" w:styleId="Pa28">
    <w:name w:val="Pa28"/>
    <w:basedOn w:val="Default"/>
    <w:next w:val="Default"/>
    <w:uiPriority w:val="99"/>
    <w:rsid w:val="00F03273"/>
    <w:pPr>
      <w:spacing w:line="321" w:lineRule="atLeast"/>
    </w:pPr>
    <w:rPr>
      <w:rFonts w:cstheme="minorBidi"/>
      <w:color w:val="auto"/>
    </w:rPr>
  </w:style>
  <w:style w:type="table" w:styleId="TableGrid">
    <w:name w:val="Table Grid"/>
    <w:basedOn w:val="TableNormal"/>
    <w:uiPriority w:val="59"/>
    <w:rsid w:val="00FF01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2</cp:revision>
  <dcterms:created xsi:type="dcterms:W3CDTF">2014-12-10T16:53:00Z</dcterms:created>
  <dcterms:modified xsi:type="dcterms:W3CDTF">2014-12-10T18:04:00Z</dcterms:modified>
</cp:coreProperties>
</file>