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5D" w:rsidRPr="00D66A5D" w:rsidRDefault="00A26680" w:rsidP="00A02203">
      <w:pPr>
        <w:spacing w:line="240" w:lineRule="auto"/>
        <w:jc w:val="center"/>
        <w:rPr>
          <w:b/>
          <w:color w:val="C00000"/>
          <w:sz w:val="24"/>
          <w:szCs w:val="24"/>
        </w:rPr>
      </w:pPr>
      <w:bookmarkStart w:id="0" w:name="_GoBack"/>
      <w:bookmarkEnd w:id="0"/>
      <w:r w:rsidRPr="00D66A5D">
        <w:rPr>
          <w:b/>
          <w:color w:val="C00000"/>
          <w:sz w:val="24"/>
          <w:szCs w:val="24"/>
        </w:rPr>
        <w:t>Developing Potential Initiatives</w:t>
      </w:r>
      <w:r w:rsidR="00D66A5D" w:rsidRPr="00D66A5D">
        <w:rPr>
          <w:b/>
          <w:color w:val="C00000"/>
          <w:sz w:val="24"/>
          <w:szCs w:val="24"/>
        </w:rPr>
        <w:t xml:space="preserve"> </w:t>
      </w:r>
    </w:p>
    <w:p w:rsidR="00A26680" w:rsidRDefault="00D66A5D" w:rsidP="00A02203">
      <w:pPr>
        <w:spacing w:line="240" w:lineRule="auto"/>
        <w:jc w:val="center"/>
        <w:rPr>
          <w:b/>
          <w:color w:val="C00000"/>
          <w:sz w:val="24"/>
          <w:szCs w:val="24"/>
        </w:rPr>
      </w:pPr>
      <w:r w:rsidRPr="00D66A5D">
        <w:rPr>
          <w:b/>
          <w:color w:val="C00000"/>
          <w:sz w:val="24"/>
          <w:szCs w:val="24"/>
        </w:rPr>
        <w:t xml:space="preserve">for the Proposed Strategic </w:t>
      </w:r>
      <w:r w:rsidR="00285E8E">
        <w:rPr>
          <w:b/>
          <w:color w:val="C00000"/>
          <w:sz w:val="24"/>
          <w:szCs w:val="24"/>
        </w:rPr>
        <w:t>Directions</w:t>
      </w:r>
      <w:r w:rsidRPr="00D66A5D">
        <w:rPr>
          <w:b/>
          <w:color w:val="C00000"/>
          <w:sz w:val="24"/>
          <w:szCs w:val="24"/>
        </w:rPr>
        <w:t xml:space="preserve">: 2015—2018 </w:t>
      </w:r>
    </w:p>
    <w:p w:rsidR="00556B75" w:rsidRPr="009C1D19" w:rsidRDefault="00556B75" w:rsidP="00285E8E">
      <w:pPr>
        <w:spacing w:line="240" w:lineRule="auto"/>
        <w:jc w:val="center"/>
      </w:pPr>
    </w:p>
    <w:p w:rsidR="00556B75" w:rsidRPr="009C1D19" w:rsidRDefault="00285E8E" w:rsidP="00C148AA">
      <w:pPr>
        <w:spacing w:line="240" w:lineRule="auto"/>
        <w:rPr>
          <w:i/>
        </w:rPr>
      </w:pPr>
      <w:r>
        <w:rPr>
          <w:b/>
          <w:color w:val="C00000"/>
        </w:rPr>
        <w:t>Direction</w:t>
      </w:r>
      <w:r w:rsidR="00556B75" w:rsidRPr="009C1D19">
        <w:rPr>
          <w:b/>
          <w:color w:val="C00000"/>
        </w:rPr>
        <w:t xml:space="preserve"> #2 </w:t>
      </w:r>
      <w:r w:rsidR="00C636AA" w:rsidRPr="009C1D19">
        <w:rPr>
          <w:b/>
          <w:color w:val="C00000"/>
        </w:rPr>
        <w:t xml:space="preserve"> </w:t>
      </w:r>
      <w:r w:rsidR="00556B75" w:rsidRPr="009C1D19">
        <w:rPr>
          <w:b/>
          <w:color w:val="C00000"/>
        </w:rPr>
        <w:t xml:space="preserve"> Student Progression and Completion</w:t>
      </w:r>
      <w:r w:rsidR="00C148AA" w:rsidRPr="009C1D19">
        <w:rPr>
          <w:color w:val="C00000"/>
        </w:rPr>
        <w:t xml:space="preserve">: </w:t>
      </w:r>
      <w:r w:rsidR="00556B75" w:rsidRPr="009C1D19">
        <w:rPr>
          <w:i/>
        </w:rPr>
        <w:t xml:space="preserve">A commitment to reduce the time for students to complete educational goals.  </w:t>
      </w:r>
    </w:p>
    <w:tbl>
      <w:tblPr>
        <w:tblStyle w:val="TableGrid"/>
        <w:tblW w:w="14616" w:type="dxa"/>
        <w:tblLook w:val="04A0" w:firstRow="1" w:lastRow="0" w:firstColumn="1" w:lastColumn="0" w:noHBand="0" w:noVBand="1"/>
      </w:tblPr>
      <w:tblGrid>
        <w:gridCol w:w="468"/>
        <w:gridCol w:w="7464"/>
        <w:gridCol w:w="3985"/>
        <w:gridCol w:w="2699"/>
      </w:tblGrid>
      <w:tr w:rsidR="00285E8E" w:rsidRPr="00FD64B8" w:rsidTr="00285E8E">
        <w:tc>
          <w:tcPr>
            <w:tcW w:w="468" w:type="dxa"/>
          </w:tcPr>
          <w:p w:rsidR="00285E8E" w:rsidRPr="00FD64B8" w:rsidRDefault="00285E8E" w:rsidP="00C148AA">
            <w:pPr>
              <w:spacing w:line="240" w:lineRule="auto"/>
              <w:jc w:val="center"/>
              <w:rPr>
                <w:b/>
              </w:rPr>
            </w:pPr>
          </w:p>
        </w:tc>
        <w:tc>
          <w:tcPr>
            <w:tcW w:w="7464" w:type="dxa"/>
            <w:vAlign w:val="center"/>
          </w:tcPr>
          <w:p w:rsidR="00285E8E" w:rsidRPr="00FD64B8" w:rsidRDefault="00285E8E" w:rsidP="00676388">
            <w:pPr>
              <w:spacing w:line="240" w:lineRule="auto"/>
              <w:jc w:val="center"/>
              <w:rPr>
                <w:b/>
              </w:rPr>
            </w:pPr>
            <w:r w:rsidRPr="00FD64B8">
              <w:rPr>
                <w:b/>
              </w:rPr>
              <w:t>Potential Initiative</w:t>
            </w:r>
          </w:p>
        </w:tc>
        <w:tc>
          <w:tcPr>
            <w:tcW w:w="3985" w:type="dxa"/>
            <w:vAlign w:val="center"/>
          </w:tcPr>
          <w:p w:rsidR="00285E8E" w:rsidRPr="00FD64B8" w:rsidRDefault="00676388" w:rsidP="00676388">
            <w:pPr>
              <w:spacing w:line="240" w:lineRule="auto"/>
              <w:jc w:val="center"/>
              <w:rPr>
                <w:b/>
              </w:rPr>
            </w:pPr>
            <w:r w:rsidRPr="00676388">
              <w:rPr>
                <w:b/>
              </w:rPr>
              <w:t>How will you evaluate and document the initiative’s success?</w:t>
            </w:r>
          </w:p>
        </w:tc>
        <w:tc>
          <w:tcPr>
            <w:tcW w:w="2699" w:type="dxa"/>
          </w:tcPr>
          <w:p w:rsidR="00285E8E" w:rsidRPr="00FD64B8" w:rsidRDefault="00285E8E" w:rsidP="00C148AA">
            <w:pPr>
              <w:spacing w:line="240" w:lineRule="auto"/>
              <w:jc w:val="center"/>
              <w:rPr>
                <w:b/>
              </w:rPr>
            </w:pPr>
            <w:r w:rsidRPr="00FD64B8">
              <w:rPr>
                <w:b/>
              </w:rPr>
              <w:t>What committee or position would be responsible?</w:t>
            </w:r>
          </w:p>
        </w:tc>
      </w:tr>
      <w:tr w:rsidR="00285E8E" w:rsidRPr="00FD64B8" w:rsidTr="00285E8E">
        <w:tc>
          <w:tcPr>
            <w:tcW w:w="468" w:type="dxa"/>
          </w:tcPr>
          <w:p w:rsidR="00285E8E" w:rsidRPr="00FD64B8" w:rsidRDefault="00285E8E" w:rsidP="00455F8E">
            <w:pPr>
              <w:spacing w:after="120" w:line="240" w:lineRule="auto"/>
            </w:pPr>
          </w:p>
        </w:tc>
        <w:tc>
          <w:tcPr>
            <w:tcW w:w="7464" w:type="dxa"/>
          </w:tcPr>
          <w:p w:rsidR="00285E8E" w:rsidRPr="00FD64B8" w:rsidRDefault="00285E8E" w:rsidP="00455F8E">
            <w:pPr>
              <w:spacing w:after="120" w:line="240" w:lineRule="auto"/>
            </w:pPr>
            <w:commentRangeStart w:id="1"/>
            <w:r w:rsidRPr="00FD64B8">
              <w:t>Advance the student learning outcomes work from Proficiency to Sustainable Continuous Quality Improvement on the ACCJC rubric (to continue to identify and represent what students have learned; i.e. what they know and can do).</w:t>
            </w:r>
            <w:commentRangeEnd w:id="1"/>
            <w:r w:rsidRPr="00FD64B8">
              <w:rPr>
                <w:rStyle w:val="CommentReference"/>
                <w:sz w:val="22"/>
                <w:szCs w:val="22"/>
              </w:rPr>
              <w:commentReference w:id="1"/>
            </w:r>
          </w:p>
        </w:tc>
        <w:tc>
          <w:tcPr>
            <w:tcW w:w="3985" w:type="dxa"/>
          </w:tcPr>
          <w:p w:rsidR="00285E8E" w:rsidRPr="00FD64B8" w:rsidRDefault="00285E8E" w:rsidP="009C4A0F">
            <w:pPr>
              <w:spacing w:line="240" w:lineRule="auto"/>
            </w:pPr>
            <w:r w:rsidRPr="00FD64B8">
              <w:t>Using the ACCJC rubric - Program Review, annual Assessment Report</w:t>
            </w:r>
          </w:p>
        </w:tc>
        <w:tc>
          <w:tcPr>
            <w:tcW w:w="2699" w:type="dxa"/>
          </w:tcPr>
          <w:p w:rsidR="00285E8E" w:rsidRPr="00FD64B8" w:rsidRDefault="00285E8E" w:rsidP="009C4A0F">
            <w:pPr>
              <w:spacing w:line="240" w:lineRule="auto"/>
            </w:pPr>
            <w:r w:rsidRPr="00FD64B8">
              <w:t>Assessment Committee</w:t>
            </w:r>
          </w:p>
        </w:tc>
      </w:tr>
      <w:tr w:rsidR="00285E8E" w:rsidRPr="00FD64B8" w:rsidTr="00285E8E">
        <w:tc>
          <w:tcPr>
            <w:tcW w:w="468" w:type="dxa"/>
          </w:tcPr>
          <w:p w:rsidR="00285E8E" w:rsidRPr="00FD64B8" w:rsidRDefault="00285E8E" w:rsidP="00455F8E">
            <w:pPr>
              <w:spacing w:after="120" w:line="240" w:lineRule="auto"/>
            </w:pPr>
          </w:p>
        </w:tc>
        <w:tc>
          <w:tcPr>
            <w:tcW w:w="7464" w:type="dxa"/>
          </w:tcPr>
          <w:p w:rsidR="00285E8E" w:rsidRPr="00FD64B8" w:rsidRDefault="00285E8E" w:rsidP="00FD64B8">
            <w:pPr>
              <w:spacing w:after="120" w:line="240" w:lineRule="auto"/>
            </w:pPr>
            <w:commentRangeStart w:id="2"/>
            <w:r w:rsidRPr="00FD64B8">
              <w:t>Improve districtwide assessment through collaborative events.</w:t>
            </w:r>
            <w:commentRangeEnd w:id="2"/>
            <w:r w:rsidRPr="00FD64B8">
              <w:rPr>
                <w:rStyle w:val="CommentReference"/>
                <w:sz w:val="22"/>
                <w:szCs w:val="22"/>
              </w:rPr>
              <w:commentReference w:id="2"/>
            </w:r>
          </w:p>
        </w:tc>
        <w:tc>
          <w:tcPr>
            <w:tcW w:w="3985" w:type="dxa"/>
          </w:tcPr>
          <w:p w:rsidR="00285E8E" w:rsidRPr="00FD64B8" w:rsidRDefault="00285E8E" w:rsidP="009C4A0F">
            <w:pPr>
              <w:spacing w:line="240" w:lineRule="auto"/>
            </w:pPr>
          </w:p>
        </w:tc>
        <w:tc>
          <w:tcPr>
            <w:tcW w:w="2699" w:type="dxa"/>
          </w:tcPr>
          <w:p w:rsidR="00285E8E" w:rsidRPr="00FD64B8" w:rsidRDefault="00285E8E" w:rsidP="009C4A0F">
            <w:pPr>
              <w:spacing w:line="240" w:lineRule="auto"/>
            </w:pPr>
            <w:r w:rsidRPr="00FD64B8">
              <w:t>Assessment Committee</w:t>
            </w:r>
          </w:p>
        </w:tc>
      </w:tr>
      <w:tr w:rsidR="00E71F4C" w:rsidRPr="00FD64B8" w:rsidTr="00A239C0">
        <w:tc>
          <w:tcPr>
            <w:tcW w:w="14616" w:type="dxa"/>
            <w:gridSpan w:val="4"/>
            <w:shd w:val="clear" w:color="auto" w:fill="D9D9D9" w:themeFill="background1" w:themeFillShade="D9"/>
          </w:tcPr>
          <w:p w:rsidR="00E71F4C" w:rsidRPr="001A65DB" w:rsidRDefault="00E71F4C" w:rsidP="00E71F4C">
            <w:pPr>
              <w:spacing w:line="269" w:lineRule="auto"/>
              <w:jc w:val="center"/>
              <w:rPr>
                <w:b/>
              </w:rPr>
            </w:pPr>
            <w:r w:rsidRPr="001A65DB">
              <w:rPr>
                <w:b/>
              </w:rPr>
              <w:t>Enrollment/Matriculation</w:t>
            </w:r>
          </w:p>
        </w:tc>
      </w:tr>
      <w:tr w:rsidR="00285E8E" w:rsidRPr="00FD64B8" w:rsidTr="00285E8E">
        <w:tc>
          <w:tcPr>
            <w:tcW w:w="468" w:type="dxa"/>
          </w:tcPr>
          <w:p w:rsidR="00285E8E" w:rsidRPr="00FD64B8" w:rsidRDefault="00285E8E" w:rsidP="00C279C3">
            <w:pPr>
              <w:spacing w:line="269" w:lineRule="auto"/>
            </w:pPr>
            <w:r w:rsidRPr="00FD64B8">
              <w:t>1</w:t>
            </w:r>
          </w:p>
        </w:tc>
        <w:tc>
          <w:tcPr>
            <w:tcW w:w="7464" w:type="dxa"/>
          </w:tcPr>
          <w:p w:rsidR="00285E8E" w:rsidRPr="00FD64B8" w:rsidRDefault="00285E8E" w:rsidP="00C279C3">
            <w:pPr>
              <w:spacing w:line="269" w:lineRule="auto"/>
            </w:pPr>
            <w:r w:rsidRPr="00FD64B8">
              <w:t>Simplify the student matriculation process to remove barriers to attending BC. Students access to pathways/counseling. Need directions early on. written pathways for their chosen career path pathways should include class in a GE requirement and/or transfer</w:t>
            </w:r>
          </w:p>
        </w:tc>
        <w:tc>
          <w:tcPr>
            <w:tcW w:w="3985" w:type="dxa"/>
          </w:tcPr>
          <w:p w:rsidR="00285E8E" w:rsidRPr="00FD64B8" w:rsidRDefault="00285E8E" w:rsidP="00C279C3">
            <w:pPr>
              <w:spacing w:line="269" w:lineRule="auto"/>
            </w:pPr>
            <w:r w:rsidRPr="00FD64B8">
              <w:rPr>
                <w:rFonts w:cs="Microsoft Sans Serif"/>
              </w:rPr>
              <w:t xml:space="preserve">Survey newly registered students to get their opinions of the matriculation process -- was it easy to follow and was there sufficient assistance available from campus staff. </w:t>
            </w:r>
            <w:r w:rsidRPr="00FD64B8">
              <w:t>Survey Results</w:t>
            </w:r>
          </w:p>
        </w:tc>
        <w:tc>
          <w:tcPr>
            <w:tcW w:w="2699" w:type="dxa"/>
          </w:tcPr>
          <w:p w:rsidR="00285E8E" w:rsidRPr="00FD64B8" w:rsidRDefault="00285E8E" w:rsidP="00D24C90">
            <w:pPr>
              <w:spacing w:line="269" w:lineRule="auto"/>
            </w:pPr>
            <w:r w:rsidRPr="00FD64B8">
              <w:t xml:space="preserve">Enrollment Management </w:t>
            </w:r>
          </w:p>
        </w:tc>
      </w:tr>
      <w:tr w:rsidR="00285E8E" w:rsidRPr="00FD64B8" w:rsidTr="00285E8E">
        <w:tc>
          <w:tcPr>
            <w:tcW w:w="468" w:type="dxa"/>
          </w:tcPr>
          <w:p w:rsidR="00285E8E" w:rsidRPr="00FD64B8" w:rsidRDefault="00285E8E" w:rsidP="00C279C3">
            <w:pPr>
              <w:spacing w:line="269" w:lineRule="auto"/>
            </w:pPr>
            <w:r w:rsidRPr="00FD64B8">
              <w:t>2</w:t>
            </w:r>
          </w:p>
        </w:tc>
        <w:tc>
          <w:tcPr>
            <w:tcW w:w="7464" w:type="dxa"/>
          </w:tcPr>
          <w:p w:rsidR="00285E8E" w:rsidRPr="00FD64B8" w:rsidRDefault="00285E8E" w:rsidP="00C279C3">
            <w:pPr>
              <w:spacing w:line="269" w:lineRule="auto"/>
            </w:pPr>
            <w:r w:rsidRPr="00FD64B8">
              <w:t>Develop and Implement Priority Registration Unit Restriction.</w:t>
            </w:r>
          </w:p>
        </w:tc>
        <w:tc>
          <w:tcPr>
            <w:tcW w:w="3985" w:type="dxa"/>
          </w:tcPr>
          <w:p w:rsidR="00285E8E" w:rsidRPr="00FD64B8" w:rsidRDefault="00285E8E" w:rsidP="00C279C3">
            <w:pPr>
              <w:spacing w:line="269" w:lineRule="auto"/>
            </w:pPr>
            <w:r w:rsidRPr="00FD64B8">
              <w:t>Track student retention, success and "W" grades.</w:t>
            </w:r>
          </w:p>
        </w:tc>
        <w:tc>
          <w:tcPr>
            <w:tcW w:w="2699" w:type="dxa"/>
          </w:tcPr>
          <w:p w:rsidR="00285E8E" w:rsidRPr="00FD64B8" w:rsidRDefault="00285E8E" w:rsidP="00D24C90">
            <w:pPr>
              <w:spacing w:line="269" w:lineRule="auto"/>
            </w:pPr>
            <w:r w:rsidRPr="00FD64B8">
              <w:t xml:space="preserve">Admissions and Records, Enrollment Management </w:t>
            </w:r>
          </w:p>
        </w:tc>
      </w:tr>
      <w:tr w:rsidR="00285E8E" w:rsidRPr="00FD64B8" w:rsidTr="00285E8E">
        <w:tc>
          <w:tcPr>
            <w:tcW w:w="468" w:type="dxa"/>
          </w:tcPr>
          <w:p w:rsidR="00285E8E" w:rsidRPr="00FD64B8" w:rsidRDefault="00285E8E" w:rsidP="00C279C3">
            <w:pPr>
              <w:spacing w:line="269" w:lineRule="auto"/>
            </w:pPr>
            <w:r w:rsidRPr="00FD64B8">
              <w:t>3</w:t>
            </w:r>
          </w:p>
        </w:tc>
        <w:tc>
          <w:tcPr>
            <w:tcW w:w="7464" w:type="dxa"/>
          </w:tcPr>
          <w:p w:rsidR="00285E8E" w:rsidRPr="00FD64B8" w:rsidRDefault="00285E8E" w:rsidP="00C279C3">
            <w:pPr>
              <w:spacing w:line="269" w:lineRule="auto"/>
            </w:pPr>
            <w:r w:rsidRPr="00FD64B8">
              <w:t>Refine and improve multiple measures.</w:t>
            </w:r>
          </w:p>
        </w:tc>
        <w:tc>
          <w:tcPr>
            <w:tcW w:w="3985" w:type="dxa"/>
          </w:tcPr>
          <w:p w:rsidR="00285E8E" w:rsidRPr="00FD64B8" w:rsidRDefault="00E53A0D" w:rsidP="00C279C3">
            <w:pPr>
              <w:spacing w:line="269" w:lineRule="auto"/>
            </w:pPr>
            <w:r>
              <w:t xml:space="preserve">Tracking new students, </w:t>
            </w:r>
            <w:r w:rsidR="001E7640">
              <w:t>who are MM’d</w:t>
            </w:r>
            <w:r>
              <w:t>,</w:t>
            </w:r>
            <w:r w:rsidR="001E7640">
              <w:t xml:space="preserve"> enrollment and completion rates</w:t>
            </w:r>
          </w:p>
        </w:tc>
        <w:tc>
          <w:tcPr>
            <w:tcW w:w="2699" w:type="dxa"/>
          </w:tcPr>
          <w:p w:rsidR="00285E8E" w:rsidRPr="00FD64B8" w:rsidRDefault="00E3590C" w:rsidP="00C279C3">
            <w:pPr>
              <w:spacing w:line="269" w:lineRule="auto"/>
            </w:pPr>
            <w:r>
              <w:t>Dean Student Success &amp; Pre-Collegiate</w:t>
            </w:r>
          </w:p>
        </w:tc>
      </w:tr>
      <w:tr w:rsidR="00285E8E" w:rsidRPr="00FD64B8" w:rsidTr="00285E8E">
        <w:tc>
          <w:tcPr>
            <w:tcW w:w="468" w:type="dxa"/>
            <w:tcBorders>
              <w:bottom w:val="single" w:sz="4" w:space="0" w:color="auto"/>
            </w:tcBorders>
          </w:tcPr>
          <w:p w:rsidR="00285E8E" w:rsidRPr="00FD64B8" w:rsidRDefault="00285E8E" w:rsidP="00C279C3">
            <w:pPr>
              <w:spacing w:line="269" w:lineRule="auto"/>
            </w:pPr>
            <w:r w:rsidRPr="00FD64B8">
              <w:t>4</w:t>
            </w:r>
          </w:p>
        </w:tc>
        <w:tc>
          <w:tcPr>
            <w:tcW w:w="7464" w:type="dxa"/>
            <w:tcBorders>
              <w:bottom w:val="single" w:sz="4" w:space="0" w:color="auto"/>
            </w:tcBorders>
          </w:tcPr>
          <w:p w:rsidR="00285E8E" w:rsidRPr="00FD64B8" w:rsidRDefault="00285E8E" w:rsidP="001E7640">
            <w:pPr>
              <w:spacing w:line="269" w:lineRule="auto"/>
            </w:pPr>
            <w:r w:rsidRPr="00FD64B8">
              <w:t xml:space="preserve">Refine process for new students implementing requirement for MATH or ENGL </w:t>
            </w:r>
            <w:r w:rsidR="001E7640">
              <w:t>in separate semesters</w:t>
            </w:r>
            <w:r w:rsidR="00E53A0D">
              <w:t xml:space="preserve"> first year</w:t>
            </w:r>
            <w:r w:rsidR="001E7640">
              <w:t xml:space="preserve">: </w:t>
            </w:r>
            <w:r w:rsidRPr="00FD64B8">
              <w:t xml:space="preserve">first semester </w:t>
            </w:r>
            <w:r w:rsidR="001E7640">
              <w:t>one a</w:t>
            </w:r>
            <w:r w:rsidRPr="00FD64B8">
              <w:t>nd remainder second semester (i.e. MATH Fall &amp; ENGL Spring)</w:t>
            </w:r>
          </w:p>
        </w:tc>
        <w:tc>
          <w:tcPr>
            <w:tcW w:w="3985" w:type="dxa"/>
          </w:tcPr>
          <w:p w:rsidR="00285E8E" w:rsidRPr="00FD64B8" w:rsidRDefault="000B1103" w:rsidP="00C279C3">
            <w:pPr>
              <w:spacing w:line="269" w:lineRule="auto"/>
            </w:pPr>
            <w:r>
              <w:t>Increased student successful completion of MATH &amp; ENGL</w:t>
            </w:r>
          </w:p>
        </w:tc>
        <w:tc>
          <w:tcPr>
            <w:tcW w:w="2699" w:type="dxa"/>
          </w:tcPr>
          <w:p w:rsidR="00285E8E" w:rsidRPr="00FD64B8" w:rsidRDefault="00E3590C" w:rsidP="00C279C3">
            <w:pPr>
              <w:spacing w:line="269" w:lineRule="auto"/>
            </w:pPr>
            <w:r>
              <w:t>Dean Student Success &amp; Pre-Collegiate</w:t>
            </w:r>
            <w:r w:rsidR="00E53A0D">
              <w:t>; Dean of Student Success &amp; Development</w:t>
            </w:r>
          </w:p>
        </w:tc>
      </w:tr>
      <w:tr w:rsidR="00285E8E" w:rsidRPr="00FD64B8" w:rsidTr="00285E8E">
        <w:tc>
          <w:tcPr>
            <w:tcW w:w="468" w:type="dxa"/>
          </w:tcPr>
          <w:p w:rsidR="00285E8E" w:rsidRPr="00FD64B8" w:rsidRDefault="00285E8E" w:rsidP="00C279C3">
            <w:pPr>
              <w:spacing w:line="269" w:lineRule="auto"/>
            </w:pPr>
            <w:r w:rsidRPr="00FD64B8">
              <w:t>5</w:t>
            </w:r>
          </w:p>
        </w:tc>
        <w:tc>
          <w:tcPr>
            <w:tcW w:w="7464" w:type="dxa"/>
          </w:tcPr>
          <w:p w:rsidR="00285E8E" w:rsidRPr="00FD64B8" w:rsidRDefault="00285E8E" w:rsidP="00C279C3">
            <w:pPr>
              <w:spacing w:line="269" w:lineRule="auto"/>
            </w:pPr>
            <w:r w:rsidRPr="00FD64B8">
              <w:t xml:space="preserve">Improve student transfer rates through campus-wide implementation of statewide Associate Degree for Transfer mandate (we must or we will lose our funding allocation by the end of 2016). </w:t>
            </w:r>
          </w:p>
        </w:tc>
        <w:tc>
          <w:tcPr>
            <w:tcW w:w="3985" w:type="dxa"/>
          </w:tcPr>
          <w:p w:rsidR="00285E8E" w:rsidRPr="00FD64B8" w:rsidRDefault="00285E8E" w:rsidP="00C279C3">
            <w:pPr>
              <w:spacing w:line="269" w:lineRule="auto"/>
            </w:pPr>
            <w:r w:rsidRPr="00FD64B8">
              <w:rPr>
                <w:rFonts w:cs="Microsoft Sans Serif"/>
              </w:rPr>
              <w:t>Student completion of ADTs</w:t>
            </w:r>
            <w:r w:rsidR="00E53A0D">
              <w:rPr>
                <w:rFonts w:cs="Microsoft Sans Serif"/>
              </w:rPr>
              <w:t>.</w:t>
            </w:r>
            <w:r w:rsidRPr="00FD64B8">
              <w:rPr>
                <w:rFonts w:cs="Microsoft Sans Serif"/>
              </w:rPr>
              <w:t xml:space="preserve">  Student transfer rates</w:t>
            </w:r>
          </w:p>
        </w:tc>
        <w:tc>
          <w:tcPr>
            <w:tcW w:w="2699" w:type="dxa"/>
          </w:tcPr>
          <w:p w:rsidR="00285E8E" w:rsidRPr="00FD64B8" w:rsidRDefault="00285E8E" w:rsidP="00C279C3">
            <w:pPr>
              <w:spacing w:line="269" w:lineRule="auto"/>
            </w:pPr>
            <w:r w:rsidRPr="00FD64B8">
              <w:t>FCDC; Curriculum</w:t>
            </w:r>
          </w:p>
        </w:tc>
      </w:tr>
      <w:tr w:rsidR="00285E8E" w:rsidRPr="00FD64B8" w:rsidTr="00285E8E">
        <w:tc>
          <w:tcPr>
            <w:tcW w:w="468" w:type="dxa"/>
          </w:tcPr>
          <w:p w:rsidR="00285E8E" w:rsidRPr="00FD64B8" w:rsidRDefault="00285E8E" w:rsidP="00C279C3">
            <w:pPr>
              <w:spacing w:line="269" w:lineRule="auto"/>
            </w:pPr>
            <w:r w:rsidRPr="00FD64B8">
              <w:t>6</w:t>
            </w:r>
          </w:p>
        </w:tc>
        <w:tc>
          <w:tcPr>
            <w:tcW w:w="7464" w:type="dxa"/>
          </w:tcPr>
          <w:p w:rsidR="00285E8E" w:rsidRPr="00FD64B8" w:rsidRDefault="00A831C0" w:rsidP="00A831C0">
            <w:pPr>
              <w:spacing w:line="269" w:lineRule="auto"/>
            </w:pPr>
            <w:r>
              <w:t>Implement</w:t>
            </w:r>
            <w:r w:rsidR="00285E8E" w:rsidRPr="00FD64B8">
              <w:t xml:space="preserve"> STDV in High School (</w:t>
            </w:r>
            <w:r>
              <w:t xml:space="preserve">as early as </w:t>
            </w:r>
            <w:r w:rsidR="00285E8E" w:rsidRPr="00FD64B8">
              <w:t>9</w:t>
            </w:r>
            <w:r w:rsidR="00285E8E" w:rsidRPr="00FD64B8">
              <w:rPr>
                <w:vertAlign w:val="superscript"/>
              </w:rPr>
              <w:t>th</w:t>
            </w:r>
            <w:r w:rsidR="00285E8E" w:rsidRPr="00FD64B8">
              <w:t xml:space="preserve"> grade).</w:t>
            </w:r>
          </w:p>
        </w:tc>
        <w:tc>
          <w:tcPr>
            <w:tcW w:w="3985" w:type="dxa"/>
          </w:tcPr>
          <w:p w:rsidR="00285E8E" w:rsidRPr="00FD64B8" w:rsidRDefault="00285E8E" w:rsidP="00C279C3">
            <w:pPr>
              <w:spacing w:line="269" w:lineRule="auto"/>
            </w:pPr>
          </w:p>
        </w:tc>
        <w:tc>
          <w:tcPr>
            <w:tcW w:w="2699" w:type="dxa"/>
          </w:tcPr>
          <w:p w:rsidR="00285E8E" w:rsidRPr="00FD64B8" w:rsidRDefault="00AA1950" w:rsidP="00C279C3">
            <w:pPr>
              <w:spacing w:line="269" w:lineRule="auto"/>
            </w:pPr>
            <w:r>
              <w:t xml:space="preserve">Dean of Student Success &amp; Development; </w:t>
            </w:r>
            <w:r w:rsidR="00285E8E" w:rsidRPr="00FD64B8">
              <w:t>Counseling,</w:t>
            </w:r>
            <w:r>
              <w:t xml:space="preserve"> &amp;</w:t>
            </w:r>
            <w:r w:rsidR="00285E8E" w:rsidRPr="00FD64B8">
              <w:t xml:space="preserve"> </w:t>
            </w:r>
            <w:r>
              <w:t>Enrollment Management</w:t>
            </w:r>
          </w:p>
        </w:tc>
      </w:tr>
      <w:tr w:rsidR="00285E8E" w:rsidRPr="00FD64B8" w:rsidTr="00285E8E">
        <w:tc>
          <w:tcPr>
            <w:tcW w:w="468" w:type="dxa"/>
          </w:tcPr>
          <w:p w:rsidR="00285E8E" w:rsidRPr="00FD64B8" w:rsidRDefault="00285E8E" w:rsidP="00C279C3">
            <w:pPr>
              <w:spacing w:line="269" w:lineRule="auto"/>
            </w:pPr>
            <w:r w:rsidRPr="00FD64B8">
              <w:t>7</w:t>
            </w:r>
          </w:p>
        </w:tc>
        <w:tc>
          <w:tcPr>
            <w:tcW w:w="7464" w:type="dxa"/>
          </w:tcPr>
          <w:p w:rsidR="00285E8E" w:rsidRPr="00FD64B8" w:rsidRDefault="00285E8E" w:rsidP="00C279C3">
            <w:pPr>
              <w:spacing w:line="269" w:lineRule="auto"/>
            </w:pPr>
            <w:r w:rsidRPr="00FD64B8">
              <w:t>Continue to simplify matriculation steps.</w:t>
            </w:r>
          </w:p>
        </w:tc>
        <w:tc>
          <w:tcPr>
            <w:tcW w:w="3985" w:type="dxa"/>
          </w:tcPr>
          <w:p w:rsidR="00285E8E" w:rsidRPr="00FD64B8" w:rsidRDefault="00285E8E" w:rsidP="00C279C3">
            <w:pPr>
              <w:spacing w:line="240" w:lineRule="auto"/>
            </w:pPr>
            <w:r w:rsidRPr="00FD64B8">
              <w:t>Increased number of students moving through the matriculation process.</w:t>
            </w:r>
          </w:p>
        </w:tc>
        <w:tc>
          <w:tcPr>
            <w:tcW w:w="2699" w:type="dxa"/>
          </w:tcPr>
          <w:p w:rsidR="00285E8E" w:rsidRPr="00FD64B8" w:rsidRDefault="00285E8E" w:rsidP="00C279C3">
            <w:pPr>
              <w:spacing w:line="269" w:lineRule="auto"/>
            </w:pPr>
            <w:r w:rsidRPr="00FD64B8">
              <w:t xml:space="preserve">SSSP, Counseling, Outreach, Enrollment Management </w:t>
            </w:r>
          </w:p>
        </w:tc>
      </w:tr>
      <w:tr w:rsidR="00285E8E" w:rsidRPr="00FD64B8" w:rsidTr="00285E8E">
        <w:tc>
          <w:tcPr>
            <w:tcW w:w="468" w:type="dxa"/>
          </w:tcPr>
          <w:p w:rsidR="00285E8E" w:rsidRPr="00FD64B8" w:rsidRDefault="00285E8E" w:rsidP="00C636AA">
            <w:pPr>
              <w:spacing w:line="269" w:lineRule="auto"/>
            </w:pPr>
            <w:r w:rsidRPr="00FD64B8">
              <w:t>8</w:t>
            </w:r>
          </w:p>
        </w:tc>
        <w:tc>
          <w:tcPr>
            <w:tcW w:w="7464" w:type="dxa"/>
          </w:tcPr>
          <w:p w:rsidR="00285E8E" w:rsidRPr="00FD64B8" w:rsidRDefault="00285E8E" w:rsidP="00C636AA">
            <w:pPr>
              <w:spacing w:line="269" w:lineRule="auto"/>
            </w:pPr>
            <w:r w:rsidRPr="00FD64B8">
              <w:t>Better enrollment management providing enough class sections for demand</w:t>
            </w:r>
          </w:p>
        </w:tc>
        <w:tc>
          <w:tcPr>
            <w:tcW w:w="3985" w:type="dxa"/>
          </w:tcPr>
          <w:p w:rsidR="00285E8E" w:rsidRPr="00FD64B8" w:rsidRDefault="00950E55" w:rsidP="00C636AA">
            <w:pPr>
              <w:spacing w:line="269" w:lineRule="auto"/>
            </w:pPr>
            <w:r>
              <w:t>Fewer waitlist students</w:t>
            </w:r>
          </w:p>
        </w:tc>
        <w:tc>
          <w:tcPr>
            <w:tcW w:w="2699" w:type="dxa"/>
          </w:tcPr>
          <w:p w:rsidR="00285E8E" w:rsidRPr="00FD64B8" w:rsidRDefault="00285E8E" w:rsidP="00C636AA">
            <w:pPr>
              <w:spacing w:line="269" w:lineRule="auto"/>
            </w:pPr>
            <w:r w:rsidRPr="00FD64B8">
              <w:t>Enrollment Management</w:t>
            </w:r>
          </w:p>
        </w:tc>
      </w:tr>
      <w:tr w:rsidR="00285E8E" w:rsidRPr="00FD64B8" w:rsidTr="00285E8E">
        <w:tc>
          <w:tcPr>
            <w:tcW w:w="468" w:type="dxa"/>
          </w:tcPr>
          <w:p w:rsidR="00285E8E" w:rsidRPr="00FD64B8" w:rsidRDefault="00285E8E" w:rsidP="00C636AA">
            <w:pPr>
              <w:spacing w:line="269" w:lineRule="auto"/>
            </w:pPr>
            <w:r w:rsidRPr="00FD64B8">
              <w:lastRenderedPageBreak/>
              <w:t>9</w:t>
            </w:r>
          </w:p>
        </w:tc>
        <w:tc>
          <w:tcPr>
            <w:tcW w:w="7464" w:type="dxa"/>
          </w:tcPr>
          <w:p w:rsidR="00285E8E" w:rsidRPr="00FD64B8" w:rsidRDefault="00285E8E" w:rsidP="00C636AA">
            <w:pPr>
              <w:spacing w:line="269" w:lineRule="auto"/>
            </w:pPr>
            <w:r w:rsidRPr="00FD64B8">
              <w:t>High School counselor training for ASEP’s</w:t>
            </w:r>
          </w:p>
        </w:tc>
        <w:tc>
          <w:tcPr>
            <w:tcW w:w="3985" w:type="dxa"/>
          </w:tcPr>
          <w:p w:rsidR="00285E8E" w:rsidRPr="00FD64B8" w:rsidRDefault="003B6B95" w:rsidP="00C636AA">
            <w:pPr>
              <w:spacing w:line="269" w:lineRule="auto"/>
            </w:pPr>
            <w:r>
              <w:t>High school counselors trained and completion of ASEP’s for high school student matriculation</w:t>
            </w:r>
          </w:p>
        </w:tc>
        <w:tc>
          <w:tcPr>
            <w:tcW w:w="2699" w:type="dxa"/>
          </w:tcPr>
          <w:p w:rsidR="00285E8E" w:rsidRPr="00FD64B8" w:rsidRDefault="00285E8E" w:rsidP="00C636AA">
            <w:pPr>
              <w:spacing w:line="269" w:lineRule="auto"/>
            </w:pPr>
            <w:r w:rsidRPr="00FD64B8">
              <w:t>Counseling; Outreach</w:t>
            </w:r>
          </w:p>
        </w:tc>
      </w:tr>
      <w:tr w:rsidR="00285E8E" w:rsidRPr="00FD64B8" w:rsidTr="00285E8E">
        <w:tc>
          <w:tcPr>
            <w:tcW w:w="468" w:type="dxa"/>
          </w:tcPr>
          <w:p w:rsidR="00285E8E" w:rsidRPr="00FD64B8" w:rsidRDefault="00285E8E" w:rsidP="00C636AA">
            <w:pPr>
              <w:spacing w:line="269" w:lineRule="auto"/>
            </w:pPr>
            <w:r w:rsidRPr="00FD64B8">
              <w:t>10</w:t>
            </w:r>
          </w:p>
        </w:tc>
        <w:tc>
          <w:tcPr>
            <w:tcW w:w="7464" w:type="dxa"/>
          </w:tcPr>
          <w:p w:rsidR="00285E8E" w:rsidRPr="00FD64B8" w:rsidRDefault="00285E8E" w:rsidP="00C636AA">
            <w:pPr>
              <w:spacing w:line="269" w:lineRule="auto"/>
            </w:pPr>
            <w:r w:rsidRPr="00FD64B8">
              <w:t>Certified High School proctors for placement testing</w:t>
            </w:r>
          </w:p>
        </w:tc>
        <w:tc>
          <w:tcPr>
            <w:tcW w:w="3985" w:type="dxa"/>
          </w:tcPr>
          <w:p w:rsidR="00285E8E" w:rsidRPr="00FD64B8" w:rsidRDefault="00053E6E" w:rsidP="00C636AA">
            <w:pPr>
              <w:spacing w:line="269" w:lineRule="auto"/>
            </w:pPr>
            <w:r>
              <w:t>High School proctors trained and certified for administering placement testing</w:t>
            </w:r>
          </w:p>
        </w:tc>
        <w:tc>
          <w:tcPr>
            <w:tcW w:w="2699" w:type="dxa"/>
          </w:tcPr>
          <w:p w:rsidR="00285E8E" w:rsidRPr="00FD64B8" w:rsidRDefault="00285E8E" w:rsidP="00C636AA">
            <w:pPr>
              <w:spacing w:line="269" w:lineRule="auto"/>
            </w:pPr>
            <w:r w:rsidRPr="00FD64B8">
              <w:t xml:space="preserve">Enrollment Management </w:t>
            </w:r>
          </w:p>
        </w:tc>
      </w:tr>
      <w:tr w:rsidR="00285E8E" w:rsidRPr="00FD64B8" w:rsidTr="00285E8E">
        <w:tc>
          <w:tcPr>
            <w:tcW w:w="468" w:type="dxa"/>
            <w:tcBorders>
              <w:bottom w:val="single" w:sz="4" w:space="0" w:color="auto"/>
            </w:tcBorders>
          </w:tcPr>
          <w:p w:rsidR="00285E8E" w:rsidRPr="00FD64B8" w:rsidRDefault="00285E8E" w:rsidP="008D0882">
            <w:pPr>
              <w:spacing w:line="269" w:lineRule="auto"/>
            </w:pPr>
            <w:r w:rsidRPr="00FD64B8">
              <w:t>11</w:t>
            </w:r>
          </w:p>
        </w:tc>
        <w:tc>
          <w:tcPr>
            <w:tcW w:w="7464" w:type="dxa"/>
            <w:tcBorders>
              <w:bottom w:val="single" w:sz="4" w:space="0" w:color="auto"/>
            </w:tcBorders>
          </w:tcPr>
          <w:p w:rsidR="00285E8E" w:rsidRPr="00FD64B8" w:rsidRDefault="00285E8E" w:rsidP="008D0882">
            <w:pPr>
              <w:spacing w:line="269" w:lineRule="auto"/>
            </w:pPr>
            <w:r w:rsidRPr="00FD64B8">
              <w:t>Open house for High Schools.</w:t>
            </w:r>
          </w:p>
        </w:tc>
        <w:tc>
          <w:tcPr>
            <w:tcW w:w="3985" w:type="dxa"/>
          </w:tcPr>
          <w:p w:rsidR="00285E8E" w:rsidRPr="00FD64B8" w:rsidRDefault="008568A7" w:rsidP="008568A7">
            <w:pPr>
              <w:spacing w:line="269" w:lineRule="auto"/>
            </w:pPr>
            <w:r>
              <w:t xml:space="preserve">Open houses held each semester for high school students and their families to see BC campuses (including rural initiatives). Implement sign up/in process to track attendance. </w:t>
            </w:r>
          </w:p>
        </w:tc>
        <w:tc>
          <w:tcPr>
            <w:tcW w:w="2699" w:type="dxa"/>
          </w:tcPr>
          <w:p w:rsidR="00285E8E" w:rsidRPr="00FD64B8" w:rsidRDefault="007B5CF2" w:rsidP="00C636AA">
            <w:pPr>
              <w:spacing w:line="269" w:lineRule="auto"/>
            </w:pPr>
            <w:r>
              <w:t xml:space="preserve">VP of Student Affairs; </w:t>
            </w:r>
            <w:r w:rsidR="00285E8E" w:rsidRPr="00FD64B8">
              <w:t>Outreach</w:t>
            </w:r>
          </w:p>
        </w:tc>
      </w:tr>
      <w:tr w:rsidR="00285E8E" w:rsidRPr="00FD64B8" w:rsidTr="00285E8E">
        <w:tc>
          <w:tcPr>
            <w:tcW w:w="468" w:type="dxa"/>
          </w:tcPr>
          <w:p w:rsidR="00285E8E" w:rsidRPr="00FD64B8" w:rsidRDefault="00285E8E" w:rsidP="00C279C3">
            <w:pPr>
              <w:spacing w:line="269" w:lineRule="auto"/>
            </w:pPr>
            <w:r w:rsidRPr="00FD64B8">
              <w:t>12</w:t>
            </w:r>
          </w:p>
        </w:tc>
        <w:tc>
          <w:tcPr>
            <w:tcW w:w="7464" w:type="dxa"/>
          </w:tcPr>
          <w:p w:rsidR="00285E8E" w:rsidRPr="00FD64B8" w:rsidRDefault="00285E8E" w:rsidP="00C279C3">
            <w:pPr>
              <w:spacing w:line="269" w:lineRule="auto"/>
            </w:pPr>
            <w:r w:rsidRPr="00FD64B8">
              <w:t>Parent workshops that would provide information and alleviate concerns of their child transferring to a 4-year university.</w:t>
            </w:r>
          </w:p>
        </w:tc>
        <w:tc>
          <w:tcPr>
            <w:tcW w:w="3985" w:type="dxa"/>
          </w:tcPr>
          <w:p w:rsidR="00285E8E" w:rsidRPr="00FD64B8" w:rsidRDefault="00285E8E" w:rsidP="00C279C3">
            <w:pPr>
              <w:spacing w:line="269" w:lineRule="auto"/>
            </w:pPr>
            <w:r w:rsidRPr="00FD64B8">
              <w:t>Track the number of students that transfer to a 4-year university.</w:t>
            </w:r>
          </w:p>
        </w:tc>
        <w:tc>
          <w:tcPr>
            <w:tcW w:w="2699" w:type="dxa"/>
          </w:tcPr>
          <w:p w:rsidR="00285E8E" w:rsidRPr="00FD64B8" w:rsidRDefault="00285E8E" w:rsidP="00C279C3">
            <w:pPr>
              <w:spacing w:line="269" w:lineRule="auto"/>
            </w:pPr>
            <w:r w:rsidRPr="00FD64B8">
              <w:t>EODAC; Transfer Center</w:t>
            </w:r>
          </w:p>
        </w:tc>
      </w:tr>
      <w:tr w:rsidR="00285E8E" w:rsidRPr="00FD64B8" w:rsidTr="00285E8E">
        <w:tc>
          <w:tcPr>
            <w:tcW w:w="468" w:type="dxa"/>
          </w:tcPr>
          <w:p w:rsidR="00285E8E" w:rsidRPr="00FD64B8" w:rsidRDefault="00285E8E" w:rsidP="00C279C3">
            <w:pPr>
              <w:spacing w:after="120" w:line="240" w:lineRule="auto"/>
            </w:pPr>
            <w:r w:rsidRPr="00FD64B8">
              <w:t>13</w:t>
            </w:r>
          </w:p>
        </w:tc>
        <w:tc>
          <w:tcPr>
            <w:tcW w:w="7464" w:type="dxa"/>
          </w:tcPr>
          <w:p w:rsidR="00285E8E" w:rsidRPr="00FD64B8" w:rsidRDefault="00285E8E" w:rsidP="00C279C3">
            <w:pPr>
              <w:spacing w:after="120" w:line="240" w:lineRule="auto"/>
            </w:pPr>
            <w:r w:rsidRPr="00FD64B8">
              <w:t>Enhance online instruction and services.</w:t>
            </w:r>
          </w:p>
          <w:p w:rsidR="00285E8E" w:rsidRPr="00FD64B8" w:rsidRDefault="00285E8E" w:rsidP="00C279C3">
            <w:pPr>
              <w:spacing w:line="240" w:lineRule="auto"/>
            </w:pPr>
          </w:p>
        </w:tc>
        <w:tc>
          <w:tcPr>
            <w:tcW w:w="3985" w:type="dxa"/>
          </w:tcPr>
          <w:p w:rsidR="00285E8E" w:rsidRPr="00FD64B8" w:rsidRDefault="00285E8E" w:rsidP="00C279C3">
            <w:pPr>
              <w:spacing w:line="240" w:lineRule="auto"/>
            </w:pPr>
            <w:r w:rsidRPr="00FD64B8">
              <w:t>Using the ACCJC rubric - Program Review, annual Assessment Report</w:t>
            </w:r>
          </w:p>
        </w:tc>
        <w:tc>
          <w:tcPr>
            <w:tcW w:w="2699" w:type="dxa"/>
          </w:tcPr>
          <w:p w:rsidR="00285E8E" w:rsidRPr="00FD64B8" w:rsidRDefault="00285E8E" w:rsidP="00C279C3">
            <w:pPr>
              <w:spacing w:line="240" w:lineRule="auto"/>
            </w:pPr>
            <w:r w:rsidRPr="00FD64B8">
              <w:t>Assessment Committee</w:t>
            </w:r>
          </w:p>
        </w:tc>
      </w:tr>
      <w:tr w:rsidR="00AC7DE5" w:rsidRPr="00FD64B8" w:rsidTr="00C279C3">
        <w:tc>
          <w:tcPr>
            <w:tcW w:w="468" w:type="dxa"/>
          </w:tcPr>
          <w:p w:rsidR="00AC7DE5" w:rsidRPr="00FD64B8" w:rsidRDefault="00AC7DE5" w:rsidP="00C279C3">
            <w:pPr>
              <w:spacing w:line="269" w:lineRule="auto"/>
            </w:pPr>
            <w:r>
              <w:t>14</w:t>
            </w:r>
          </w:p>
        </w:tc>
        <w:tc>
          <w:tcPr>
            <w:tcW w:w="7464" w:type="dxa"/>
          </w:tcPr>
          <w:p w:rsidR="00AC7DE5" w:rsidRPr="00FD64B8" w:rsidRDefault="00AC7DE5" w:rsidP="00C279C3">
            <w:pPr>
              <w:spacing w:line="269" w:lineRule="auto"/>
            </w:pPr>
            <w:r w:rsidRPr="00FD64B8">
              <w:t>Strengthen orientation, testing, placement and counseling efforts (-ensure full matriculation –Reexamine, assess and enhance all matriculation steps –Strengthen college representation in the high schools through partnerships with high school counselors and outreach and matriculation services at high school sites) (1.2)</w:t>
            </w:r>
          </w:p>
        </w:tc>
        <w:tc>
          <w:tcPr>
            <w:tcW w:w="3985" w:type="dxa"/>
          </w:tcPr>
          <w:p w:rsidR="00AC7DE5" w:rsidRPr="00FD64B8" w:rsidRDefault="007F23A3" w:rsidP="00C279C3">
            <w:pPr>
              <w:spacing w:line="269" w:lineRule="auto"/>
            </w:pPr>
            <w:r>
              <w:t>Document events where collaboration with high schools has happened.</w:t>
            </w:r>
            <w:r w:rsidR="00372EA0">
              <w:t xml:space="preserve"> ???</w:t>
            </w:r>
          </w:p>
        </w:tc>
        <w:tc>
          <w:tcPr>
            <w:tcW w:w="2699" w:type="dxa"/>
          </w:tcPr>
          <w:p w:rsidR="00AC7DE5" w:rsidRPr="00FD64B8" w:rsidRDefault="002E48CC" w:rsidP="00C279C3">
            <w:pPr>
              <w:spacing w:line="269" w:lineRule="auto"/>
            </w:pPr>
            <w:r>
              <w:t>Outreach; Dean of Student Success and Pre-Collegiate</w:t>
            </w:r>
          </w:p>
        </w:tc>
      </w:tr>
      <w:tr w:rsidR="00E71F4C" w:rsidRPr="00FD64B8" w:rsidTr="00546B6B">
        <w:tc>
          <w:tcPr>
            <w:tcW w:w="14616" w:type="dxa"/>
            <w:gridSpan w:val="4"/>
            <w:shd w:val="clear" w:color="auto" w:fill="D9D9D9" w:themeFill="background1" w:themeFillShade="D9"/>
          </w:tcPr>
          <w:p w:rsidR="00E71F4C" w:rsidRPr="001A65DB" w:rsidRDefault="00E71F4C" w:rsidP="00E71F4C">
            <w:pPr>
              <w:spacing w:line="269" w:lineRule="auto"/>
              <w:jc w:val="center"/>
              <w:rPr>
                <w:b/>
              </w:rPr>
            </w:pPr>
            <w:r w:rsidRPr="001A65DB">
              <w:rPr>
                <w:b/>
              </w:rPr>
              <w:t>Student Completion</w:t>
            </w:r>
          </w:p>
        </w:tc>
      </w:tr>
      <w:tr w:rsidR="00285E8E" w:rsidRPr="00FD64B8" w:rsidTr="00285E8E">
        <w:tc>
          <w:tcPr>
            <w:tcW w:w="468" w:type="dxa"/>
          </w:tcPr>
          <w:p w:rsidR="00285E8E" w:rsidRPr="00FD64B8" w:rsidRDefault="00285E8E" w:rsidP="00C279C3">
            <w:pPr>
              <w:spacing w:line="240" w:lineRule="auto"/>
            </w:pPr>
          </w:p>
        </w:tc>
        <w:tc>
          <w:tcPr>
            <w:tcW w:w="7464" w:type="dxa"/>
          </w:tcPr>
          <w:p w:rsidR="00285E8E" w:rsidRPr="00FD64B8" w:rsidRDefault="00285E8E" w:rsidP="00C279C3">
            <w:pPr>
              <w:spacing w:line="240" w:lineRule="auto"/>
            </w:pPr>
            <w:r w:rsidRPr="00FD64B8">
              <w:t>Develop and implement prerequisites for general education courses.</w:t>
            </w:r>
          </w:p>
        </w:tc>
        <w:tc>
          <w:tcPr>
            <w:tcW w:w="3985" w:type="dxa"/>
          </w:tcPr>
          <w:p w:rsidR="00285E8E" w:rsidRPr="00FD64B8" w:rsidRDefault="00285E8E" w:rsidP="00C279C3">
            <w:pPr>
              <w:spacing w:line="240" w:lineRule="auto"/>
            </w:pPr>
            <w:r w:rsidRPr="00FD64B8">
              <w:t>Future assessment data once prerequisites are in place,  General Education assessment report(s)</w:t>
            </w:r>
          </w:p>
        </w:tc>
        <w:tc>
          <w:tcPr>
            <w:tcW w:w="2699" w:type="dxa"/>
          </w:tcPr>
          <w:p w:rsidR="00285E8E" w:rsidRPr="00FD64B8" w:rsidRDefault="00285E8E" w:rsidP="00C279C3">
            <w:pPr>
              <w:spacing w:line="240" w:lineRule="auto"/>
            </w:pPr>
            <w:r w:rsidRPr="00FD64B8">
              <w:t>Curriculum Committee</w:t>
            </w:r>
          </w:p>
          <w:p w:rsidR="00285E8E" w:rsidRPr="00FD64B8" w:rsidRDefault="00285E8E" w:rsidP="00C279C3">
            <w:pPr>
              <w:spacing w:line="240" w:lineRule="auto"/>
            </w:pP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Integrate financial literacy with every matriculated class and with the curriculum process</w:t>
            </w:r>
          </w:p>
        </w:tc>
        <w:tc>
          <w:tcPr>
            <w:tcW w:w="3985" w:type="dxa"/>
          </w:tcPr>
          <w:p w:rsidR="00285E8E" w:rsidRPr="00FD64B8" w:rsidRDefault="00285E8E" w:rsidP="00C279C3">
            <w:pPr>
              <w:spacing w:line="269" w:lineRule="auto"/>
            </w:pPr>
          </w:p>
        </w:tc>
        <w:tc>
          <w:tcPr>
            <w:tcW w:w="2699" w:type="dxa"/>
          </w:tcPr>
          <w:p w:rsidR="00285E8E" w:rsidRPr="00FD64B8" w:rsidRDefault="00285E8E" w:rsidP="00C279C3">
            <w:pPr>
              <w:spacing w:line="269" w:lineRule="auto"/>
            </w:pP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Mandatory me</w:t>
            </w:r>
            <w:r w:rsidR="008F74C2">
              <w:t>etings with counselors or adviso</w:t>
            </w:r>
            <w:r w:rsidRPr="00FD64B8">
              <w:t xml:space="preserve">rs. </w:t>
            </w:r>
          </w:p>
        </w:tc>
        <w:tc>
          <w:tcPr>
            <w:tcW w:w="3985" w:type="dxa"/>
          </w:tcPr>
          <w:p w:rsidR="00285E8E" w:rsidRPr="00FD64B8" w:rsidRDefault="00285E8E" w:rsidP="00C279C3">
            <w:pPr>
              <w:spacing w:line="269" w:lineRule="auto"/>
            </w:pPr>
          </w:p>
        </w:tc>
        <w:tc>
          <w:tcPr>
            <w:tcW w:w="2699" w:type="dxa"/>
          </w:tcPr>
          <w:p w:rsidR="00285E8E" w:rsidRPr="00FD64B8" w:rsidRDefault="00285E8E" w:rsidP="00C279C3">
            <w:pPr>
              <w:spacing w:line="269" w:lineRule="auto"/>
            </w:pP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Increase counseling contract days.</w:t>
            </w:r>
          </w:p>
        </w:tc>
        <w:tc>
          <w:tcPr>
            <w:tcW w:w="3985" w:type="dxa"/>
          </w:tcPr>
          <w:p w:rsidR="00285E8E" w:rsidRPr="00FD64B8" w:rsidRDefault="00285E8E" w:rsidP="00C279C3">
            <w:pPr>
              <w:spacing w:line="269" w:lineRule="auto"/>
            </w:pPr>
          </w:p>
        </w:tc>
        <w:tc>
          <w:tcPr>
            <w:tcW w:w="2699" w:type="dxa"/>
          </w:tcPr>
          <w:p w:rsidR="00285E8E" w:rsidRPr="00FD64B8" w:rsidRDefault="00285E8E" w:rsidP="00C279C3">
            <w:pPr>
              <w:spacing w:line="269" w:lineRule="auto"/>
            </w:pP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Develop Renegade 101</w:t>
            </w:r>
          </w:p>
        </w:tc>
        <w:tc>
          <w:tcPr>
            <w:tcW w:w="3985" w:type="dxa"/>
          </w:tcPr>
          <w:p w:rsidR="00285E8E" w:rsidRPr="00FD64B8" w:rsidRDefault="00285E8E" w:rsidP="00C279C3">
            <w:pPr>
              <w:spacing w:line="269" w:lineRule="auto"/>
            </w:pPr>
          </w:p>
        </w:tc>
        <w:tc>
          <w:tcPr>
            <w:tcW w:w="2699" w:type="dxa"/>
          </w:tcPr>
          <w:p w:rsidR="00285E8E" w:rsidRPr="00FD64B8" w:rsidRDefault="00285E8E" w:rsidP="00C279C3">
            <w:pPr>
              <w:spacing w:line="269" w:lineRule="auto"/>
            </w:pPr>
            <w:r w:rsidRPr="00FD64B8">
              <w:t xml:space="preserve">SSSP – Counseling, </w:t>
            </w:r>
            <w:r w:rsidR="00B004F1">
              <w:t>Dir. Equity &amp; Inclusion</w:t>
            </w:r>
            <w:r w:rsidRPr="00FD64B8">
              <w:t xml:space="preserve">, </w:t>
            </w:r>
            <w:r w:rsidR="00E3590C">
              <w:t>Dean Student Success &amp; Pre-Collegiate</w:t>
            </w: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Focus groups on lack of success</w:t>
            </w:r>
          </w:p>
        </w:tc>
        <w:tc>
          <w:tcPr>
            <w:tcW w:w="3985" w:type="dxa"/>
          </w:tcPr>
          <w:p w:rsidR="00285E8E" w:rsidRPr="00FD64B8" w:rsidRDefault="008F74C2" w:rsidP="00C279C3">
            <w:pPr>
              <w:spacing w:line="269" w:lineRule="auto"/>
            </w:pPr>
            <w:r>
              <w:t>Annual focus groups held to discuss lack of success</w:t>
            </w:r>
          </w:p>
        </w:tc>
        <w:tc>
          <w:tcPr>
            <w:tcW w:w="2699" w:type="dxa"/>
          </w:tcPr>
          <w:p w:rsidR="001A65DB" w:rsidRPr="00FD64B8" w:rsidRDefault="00285E8E" w:rsidP="00C279C3">
            <w:pPr>
              <w:spacing w:line="269" w:lineRule="auto"/>
            </w:pPr>
            <w:r w:rsidRPr="00FD64B8">
              <w:t>SSSP</w:t>
            </w:r>
            <w:r w:rsidR="001A65DB">
              <w:t>; Dean of Student Success &amp; Development</w:t>
            </w:r>
          </w:p>
        </w:tc>
      </w:tr>
      <w:tr w:rsidR="00AC7DE5" w:rsidRPr="00FD64B8" w:rsidTr="00C279C3">
        <w:tc>
          <w:tcPr>
            <w:tcW w:w="468" w:type="dxa"/>
          </w:tcPr>
          <w:p w:rsidR="00AC7DE5" w:rsidRPr="00FD64B8" w:rsidRDefault="00AC7DE5" w:rsidP="00C279C3">
            <w:pPr>
              <w:spacing w:line="269" w:lineRule="auto"/>
            </w:pPr>
          </w:p>
        </w:tc>
        <w:tc>
          <w:tcPr>
            <w:tcW w:w="7464" w:type="dxa"/>
          </w:tcPr>
          <w:p w:rsidR="00AC7DE5" w:rsidRPr="00FD64B8" w:rsidRDefault="00AC7DE5" w:rsidP="00C279C3">
            <w:pPr>
              <w:spacing w:line="269" w:lineRule="auto"/>
            </w:pPr>
            <w:r w:rsidRPr="00FD64B8">
              <w:t>Promote academic, career and Career Technical Education (CTE) pathways (1.2)</w:t>
            </w:r>
          </w:p>
        </w:tc>
        <w:tc>
          <w:tcPr>
            <w:tcW w:w="3985" w:type="dxa"/>
          </w:tcPr>
          <w:p w:rsidR="00AC7DE5" w:rsidRPr="00FD64B8" w:rsidRDefault="00AC7DE5" w:rsidP="00C279C3">
            <w:pPr>
              <w:spacing w:line="269" w:lineRule="auto"/>
            </w:pPr>
          </w:p>
        </w:tc>
        <w:tc>
          <w:tcPr>
            <w:tcW w:w="2699" w:type="dxa"/>
          </w:tcPr>
          <w:p w:rsidR="00AC7DE5" w:rsidRPr="00FD64B8" w:rsidRDefault="00AC7DE5" w:rsidP="00C279C3">
            <w:pPr>
              <w:spacing w:line="269" w:lineRule="auto"/>
            </w:pP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 xml:space="preserve">Develop, implement, review and update comprehensive plans to better </w:t>
            </w:r>
            <w:r w:rsidRPr="00FD64B8">
              <w:lastRenderedPageBreak/>
              <w:t>coordinate in-reach, outreach, and recruitment activities (1.1 &amp; 1.2)</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Pr>
          <w:p w:rsidR="00285E8E" w:rsidRPr="00FD64B8" w:rsidRDefault="00285E8E" w:rsidP="00197868">
            <w:pPr>
              <w:spacing w:line="269" w:lineRule="auto"/>
            </w:pPr>
          </w:p>
        </w:tc>
        <w:tc>
          <w:tcPr>
            <w:tcW w:w="7464" w:type="dxa"/>
          </w:tcPr>
          <w:p w:rsidR="00285E8E" w:rsidRPr="00FD64B8" w:rsidRDefault="00285E8E" w:rsidP="00197868">
            <w:pPr>
              <w:spacing w:line="269" w:lineRule="auto"/>
            </w:pPr>
            <w:r w:rsidRPr="00FD64B8">
              <w:t>Provide timely and individualized interventions to ensure students are aware, accountable, and supported by the most effective services available.  Examples: Early Alert, Supplemental Instruction, Math Lab, Writing Center, Making it Happen (MIH), and Student Success lab. (1.1 &amp; 1.2)</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Assess, enhance and expand study halls, tutoring, supplemental instruction, Math lab, Writing Center and Student Success Lab and accelerated and compressed curriculum (1.1)</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Continue to develop and expand the Making it Happen (MIH) program (1.1)</w:t>
            </w:r>
          </w:p>
        </w:tc>
        <w:tc>
          <w:tcPr>
            <w:tcW w:w="3985" w:type="dxa"/>
          </w:tcPr>
          <w:p w:rsidR="00285E8E" w:rsidRPr="00FD64B8" w:rsidRDefault="00285E8E" w:rsidP="00C636AA">
            <w:pPr>
              <w:spacing w:line="269" w:lineRule="auto"/>
            </w:pPr>
          </w:p>
        </w:tc>
        <w:tc>
          <w:tcPr>
            <w:tcW w:w="2699" w:type="dxa"/>
          </w:tcPr>
          <w:p w:rsidR="00285E8E" w:rsidRPr="00FD64B8" w:rsidRDefault="00E3590C" w:rsidP="00C636AA">
            <w:pPr>
              <w:spacing w:line="269" w:lineRule="auto"/>
            </w:pPr>
            <w:r>
              <w:t>Dean Student Success &amp; Pre-Collegiate</w:t>
            </w:r>
          </w:p>
        </w:tc>
      </w:tr>
      <w:tr w:rsidR="00285E8E" w:rsidRPr="00FD64B8" w:rsidTr="00285E8E">
        <w:tc>
          <w:tcPr>
            <w:tcW w:w="468" w:type="dxa"/>
          </w:tcPr>
          <w:p w:rsidR="00285E8E" w:rsidRPr="00FD64B8" w:rsidRDefault="00285E8E" w:rsidP="00197868">
            <w:pPr>
              <w:spacing w:line="269" w:lineRule="auto"/>
            </w:pPr>
          </w:p>
        </w:tc>
        <w:tc>
          <w:tcPr>
            <w:tcW w:w="7464" w:type="dxa"/>
          </w:tcPr>
          <w:p w:rsidR="00285E8E" w:rsidRPr="00FD64B8" w:rsidRDefault="00285E8E" w:rsidP="00197868">
            <w:pPr>
              <w:spacing w:line="269" w:lineRule="auto"/>
            </w:pPr>
            <w:r w:rsidRPr="00FD64B8">
              <w:t>Continue Habits of Mind (HOM) and Making it Happen (MIH) to improve student effort, student faculty interaction and leverage persistence into successful outcomes (1.2)</w:t>
            </w:r>
          </w:p>
        </w:tc>
        <w:tc>
          <w:tcPr>
            <w:tcW w:w="3985" w:type="dxa"/>
          </w:tcPr>
          <w:p w:rsidR="00285E8E" w:rsidRPr="00FD64B8" w:rsidRDefault="00285E8E" w:rsidP="00C636AA">
            <w:pPr>
              <w:spacing w:line="269" w:lineRule="auto"/>
            </w:pPr>
          </w:p>
        </w:tc>
        <w:tc>
          <w:tcPr>
            <w:tcW w:w="2699" w:type="dxa"/>
          </w:tcPr>
          <w:p w:rsidR="00285E8E" w:rsidRPr="00FD64B8" w:rsidRDefault="00E3590C" w:rsidP="00C636AA">
            <w:pPr>
              <w:spacing w:line="269" w:lineRule="auto"/>
            </w:pPr>
            <w:r>
              <w:t>Dean Student Success &amp; Pre-Collegiate</w:t>
            </w:r>
          </w:p>
        </w:tc>
      </w:tr>
      <w:tr w:rsidR="00285E8E" w:rsidRPr="00FD64B8" w:rsidTr="00285E8E">
        <w:tc>
          <w:tcPr>
            <w:tcW w:w="468" w:type="dxa"/>
            <w:tcBorders>
              <w:bottom w:val="single" w:sz="4" w:space="0" w:color="auto"/>
            </w:tcBorders>
          </w:tcPr>
          <w:p w:rsidR="00285E8E" w:rsidRPr="00FD64B8" w:rsidRDefault="00285E8E" w:rsidP="008D0882">
            <w:pPr>
              <w:spacing w:line="269" w:lineRule="auto"/>
            </w:pPr>
          </w:p>
        </w:tc>
        <w:tc>
          <w:tcPr>
            <w:tcW w:w="7464" w:type="dxa"/>
            <w:tcBorders>
              <w:bottom w:val="single" w:sz="4" w:space="0" w:color="auto"/>
            </w:tcBorders>
          </w:tcPr>
          <w:p w:rsidR="00285E8E" w:rsidRPr="00FD64B8" w:rsidRDefault="00285E8E" w:rsidP="008D0882">
            <w:pPr>
              <w:spacing w:line="269" w:lineRule="auto"/>
            </w:pPr>
            <w:r w:rsidRPr="00FD64B8">
              <w:t>Develop focus on resources for end of college outcomes and goals such as transfer programs and career services (1.1)</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AC7DE5" w:rsidRPr="00FD64B8" w:rsidTr="00C279C3">
        <w:tc>
          <w:tcPr>
            <w:tcW w:w="468" w:type="dxa"/>
          </w:tcPr>
          <w:p w:rsidR="00AC7DE5" w:rsidRPr="00FD64B8" w:rsidRDefault="00AC7DE5" w:rsidP="00C279C3">
            <w:pPr>
              <w:spacing w:line="269" w:lineRule="auto"/>
            </w:pPr>
          </w:p>
        </w:tc>
        <w:tc>
          <w:tcPr>
            <w:tcW w:w="7464" w:type="dxa"/>
          </w:tcPr>
          <w:p w:rsidR="00AC7DE5" w:rsidRPr="00FD64B8" w:rsidRDefault="00AC7DE5" w:rsidP="00C279C3">
            <w:pPr>
              <w:spacing w:line="269" w:lineRule="auto"/>
            </w:pPr>
            <w:r w:rsidRPr="00FD64B8">
              <w:t>Increase progression and success through pre-collegiate accelerated and compressed curricula (1.2)</w:t>
            </w:r>
          </w:p>
        </w:tc>
        <w:tc>
          <w:tcPr>
            <w:tcW w:w="3985" w:type="dxa"/>
          </w:tcPr>
          <w:p w:rsidR="00AC7DE5" w:rsidRPr="00FD64B8" w:rsidRDefault="00AC7DE5" w:rsidP="00C279C3">
            <w:pPr>
              <w:spacing w:line="269" w:lineRule="auto"/>
            </w:pPr>
          </w:p>
        </w:tc>
        <w:tc>
          <w:tcPr>
            <w:tcW w:w="2699" w:type="dxa"/>
          </w:tcPr>
          <w:p w:rsidR="00AC7DE5" w:rsidRPr="00FD64B8" w:rsidRDefault="00AC7DE5" w:rsidP="00C279C3">
            <w:pPr>
              <w:spacing w:line="269" w:lineRule="auto"/>
            </w:pPr>
          </w:p>
        </w:tc>
      </w:tr>
      <w:tr w:rsidR="00E71F4C" w:rsidRPr="00FD64B8" w:rsidTr="00433CC4">
        <w:tc>
          <w:tcPr>
            <w:tcW w:w="14616" w:type="dxa"/>
            <w:gridSpan w:val="4"/>
            <w:shd w:val="clear" w:color="auto" w:fill="D9D9D9" w:themeFill="background1" w:themeFillShade="D9"/>
          </w:tcPr>
          <w:p w:rsidR="00E71F4C" w:rsidRPr="001A65DB" w:rsidRDefault="00E71F4C" w:rsidP="00E71F4C">
            <w:pPr>
              <w:spacing w:line="269" w:lineRule="auto"/>
              <w:jc w:val="center"/>
              <w:rPr>
                <w:b/>
              </w:rPr>
            </w:pPr>
            <w:r w:rsidRPr="001A65DB">
              <w:rPr>
                <w:b/>
              </w:rPr>
              <w:t>Student Engagement</w:t>
            </w:r>
          </w:p>
        </w:tc>
      </w:tr>
      <w:tr w:rsidR="00AC7DE5" w:rsidRPr="00FD64B8" w:rsidTr="00C279C3">
        <w:tc>
          <w:tcPr>
            <w:tcW w:w="468" w:type="dxa"/>
            <w:tcBorders>
              <w:bottom w:val="single" w:sz="4" w:space="0" w:color="auto"/>
            </w:tcBorders>
          </w:tcPr>
          <w:p w:rsidR="00AC7DE5" w:rsidRPr="00FD64B8" w:rsidRDefault="00AC7DE5" w:rsidP="00C279C3">
            <w:pPr>
              <w:spacing w:line="269" w:lineRule="auto"/>
            </w:pPr>
          </w:p>
        </w:tc>
        <w:tc>
          <w:tcPr>
            <w:tcW w:w="7464" w:type="dxa"/>
            <w:tcBorders>
              <w:bottom w:val="single" w:sz="4" w:space="0" w:color="auto"/>
            </w:tcBorders>
          </w:tcPr>
          <w:p w:rsidR="00AC7DE5" w:rsidRPr="00FD64B8" w:rsidRDefault="00AC7DE5" w:rsidP="00C279C3">
            <w:pPr>
              <w:spacing w:line="269" w:lineRule="auto"/>
            </w:pPr>
            <w:r w:rsidRPr="00FD64B8">
              <w:t>Develop a variety of summer bridge options (1.2)</w:t>
            </w:r>
          </w:p>
        </w:tc>
        <w:tc>
          <w:tcPr>
            <w:tcW w:w="3985" w:type="dxa"/>
          </w:tcPr>
          <w:p w:rsidR="00AC7DE5" w:rsidRPr="00FD64B8" w:rsidRDefault="00AC7DE5" w:rsidP="00C279C3">
            <w:pPr>
              <w:spacing w:line="269" w:lineRule="auto"/>
            </w:pPr>
          </w:p>
        </w:tc>
        <w:tc>
          <w:tcPr>
            <w:tcW w:w="2699" w:type="dxa"/>
          </w:tcPr>
          <w:p w:rsidR="00AC7DE5" w:rsidRPr="00FD64B8" w:rsidRDefault="00AC7DE5" w:rsidP="00C279C3">
            <w:pPr>
              <w:spacing w:line="269" w:lineRule="auto"/>
            </w:pP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Develop and implement study halls with embedded tutoring to ensure student engagement (1.3)</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Borders>
              <w:bottom w:val="single" w:sz="4" w:space="0" w:color="auto"/>
            </w:tcBorders>
          </w:tcPr>
          <w:p w:rsidR="00285E8E" w:rsidRPr="00FD64B8" w:rsidRDefault="00285E8E" w:rsidP="008D0882">
            <w:pPr>
              <w:spacing w:line="269" w:lineRule="auto"/>
            </w:pPr>
          </w:p>
        </w:tc>
        <w:tc>
          <w:tcPr>
            <w:tcW w:w="7464" w:type="dxa"/>
            <w:tcBorders>
              <w:bottom w:val="single" w:sz="4" w:space="0" w:color="auto"/>
            </w:tcBorders>
          </w:tcPr>
          <w:p w:rsidR="00285E8E" w:rsidRPr="00FD64B8" w:rsidRDefault="00285E8E" w:rsidP="008D0882">
            <w:pPr>
              <w:spacing w:line="269" w:lineRule="auto"/>
            </w:pPr>
            <w:r w:rsidRPr="00FD64B8">
              <w:t>Enhance participation in academic support services, including Supplemental Instruction; Science, Technology, Engineering and Mathematics (STEM); Mathematics, Engineering, Science, Achievement program (MESA); Making it happen (MIH) mentoring; Critical Academic Skills (CAS); Habits of Mind (HOM), etc. (1.3)</w:t>
            </w:r>
          </w:p>
        </w:tc>
        <w:tc>
          <w:tcPr>
            <w:tcW w:w="3985" w:type="dxa"/>
          </w:tcPr>
          <w:p w:rsidR="00285E8E" w:rsidRPr="00FD64B8" w:rsidRDefault="00285E8E" w:rsidP="00C636AA">
            <w:pPr>
              <w:spacing w:line="269" w:lineRule="auto"/>
            </w:pPr>
          </w:p>
        </w:tc>
        <w:tc>
          <w:tcPr>
            <w:tcW w:w="2699" w:type="dxa"/>
          </w:tcPr>
          <w:p w:rsidR="00285E8E" w:rsidRPr="00FD64B8" w:rsidRDefault="00E3590C" w:rsidP="00C636AA">
            <w:pPr>
              <w:spacing w:line="269" w:lineRule="auto"/>
            </w:pPr>
            <w:r>
              <w:t>Dean Student Success &amp; Pre-Collegiate</w:t>
            </w:r>
          </w:p>
        </w:tc>
      </w:tr>
      <w:tr w:rsidR="00E71F4C" w:rsidRPr="00FD64B8" w:rsidTr="006B2CD3">
        <w:tc>
          <w:tcPr>
            <w:tcW w:w="14616" w:type="dxa"/>
            <w:gridSpan w:val="4"/>
            <w:shd w:val="clear" w:color="auto" w:fill="D9D9D9" w:themeFill="background1" w:themeFillShade="D9"/>
          </w:tcPr>
          <w:p w:rsidR="00E71F4C" w:rsidRPr="001A65DB" w:rsidRDefault="00E71F4C" w:rsidP="00E71F4C">
            <w:pPr>
              <w:spacing w:line="269" w:lineRule="auto"/>
              <w:jc w:val="center"/>
              <w:rPr>
                <w:b/>
              </w:rPr>
            </w:pPr>
            <w:r w:rsidRPr="001A65DB">
              <w:rPr>
                <w:b/>
              </w:rPr>
              <w:t>Student Equity</w:t>
            </w: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Provide targeted and enhanced orientation, testing, placement and counseling efforts for impact groups (2.1)</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Increase support for college and community mentorship programs like African American Success Through Excellence and Persistence (ASTEP) and Padrinos (2.1)</w:t>
            </w:r>
          </w:p>
        </w:tc>
        <w:tc>
          <w:tcPr>
            <w:tcW w:w="3985" w:type="dxa"/>
          </w:tcPr>
          <w:p w:rsidR="00285E8E" w:rsidRPr="00FD64B8" w:rsidRDefault="00285E8E" w:rsidP="00C636AA">
            <w:pPr>
              <w:spacing w:line="269" w:lineRule="auto"/>
            </w:pPr>
          </w:p>
        </w:tc>
        <w:tc>
          <w:tcPr>
            <w:tcW w:w="2699" w:type="dxa"/>
          </w:tcPr>
          <w:p w:rsidR="00285E8E" w:rsidRPr="00FD64B8" w:rsidRDefault="00285E8E" w:rsidP="00C636AA">
            <w:pPr>
              <w:spacing w:line="269" w:lineRule="auto"/>
            </w:pP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 xml:space="preserve">Scale up interventions through pre-collegiate, Making it Happen (MIH); African American Male Mentoring Program (AAMMP); African American Success Through Excellence and Persistence (ASTEP); and Latino Initiative activities, including individualized contact and intrusive support and other initiatives </w:t>
            </w:r>
            <w:r w:rsidRPr="00FD64B8">
              <w:lastRenderedPageBreak/>
              <w:t>targeting underserved student populations (2.1)</w:t>
            </w:r>
          </w:p>
        </w:tc>
        <w:tc>
          <w:tcPr>
            <w:tcW w:w="3985" w:type="dxa"/>
          </w:tcPr>
          <w:p w:rsidR="00285E8E" w:rsidRPr="00FD64B8" w:rsidRDefault="00285E8E" w:rsidP="00C636AA">
            <w:pPr>
              <w:spacing w:line="269" w:lineRule="auto"/>
            </w:pPr>
          </w:p>
        </w:tc>
        <w:tc>
          <w:tcPr>
            <w:tcW w:w="2699" w:type="dxa"/>
          </w:tcPr>
          <w:p w:rsidR="00285E8E" w:rsidRPr="00FD64B8" w:rsidRDefault="00E3590C" w:rsidP="00C636AA">
            <w:pPr>
              <w:spacing w:line="269" w:lineRule="auto"/>
            </w:pPr>
            <w:r>
              <w:t>Dean Student Success &amp; Pre-Collegiate</w:t>
            </w:r>
            <w:r w:rsidR="001D1FC9">
              <w:t>; Dir. Equity &amp; Inclusion</w:t>
            </w:r>
          </w:p>
        </w:tc>
      </w:tr>
      <w:tr w:rsidR="00285E8E" w:rsidRPr="00FD64B8" w:rsidTr="00285E8E">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Continue Habits of Mind (HOM) to enhance Student Effort and Habits of Mind (HOM) and Making it Happen (MIH) to improve Student Faculty Interaction and leverage persistence into successful outcomes (2.1)</w:t>
            </w:r>
          </w:p>
        </w:tc>
        <w:tc>
          <w:tcPr>
            <w:tcW w:w="3985" w:type="dxa"/>
          </w:tcPr>
          <w:p w:rsidR="00285E8E" w:rsidRPr="00FD64B8" w:rsidRDefault="00285E8E" w:rsidP="00C636AA">
            <w:pPr>
              <w:spacing w:line="269" w:lineRule="auto"/>
            </w:pPr>
          </w:p>
        </w:tc>
        <w:tc>
          <w:tcPr>
            <w:tcW w:w="2699" w:type="dxa"/>
          </w:tcPr>
          <w:p w:rsidR="00285E8E" w:rsidRPr="00FD64B8" w:rsidRDefault="00E3590C" w:rsidP="001D1FC9">
            <w:pPr>
              <w:spacing w:line="269" w:lineRule="auto"/>
            </w:pPr>
            <w:r>
              <w:t>Dean Student Success &amp; Pre-Collegiate</w:t>
            </w:r>
            <w:r w:rsidR="001D1FC9">
              <w:t xml:space="preserve">; </w:t>
            </w:r>
          </w:p>
        </w:tc>
      </w:tr>
      <w:tr w:rsidR="00285E8E" w:rsidRPr="00FD64B8" w:rsidTr="00B004F1">
        <w:trPr>
          <w:trHeight w:val="70"/>
        </w:trPr>
        <w:tc>
          <w:tcPr>
            <w:tcW w:w="468" w:type="dxa"/>
          </w:tcPr>
          <w:p w:rsidR="00285E8E" w:rsidRPr="00FD64B8" w:rsidRDefault="00285E8E" w:rsidP="008D0882">
            <w:pPr>
              <w:spacing w:line="269" w:lineRule="auto"/>
            </w:pPr>
          </w:p>
        </w:tc>
        <w:tc>
          <w:tcPr>
            <w:tcW w:w="7464" w:type="dxa"/>
          </w:tcPr>
          <w:p w:rsidR="00285E8E" w:rsidRPr="00FD64B8" w:rsidRDefault="00285E8E" w:rsidP="008D0882">
            <w:pPr>
              <w:spacing w:line="269" w:lineRule="auto"/>
            </w:pPr>
            <w:r w:rsidRPr="00FD64B8">
              <w:t>Initiative campaign to complete Student Ed Plan through African American Success Through Excellence and Persistence (ASTEP); African American Male Mentoring Program (AAMMP); Padrinos, and other Latino Initiatives (2.1)</w:t>
            </w:r>
          </w:p>
        </w:tc>
        <w:tc>
          <w:tcPr>
            <w:tcW w:w="3985" w:type="dxa"/>
          </w:tcPr>
          <w:p w:rsidR="00285E8E" w:rsidRPr="00FD64B8" w:rsidRDefault="00285E8E" w:rsidP="00C636AA">
            <w:pPr>
              <w:spacing w:line="269" w:lineRule="auto"/>
            </w:pPr>
          </w:p>
        </w:tc>
        <w:tc>
          <w:tcPr>
            <w:tcW w:w="2699" w:type="dxa"/>
          </w:tcPr>
          <w:p w:rsidR="00285E8E" w:rsidRPr="00FD64B8" w:rsidRDefault="00725850" w:rsidP="00C636AA">
            <w:pPr>
              <w:spacing w:line="269" w:lineRule="auto"/>
            </w:pPr>
            <w:r>
              <w:t>Dean of Student Success &amp; Development; Counseling</w:t>
            </w: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Monitor/track goals, objectives, measurements, and equity plan of disproportionate impacted groups.</w:t>
            </w:r>
          </w:p>
        </w:tc>
        <w:tc>
          <w:tcPr>
            <w:tcW w:w="3985" w:type="dxa"/>
          </w:tcPr>
          <w:p w:rsidR="00285E8E" w:rsidRPr="00FD64B8" w:rsidRDefault="00285E8E" w:rsidP="00C279C3">
            <w:pPr>
              <w:spacing w:line="269" w:lineRule="auto"/>
            </w:pPr>
          </w:p>
        </w:tc>
        <w:tc>
          <w:tcPr>
            <w:tcW w:w="2699" w:type="dxa"/>
          </w:tcPr>
          <w:p w:rsidR="00285E8E" w:rsidRPr="00FD64B8" w:rsidRDefault="001D1FC9" w:rsidP="00C279C3">
            <w:pPr>
              <w:spacing w:line="269" w:lineRule="auto"/>
            </w:pPr>
            <w:r>
              <w:t>Dir. Equity &amp; Inclusion</w:t>
            </w: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Focus on Disproportionate groups inviting them to campus</w:t>
            </w:r>
          </w:p>
        </w:tc>
        <w:tc>
          <w:tcPr>
            <w:tcW w:w="3985" w:type="dxa"/>
          </w:tcPr>
          <w:p w:rsidR="00285E8E" w:rsidRPr="00FD64B8" w:rsidRDefault="00285E8E" w:rsidP="00C279C3">
            <w:pPr>
              <w:spacing w:line="269" w:lineRule="auto"/>
            </w:pPr>
          </w:p>
        </w:tc>
        <w:tc>
          <w:tcPr>
            <w:tcW w:w="2699" w:type="dxa"/>
          </w:tcPr>
          <w:p w:rsidR="00285E8E" w:rsidRPr="00FD64B8" w:rsidRDefault="001D1FC9" w:rsidP="00C279C3">
            <w:pPr>
              <w:spacing w:line="269" w:lineRule="auto"/>
            </w:pPr>
            <w:r>
              <w:t>Dir. Equity &amp; Inclusion</w:t>
            </w:r>
            <w:r w:rsidR="00285E8E" w:rsidRPr="00FD64B8">
              <w:t>; Outreach Office</w:t>
            </w:r>
          </w:p>
        </w:tc>
      </w:tr>
      <w:tr w:rsidR="00285E8E" w:rsidRPr="00FD64B8" w:rsidTr="00285E8E">
        <w:tc>
          <w:tcPr>
            <w:tcW w:w="468" w:type="dxa"/>
          </w:tcPr>
          <w:p w:rsidR="00285E8E" w:rsidRPr="00FD64B8" w:rsidRDefault="00285E8E" w:rsidP="00C279C3">
            <w:pPr>
              <w:spacing w:line="269" w:lineRule="auto"/>
            </w:pPr>
          </w:p>
        </w:tc>
        <w:tc>
          <w:tcPr>
            <w:tcW w:w="7464" w:type="dxa"/>
          </w:tcPr>
          <w:p w:rsidR="00285E8E" w:rsidRPr="00FD64B8" w:rsidRDefault="00285E8E" w:rsidP="00C279C3">
            <w:pPr>
              <w:spacing w:line="269" w:lineRule="auto"/>
            </w:pPr>
            <w:r w:rsidRPr="00FD64B8">
              <w:t>Outreach to younger groups providing educational awareness to disproportionate groups</w:t>
            </w:r>
          </w:p>
        </w:tc>
        <w:tc>
          <w:tcPr>
            <w:tcW w:w="3985" w:type="dxa"/>
          </w:tcPr>
          <w:p w:rsidR="00285E8E" w:rsidRPr="00FD64B8" w:rsidRDefault="00285E8E" w:rsidP="00C279C3">
            <w:pPr>
              <w:spacing w:line="269" w:lineRule="auto"/>
            </w:pPr>
          </w:p>
        </w:tc>
        <w:tc>
          <w:tcPr>
            <w:tcW w:w="2699" w:type="dxa"/>
          </w:tcPr>
          <w:p w:rsidR="00285E8E" w:rsidRPr="00FD64B8" w:rsidRDefault="001D1FC9" w:rsidP="00C279C3">
            <w:pPr>
              <w:spacing w:line="269" w:lineRule="auto"/>
            </w:pPr>
            <w:r>
              <w:t>Dir. Equity &amp; Inclusion</w:t>
            </w:r>
          </w:p>
        </w:tc>
      </w:tr>
    </w:tbl>
    <w:p w:rsidR="00CE5396" w:rsidRPr="009C1D19" w:rsidRDefault="00CE5396" w:rsidP="00285E8E">
      <w:pPr>
        <w:spacing w:line="240" w:lineRule="auto"/>
        <w:rPr>
          <w:b/>
        </w:rPr>
      </w:pPr>
    </w:p>
    <w:sectPr w:rsidR="00CE5396" w:rsidRPr="009C1D19" w:rsidSect="007C0289">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race Commiso" w:date="2015-04-20T10:59:00Z" w:initials="GC">
    <w:p w:rsidR="00285E8E" w:rsidRDefault="00285E8E">
      <w:pPr>
        <w:pStyle w:val="CommentText"/>
      </w:pPr>
      <w:r>
        <w:rPr>
          <w:rStyle w:val="CommentReference"/>
        </w:rPr>
        <w:annotationRef/>
      </w:r>
      <w:r>
        <w:t>Should this be student learning?</w:t>
      </w:r>
    </w:p>
  </w:comment>
  <w:comment w:id="2" w:author="Grace Commiso" w:date="2015-04-20T11:03:00Z" w:initials="GC">
    <w:p w:rsidR="00285E8E" w:rsidRDefault="00285E8E">
      <w:pPr>
        <w:pStyle w:val="CommentText"/>
      </w:pPr>
      <w:r>
        <w:rPr>
          <w:rStyle w:val="CommentReference"/>
        </w:rPr>
        <w:annotationRef/>
      </w:r>
      <w:r>
        <w:t>??? Not sure this belongs?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A4405"/>
    <w:multiLevelType w:val="hybridMultilevel"/>
    <w:tmpl w:val="54103DCC"/>
    <w:lvl w:ilvl="0" w:tplc="BBCC3B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7314A"/>
    <w:multiLevelType w:val="hybridMultilevel"/>
    <w:tmpl w:val="54103DCC"/>
    <w:lvl w:ilvl="0" w:tplc="BBCC3B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75"/>
    <w:rsid w:val="0004011A"/>
    <w:rsid w:val="00043B73"/>
    <w:rsid w:val="00053E6E"/>
    <w:rsid w:val="00090933"/>
    <w:rsid w:val="000B1103"/>
    <w:rsid w:val="00122B00"/>
    <w:rsid w:val="00127564"/>
    <w:rsid w:val="00152C90"/>
    <w:rsid w:val="00160116"/>
    <w:rsid w:val="00160A63"/>
    <w:rsid w:val="00197868"/>
    <w:rsid w:val="001A65DB"/>
    <w:rsid w:val="001D1FC9"/>
    <w:rsid w:val="001E7640"/>
    <w:rsid w:val="00204A06"/>
    <w:rsid w:val="00285E8E"/>
    <w:rsid w:val="002E48CC"/>
    <w:rsid w:val="002F72C5"/>
    <w:rsid w:val="00322EBE"/>
    <w:rsid w:val="00367DDC"/>
    <w:rsid w:val="00372EA0"/>
    <w:rsid w:val="003B6B95"/>
    <w:rsid w:val="003D5F2B"/>
    <w:rsid w:val="003E194C"/>
    <w:rsid w:val="003F018D"/>
    <w:rsid w:val="0042553C"/>
    <w:rsid w:val="00455F8E"/>
    <w:rsid w:val="004B0C76"/>
    <w:rsid w:val="004B632C"/>
    <w:rsid w:val="00526029"/>
    <w:rsid w:val="00556B75"/>
    <w:rsid w:val="00577F87"/>
    <w:rsid w:val="006511A7"/>
    <w:rsid w:val="00676388"/>
    <w:rsid w:val="006F7677"/>
    <w:rsid w:val="0072206A"/>
    <w:rsid w:val="00725850"/>
    <w:rsid w:val="00742899"/>
    <w:rsid w:val="007B5CF2"/>
    <w:rsid w:val="007C0289"/>
    <w:rsid w:val="007C0435"/>
    <w:rsid w:val="007F23A3"/>
    <w:rsid w:val="008568A7"/>
    <w:rsid w:val="0088504B"/>
    <w:rsid w:val="00891DCB"/>
    <w:rsid w:val="008A3224"/>
    <w:rsid w:val="008C5ECD"/>
    <w:rsid w:val="008D0882"/>
    <w:rsid w:val="008D4E2F"/>
    <w:rsid w:val="008E7905"/>
    <w:rsid w:val="008F74C2"/>
    <w:rsid w:val="00903FC4"/>
    <w:rsid w:val="00926044"/>
    <w:rsid w:val="00950E55"/>
    <w:rsid w:val="00977D1D"/>
    <w:rsid w:val="009A263C"/>
    <w:rsid w:val="009C1D19"/>
    <w:rsid w:val="009C4A0F"/>
    <w:rsid w:val="009D1840"/>
    <w:rsid w:val="00A02203"/>
    <w:rsid w:val="00A07681"/>
    <w:rsid w:val="00A11A91"/>
    <w:rsid w:val="00A26680"/>
    <w:rsid w:val="00A40D65"/>
    <w:rsid w:val="00A77ECD"/>
    <w:rsid w:val="00A831C0"/>
    <w:rsid w:val="00AA1950"/>
    <w:rsid w:val="00AA6D45"/>
    <w:rsid w:val="00AB286D"/>
    <w:rsid w:val="00AC7DE5"/>
    <w:rsid w:val="00B004F1"/>
    <w:rsid w:val="00B428AA"/>
    <w:rsid w:val="00BD3DE5"/>
    <w:rsid w:val="00C148AA"/>
    <w:rsid w:val="00C636AA"/>
    <w:rsid w:val="00CC724B"/>
    <w:rsid w:val="00CD56AF"/>
    <w:rsid w:val="00CE5396"/>
    <w:rsid w:val="00D0355F"/>
    <w:rsid w:val="00D24C90"/>
    <w:rsid w:val="00D53B45"/>
    <w:rsid w:val="00D66A5D"/>
    <w:rsid w:val="00DF3044"/>
    <w:rsid w:val="00E3590C"/>
    <w:rsid w:val="00E53A0D"/>
    <w:rsid w:val="00E71F4C"/>
    <w:rsid w:val="00EC7FB6"/>
    <w:rsid w:val="00EE3660"/>
    <w:rsid w:val="00F27F8E"/>
    <w:rsid w:val="00F50986"/>
    <w:rsid w:val="00F8096F"/>
    <w:rsid w:val="00F83469"/>
    <w:rsid w:val="00F87952"/>
    <w:rsid w:val="00FC748F"/>
    <w:rsid w:val="00FD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75"/>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680"/>
    <w:rPr>
      <w:color w:val="0000FF" w:themeColor="hyperlink"/>
      <w:u w:val="single"/>
    </w:rPr>
  </w:style>
  <w:style w:type="table" w:customStyle="1" w:styleId="TableGrid1">
    <w:name w:val="Table Grid1"/>
    <w:basedOn w:val="TableNormal"/>
    <w:next w:val="TableGrid"/>
    <w:uiPriority w:val="59"/>
    <w:rsid w:val="0045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F8E"/>
    <w:pPr>
      <w:spacing w:line="240" w:lineRule="auto"/>
      <w:ind w:left="720"/>
    </w:pPr>
    <w:rPr>
      <w:rFonts w:ascii="Calibri" w:hAnsi="Calibri" w:cs="Times New Roman"/>
    </w:rPr>
  </w:style>
  <w:style w:type="table" w:customStyle="1" w:styleId="TableGrid2">
    <w:name w:val="Table Grid2"/>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F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E8E"/>
    <w:rPr>
      <w:sz w:val="16"/>
      <w:szCs w:val="16"/>
    </w:rPr>
  </w:style>
  <w:style w:type="paragraph" w:styleId="CommentText">
    <w:name w:val="annotation text"/>
    <w:basedOn w:val="Normal"/>
    <w:link w:val="CommentTextChar"/>
    <w:uiPriority w:val="99"/>
    <w:semiHidden/>
    <w:unhideWhenUsed/>
    <w:rsid w:val="00285E8E"/>
    <w:pPr>
      <w:spacing w:line="240" w:lineRule="auto"/>
    </w:pPr>
    <w:rPr>
      <w:sz w:val="20"/>
      <w:szCs w:val="20"/>
    </w:rPr>
  </w:style>
  <w:style w:type="character" w:customStyle="1" w:styleId="CommentTextChar">
    <w:name w:val="Comment Text Char"/>
    <w:basedOn w:val="DefaultParagraphFont"/>
    <w:link w:val="CommentText"/>
    <w:uiPriority w:val="99"/>
    <w:semiHidden/>
    <w:rsid w:val="00285E8E"/>
    <w:rPr>
      <w:sz w:val="20"/>
      <w:szCs w:val="20"/>
    </w:rPr>
  </w:style>
  <w:style w:type="paragraph" w:styleId="CommentSubject">
    <w:name w:val="annotation subject"/>
    <w:basedOn w:val="CommentText"/>
    <w:next w:val="CommentText"/>
    <w:link w:val="CommentSubjectChar"/>
    <w:uiPriority w:val="99"/>
    <w:semiHidden/>
    <w:unhideWhenUsed/>
    <w:rsid w:val="00285E8E"/>
    <w:rPr>
      <w:b/>
      <w:bCs/>
    </w:rPr>
  </w:style>
  <w:style w:type="character" w:customStyle="1" w:styleId="CommentSubjectChar">
    <w:name w:val="Comment Subject Char"/>
    <w:basedOn w:val="CommentTextChar"/>
    <w:link w:val="CommentSubject"/>
    <w:uiPriority w:val="99"/>
    <w:semiHidden/>
    <w:rsid w:val="00285E8E"/>
    <w:rPr>
      <w:b/>
      <w:bCs/>
      <w:sz w:val="20"/>
      <w:szCs w:val="20"/>
    </w:rPr>
  </w:style>
  <w:style w:type="paragraph" w:styleId="BalloonText">
    <w:name w:val="Balloon Text"/>
    <w:basedOn w:val="Normal"/>
    <w:link w:val="BalloonTextChar"/>
    <w:uiPriority w:val="99"/>
    <w:semiHidden/>
    <w:unhideWhenUsed/>
    <w:rsid w:val="00285E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75"/>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680"/>
    <w:rPr>
      <w:color w:val="0000FF" w:themeColor="hyperlink"/>
      <w:u w:val="single"/>
    </w:rPr>
  </w:style>
  <w:style w:type="table" w:customStyle="1" w:styleId="TableGrid1">
    <w:name w:val="Table Grid1"/>
    <w:basedOn w:val="TableNormal"/>
    <w:next w:val="TableGrid"/>
    <w:uiPriority w:val="59"/>
    <w:rsid w:val="0045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F8E"/>
    <w:pPr>
      <w:spacing w:line="240" w:lineRule="auto"/>
      <w:ind w:left="720"/>
    </w:pPr>
    <w:rPr>
      <w:rFonts w:ascii="Calibri" w:hAnsi="Calibri" w:cs="Times New Roman"/>
    </w:rPr>
  </w:style>
  <w:style w:type="table" w:customStyle="1" w:styleId="TableGrid2">
    <w:name w:val="Table Grid2"/>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F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E8E"/>
    <w:rPr>
      <w:sz w:val="16"/>
      <w:szCs w:val="16"/>
    </w:rPr>
  </w:style>
  <w:style w:type="paragraph" w:styleId="CommentText">
    <w:name w:val="annotation text"/>
    <w:basedOn w:val="Normal"/>
    <w:link w:val="CommentTextChar"/>
    <w:uiPriority w:val="99"/>
    <w:semiHidden/>
    <w:unhideWhenUsed/>
    <w:rsid w:val="00285E8E"/>
    <w:pPr>
      <w:spacing w:line="240" w:lineRule="auto"/>
    </w:pPr>
    <w:rPr>
      <w:sz w:val="20"/>
      <w:szCs w:val="20"/>
    </w:rPr>
  </w:style>
  <w:style w:type="character" w:customStyle="1" w:styleId="CommentTextChar">
    <w:name w:val="Comment Text Char"/>
    <w:basedOn w:val="DefaultParagraphFont"/>
    <w:link w:val="CommentText"/>
    <w:uiPriority w:val="99"/>
    <w:semiHidden/>
    <w:rsid w:val="00285E8E"/>
    <w:rPr>
      <w:sz w:val="20"/>
      <w:szCs w:val="20"/>
    </w:rPr>
  </w:style>
  <w:style w:type="paragraph" w:styleId="CommentSubject">
    <w:name w:val="annotation subject"/>
    <w:basedOn w:val="CommentText"/>
    <w:next w:val="CommentText"/>
    <w:link w:val="CommentSubjectChar"/>
    <w:uiPriority w:val="99"/>
    <w:semiHidden/>
    <w:unhideWhenUsed/>
    <w:rsid w:val="00285E8E"/>
    <w:rPr>
      <w:b/>
      <w:bCs/>
    </w:rPr>
  </w:style>
  <w:style w:type="character" w:customStyle="1" w:styleId="CommentSubjectChar">
    <w:name w:val="Comment Subject Char"/>
    <w:basedOn w:val="CommentTextChar"/>
    <w:link w:val="CommentSubject"/>
    <w:uiPriority w:val="99"/>
    <w:semiHidden/>
    <w:rsid w:val="00285E8E"/>
    <w:rPr>
      <w:b/>
      <w:bCs/>
      <w:sz w:val="20"/>
      <w:szCs w:val="20"/>
    </w:rPr>
  </w:style>
  <w:style w:type="paragraph" w:styleId="BalloonText">
    <w:name w:val="Balloon Text"/>
    <w:basedOn w:val="Normal"/>
    <w:link w:val="BalloonTextChar"/>
    <w:uiPriority w:val="99"/>
    <w:semiHidden/>
    <w:unhideWhenUsed/>
    <w:rsid w:val="00285E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1958">
      <w:bodyDiv w:val="1"/>
      <w:marLeft w:val="0"/>
      <w:marRight w:val="0"/>
      <w:marTop w:val="0"/>
      <w:marBottom w:val="0"/>
      <w:divBdr>
        <w:top w:val="none" w:sz="0" w:space="0" w:color="auto"/>
        <w:left w:val="none" w:sz="0" w:space="0" w:color="auto"/>
        <w:bottom w:val="none" w:sz="0" w:space="0" w:color="auto"/>
        <w:right w:val="none" w:sz="0" w:space="0" w:color="auto"/>
      </w:divBdr>
    </w:div>
    <w:div w:id="678969144">
      <w:bodyDiv w:val="1"/>
      <w:marLeft w:val="0"/>
      <w:marRight w:val="0"/>
      <w:marTop w:val="0"/>
      <w:marBottom w:val="0"/>
      <w:divBdr>
        <w:top w:val="none" w:sz="0" w:space="0" w:color="auto"/>
        <w:left w:val="none" w:sz="0" w:space="0" w:color="auto"/>
        <w:bottom w:val="none" w:sz="0" w:space="0" w:color="auto"/>
        <w:right w:val="none" w:sz="0" w:space="0" w:color="auto"/>
      </w:divBdr>
    </w:div>
    <w:div w:id="977563619">
      <w:bodyDiv w:val="1"/>
      <w:marLeft w:val="0"/>
      <w:marRight w:val="0"/>
      <w:marTop w:val="0"/>
      <w:marBottom w:val="0"/>
      <w:divBdr>
        <w:top w:val="none" w:sz="0" w:space="0" w:color="auto"/>
        <w:left w:val="none" w:sz="0" w:space="0" w:color="auto"/>
        <w:bottom w:val="none" w:sz="0" w:space="0" w:color="auto"/>
        <w:right w:val="none" w:sz="0" w:space="0" w:color="auto"/>
      </w:divBdr>
    </w:div>
    <w:div w:id="1461070850">
      <w:bodyDiv w:val="1"/>
      <w:marLeft w:val="0"/>
      <w:marRight w:val="0"/>
      <w:marTop w:val="0"/>
      <w:marBottom w:val="0"/>
      <w:divBdr>
        <w:top w:val="none" w:sz="0" w:space="0" w:color="auto"/>
        <w:left w:val="none" w:sz="0" w:space="0" w:color="auto"/>
        <w:bottom w:val="none" w:sz="0" w:space="0" w:color="auto"/>
        <w:right w:val="none" w:sz="0" w:space="0" w:color="auto"/>
      </w:divBdr>
    </w:div>
    <w:div w:id="18818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A511-2F7A-4E47-8424-B0634D1A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Pluta</cp:lastModifiedBy>
  <cp:revision>2</cp:revision>
  <dcterms:created xsi:type="dcterms:W3CDTF">2015-04-29T15:01:00Z</dcterms:created>
  <dcterms:modified xsi:type="dcterms:W3CDTF">2015-04-29T15:01:00Z</dcterms:modified>
</cp:coreProperties>
</file>