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0A850" w14:textId="77777777" w:rsidR="00C25625" w:rsidRPr="00CF1500" w:rsidRDefault="00C25625">
      <w:pPr>
        <w:rPr>
          <w:rFonts w:asciiTheme="minorHAnsi" w:hAnsiTheme="minorHAnsi" w:cstheme="minorHAnsi"/>
          <w:szCs w:val="24"/>
        </w:rPr>
      </w:pPr>
    </w:p>
    <w:p w14:paraId="4E05FD9F"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Porterville College Mission Statement</w:t>
      </w:r>
      <w:r w:rsidRPr="00CF1500">
        <w:rPr>
          <w:rFonts w:asciiTheme="minorHAnsi" w:hAnsiTheme="minorHAnsi" w:cstheme="minorHAnsi"/>
          <w:szCs w:val="24"/>
        </w:rPr>
        <w:t>:</w:t>
      </w:r>
    </w:p>
    <w:p w14:paraId="56DFA091" w14:textId="77777777" w:rsidR="002879BA" w:rsidRPr="00CF1500" w:rsidRDefault="002879BA" w:rsidP="002879BA">
      <w:pPr>
        <w:rPr>
          <w:rFonts w:asciiTheme="minorHAnsi" w:hAnsiTheme="minorHAnsi" w:cstheme="minorHAnsi"/>
          <w:szCs w:val="24"/>
        </w:rPr>
      </w:pPr>
    </w:p>
    <w:p w14:paraId="5C1FB26A"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With students as our focus, Porterville College provides our local and diverse communities quality education that promotes intellectual curiosity, personal growth, and lifelong learning, while preparing students for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success.</w:t>
      </w:r>
    </w:p>
    <w:p w14:paraId="470C813F" w14:textId="77777777" w:rsidR="002879BA" w:rsidRPr="00CF1500" w:rsidRDefault="002879BA" w:rsidP="002879BA">
      <w:pPr>
        <w:rPr>
          <w:rFonts w:asciiTheme="minorHAnsi" w:hAnsiTheme="minorHAnsi" w:cstheme="minorHAnsi"/>
          <w:szCs w:val="24"/>
        </w:rPr>
      </w:pPr>
    </w:p>
    <w:p w14:paraId="45C72793"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In support of our values and philosophy, Porterville College will:</w:t>
      </w:r>
    </w:p>
    <w:p w14:paraId="04461C81" w14:textId="77777777" w:rsidR="002879BA" w:rsidRPr="00CF1500" w:rsidRDefault="002879BA" w:rsidP="002879BA">
      <w:pPr>
        <w:rPr>
          <w:rFonts w:asciiTheme="minorHAnsi" w:hAnsiTheme="minorHAnsi" w:cstheme="minorHAnsi"/>
          <w:szCs w:val="24"/>
        </w:rPr>
      </w:pPr>
    </w:p>
    <w:p w14:paraId="10C03C2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quality academic programs to all students who are capable of benefiting from community college instruction.</w:t>
      </w:r>
    </w:p>
    <w:p w14:paraId="39CFB1D4"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comprehensive support services to help students achieve their personal,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potential.</w:t>
      </w:r>
    </w:p>
    <w:p w14:paraId="6FE5E4CF"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Prepare students for transfer and success at four-year institutions.</w:t>
      </w:r>
    </w:p>
    <w:p w14:paraId="6187CE6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courses and training to prepare students for employment or to enhance skills within their current careers.</w:t>
      </w:r>
    </w:p>
    <w:p w14:paraId="3205891A"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developmental education to students who need to enhance their knowledge and understanding of basic skills.</w:t>
      </w:r>
    </w:p>
    <w:p w14:paraId="19697BD2"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Recognize student achievement through awarding degrees, certificates, grants, and scholarships.</w:t>
      </w:r>
    </w:p>
    <w:p w14:paraId="7EBFE4CD" w14:textId="77777777" w:rsidR="002879BA" w:rsidRPr="00CF1500" w:rsidRDefault="002879BA" w:rsidP="002879BA">
      <w:pPr>
        <w:rPr>
          <w:rFonts w:asciiTheme="minorHAnsi" w:hAnsiTheme="minorHAnsi" w:cstheme="minorHAnsi"/>
          <w:szCs w:val="24"/>
        </w:rPr>
      </w:pPr>
    </w:p>
    <w:p w14:paraId="0A1F40E7" w14:textId="77777777" w:rsidR="00706A72" w:rsidRPr="00CF1500" w:rsidRDefault="00706A72" w:rsidP="00706A72">
      <w:pPr>
        <w:rPr>
          <w:rFonts w:asciiTheme="minorHAnsi" w:hAnsiTheme="minorHAnsi" w:cstheme="minorHAnsi"/>
          <w:szCs w:val="24"/>
        </w:rPr>
      </w:pPr>
      <w:r>
        <w:rPr>
          <w:rFonts w:asciiTheme="minorHAnsi" w:hAnsiTheme="minorHAnsi" w:cstheme="minorHAnsi"/>
          <w:b/>
          <w:bCs/>
          <w:szCs w:val="24"/>
          <w:u w:val="single"/>
        </w:rPr>
        <w:t>Guided Pathways Framework</w:t>
      </w:r>
      <w:r w:rsidRPr="00CF1500">
        <w:rPr>
          <w:rFonts w:asciiTheme="minorHAnsi" w:hAnsiTheme="minorHAnsi" w:cstheme="minorHAnsi"/>
          <w:szCs w:val="24"/>
        </w:rPr>
        <w:t>:</w:t>
      </w:r>
    </w:p>
    <w:p w14:paraId="6C098674" w14:textId="77777777" w:rsidR="00706A72" w:rsidRDefault="00706A72" w:rsidP="00706A72">
      <w:pPr>
        <w:rPr>
          <w:rFonts w:asciiTheme="minorHAnsi" w:hAnsiTheme="minorHAnsi" w:cstheme="minorHAnsi"/>
          <w:szCs w:val="24"/>
        </w:rPr>
      </w:pPr>
    </w:p>
    <w:p w14:paraId="4477F43F" w14:textId="77777777" w:rsidR="00706A72"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Clarify the Path:  Create clear curricular pathways to employment and further education.</w:t>
      </w:r>
    </w:p>
    <w:p w14:paraId="48E1E223" w14:textId="77777777" w:rsidR="00706A72"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Enter the Path:  Help students choose and enter their pathway.</w:t>
      </w:r>
    </w:p>
    <w:p w14:paraId="1CAD3CF9" w14:textId="77777777" w:rsidR="00706A72"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Stay on the Path:  Help students stay on their path.</w:t>
      </w:r>
    </w:p>
    <w:p w14:paraId="3D08D148" w14:textId="77777777" w:rsidR="00706A72" w:rsidRPr="00A72849"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Ensure Learning:  Ensure that learning is happening with clear outcomes.</w:t>
      </w:r>
    </w:p>
    <w:p w14:paraId="3FD05815" w14:textId="5839D066" w:rsidR="00706A72" w:rsidRDefault="00706A72" w:rsidP="002879BA">
      <w:pPr>
        <w:rPr>
          <w:rFonts w:asciiTheme="minorHAnsi" w:hAnsiTheme="minorHAnsi" w:cstheme="minorHAnsi"/>
          <w:b/>
          <w:bCs/>
          <w:szCs w:val="24"/>
          <w:u w:val="single"/>
        </w:rPr>
      </w:pPr>
    </w:p>
    <w:p w14:paraId="3CFCC9AC" w14:textId="77777777" w:rsidR="00706A72" w:rsidRDefault="00706A72" w:rsidP="002879BA">
      <w:pPr>
        <w:rPr>
          <w:rFonts w:asciiTheme="minorHAnsi" w:hAnsiTheme="minorHAnsi" w:cstheme="minorHAnsi"/>
          <w:b/>
          <w:bCs/>
          <w:szCs w:val="24"/>
          <w:u w:val="single"/>
        </w:rPr>
      </w:pPr>
    </w:p>
    <w:p w14:paraId="22B9918C" w14:textId="4D6892B0"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Program Mission Statement</w:t>
      </w:r>
      <w:r w:rsidRPr="00CF1500">
        <w:rPr>
          <w:rFonts w:asciiTheme="minorHAnsi" w:hAnsiTheme="minorHAnsi" w:cstheme="minorHAnsi"/>
          <w:szCs w:val="24"/>
        </w:rPr>
        <w:t>:</w:t>
      </w:r>
    </w:p>
    <w:p w14:paraId="4411721D" w14:textId="77777777" w:rsidR="002879BA" w:rsidRPr="00CF1500" w:rsidRDefault="002879BA" w:rsidP="002879BA">
      <w:pPr>
        <w:rPr>
          <w:rFonts w:asciiTheme="minorHAnsi" w:hAnsiTheme="minorHAnsi" w:cstheme="minorHAnsi"/>
          <w:szCs w:val="24"/>
        </w:rPr>
      </w:pPr>
    </w:p>
    <w:p w14:paraId="1DDCE804" w14:textId="6F8D3A94" w:rsidR="00A01D48" w:rsidRDefault="00A01D48" w:rsidP="002879BA">
      <w:pPr>
        <w:rPr>
          <w:rFonts w:asciiTheme="minorHAnsi" w:hAnsiTheme="minorHAnsi" w:cstheme="minorHAnsi"/>
          <w:szCs w:val="24"/>
        </w:rPr>
      </w:pPr>
      <w:r>
        <w:rPr>
          <w:rFonts w:asciiTheme="minorHAnsi" w:hAnsiTheme="minorHAnsi" w:cstheme="minorHAnsi"/>
          <w:szCs w:val="24"/>
        </w:rPr>
        <w:t xml:space="preserve">The Porterville College </w:t>
      </w:r>
      <w:r w:rsidRPr="00AA118D">
        <w:rPr>
          <w:rFonts w:asciiTheme="minorHAnsi" w:hAnsiTheme="minorHAnsi" w:cstheme="minorHAnsi"/>
          <w:szCs w:val="24"/>
        </w:rPr>
        <w:t>Distance Education</w:t>
      </w:r>
      <w:r>
        <w:rPr>
          <w:rFonts w:asciiTheme="minorHAnsi" w:hAnsiTheme="minorHAnsi" w:cstheme="minorHAnsi"/>
          <w:szCs w:val="24"/>
        </w:rPr>
        <w:t xml:space="preserve"> (DE)</w:t>
      </w:r>
      <w:r w:rsidRPr="00AA118D">
        <w:rPr>
          <w:rFonts w:asciiTheme="minorHAnsi" w:hAnsiTheme="minorHAnsi" w:cstheme="minorHAnsi"/>
          <w:szCs w:val="24"/>
        </w:rPr>
        <w:t xml:space="preserve"> Program</w:t>
      </w:r>
      <w:r>
        <w:rPr>
          <w:rFonts w:asciiTheme="minorHAnsi" w:hAnsiTheme="minorHAnsi" w:cstheme="minorHAnsi"/>
          <w:szCs w:val="24"/>
        </w:rPr>
        <w:t xml:space="preserve"> ensures the quality of and increases access </w:t>
      </w:r>
      <w:r w:rsidR="002A2C88">
        <w:rPr>
          <w:rFonts w:asciiTheme="minorHAnsi" w:hAnsiTheme="minorHAnsi" w:cstheme="minorHAnsi"/>
          <w:szCs w:val="24"/>
        </w:rPr>
        <w:t>for students of its</w:t>
      </w:r>
      <w:r>
        <w:rPr>
          <w:rFonts w:asciiTheme="minorHAnsi" w:hAnsiTheme="minorHAnsi" w:cstheme="minorHAnsi"/>
          <w:szCs w:val="24"/>
        </w:rPr>
        <w:t xml:space="preserve"> classes, programs and services offered in various distance education modalitie</w:t>
      </w:r>
      <w:r w:rsidR="002A2C88">
        <w:rPr>
          <w:rFonts w:asciiTheme="minorHAnsi" w:hAnsiTheme="minorHAnsi" w:cstheme="minorHAnsi"/>
          <w:szCs w:val="24"/>
        </w:rPr>
        <w:t>s by providing and supporting</w:t>
      </w:r>
      <w:r>
        <w:rPr>
          <w:rFonts w:asciiTheme="minorHAnsi" w:hAnsiTheme="minorHAnsi" w:cstheme="minorHAnsi"/>
          <w:szCs w:val="24"/>
        </w:rPr>
        <w:t xml:space="preserve"> faculty </w:t>
      </w:r>
      <w:r w:rsidR="002A2C88">
        <w:rPr>
          <w:rFonts w:asciiTheme="minorHAnsi" w:hAnsiTheme="minorHAnsi" w:cstheme="minorHAnsi"/>
          <w:szCs w:val="24"/>
        </w:rPr>
        <w:t xml:space="preserve">access to instructional design resources and professional </w:t>
      </w:r>
      <w:r>
        <w:rPr>
          <w:rFonts w:asciiTheme="minorHAnsi" w:hAnsiTheme="minorHAnsi" w:cstheme="minorHAnsi"/>
          <w:szCs w:val="24"/>
        </w:rPr>
        <w:t>growt</w:t>
      </w:r>
      <w:r w:rsidR="002A2C88">
        <w:rPr>
          <w:rFonts w:asciiTheme="minorHAnsi" w:hAnsiTheme="minorHAnsi" w:cstheme="minorHAnsi"/>
          <w:szCs w:val="24"/>
        </w:rPr>
        <w:t>h opportunities, and promoting expansion of the College’s distance education programs</w:t>
      </w:r>
      <w:r w:rsidR="002A42AF">
        <w:rPr>
          <w:rFonts w:asciiTheme="minorHAnsi" w:hAnsiTheme="minorHAnsi" w:cstheme="minorHAnsi"/>
          <w:szCs w:val="24"/>
        </w:rPr>
        <w:t xml:space="preserve"> and services</w:t>
      </w:r>
      <w:r w:rsidR="002A2C88">
        <w:rPr>
          <w:rFonts w:asciiTheme="minorHAnsi" w:hAnsiTheme="minorHAnsi" w:cstheme="minorHAnsi"/>
          <w:szCs w:val="24"/>
        </w:rPr>
        <w:t>.</w:t>
      </w:r>
      <w:r w:rsidR="00B5439E">
        <w:rPr>
          <w:rFonts w:asciiTheme="minorHAnsi" w:hAnsiTheme="minorHAnsi" w:cstheme="minorHAnsi"/>
          <w:szCs w:val="24"/>
        </w:rPr>
        <w:t xml:space="preserve"> </w:t>
      </w:r>
      <w:r>
        <w:rPr>
          <w:rFonts w:asciiTheme="minorHAnsi" w:hAnsiTheme="minorHAnsi" w:cstheme="minorHAnsi"/>
          <w:szCs w:val="24"/>
        </w:rPr>
        <w:t xml:space="preserve">  </w:t>
      </w:r>
    </w:p>
    <w:p w14:paraId="5EAB8028" w14:textId="77777777" w:rsidR="00C47B31" w:rsidRPr="00CF1500" w:rsidRDefault="00C47B31">
      <w:pPr>
        <w:rPr>
          <w:rFonts w:asciiTheme="minorHAnsi" w:hAnsiTheme="minorHAnsi" w:cstheme="minorHAnsi"/>
          <w:szCs w:val="24"/>
        </w:rPr>
      </w:pPr>
    </w:p>
    <w:p w14:paraId="746071FE" w14:textId="77777777" w:rsidR="00812C6E" w:rsidRPr="00CF1500" w:rsidRDefault="00812C6E">
      <w:pPr>
        <w:rPr>
          <w:rFonts w:asciiTheme="minorHAnsi" w:hAnsiTheme="minorHAnsi" w:cstheme="minorHAnsi"/>
          <w:szCs w:val="24"/>
        </w:rPr>
      </w:pPr>
    </w:p>
    <w:p w14:paraId="330219F5" w14:textId="77777777" w:rsidR="00812C6E" w:rsidRPr="00CF1500" w:rsidRDefault="00812C6E">
      <w:pPr>
        <w:rPr>
          <w:rFonts w:asciiTheme="minorHAnsi" w:hAnsiTheme="minorHAnsi" w:cstheme="minorHAnsi"/>
          <w:szCs w:val="24"/>
        </w:rPr>
      </w:pPr>
    </w:p>
    <w:p w14:paraId="72AA8911" w14:textId="77777777" w:rsidR="00812C6E" w:rsidRPr="00CF1500" w:rsidRDefault="00812C6E">
      <w:pPr>
        <w:rPr>
          <w:rFonts w:asciiTheme="minorHAnsi" w:hAnsiTheme="minorHAnsi" w:cstheme="minorHAnsi"/>
          <w:szCs w:val="24"/>
        </w:rPr>
      </w:pPr>
    </w:p>
    <w:p w14:paraId="135952CE" w14:textId="77777777" w:rsidR="00812C6E" w:rsidRPr="00CF1500" w:rsidRDefault="00812C6E">
      <w:pPr>
        <w:rPr>
          <w:rFonts w:asciiTheme="minorHAnsi" w:hAnsiTheme="minorHAnsi" w:cstheme="minorHAnsi"/>
          <w:szCs w:val="24"/>
        </w:rPr>
      </w:pPr>
    </w:p>
    <w:p w14:paraId="64CA659A" w14:textId="77777777" w:rsidR="00812C6E" w:rsidRPr="00CF1500" w:rsidRDefault="00812C6E">
      <w:pPr>
        <w:rPr>
          <w:rFonts w:asciiTheme="minorHAnsi" w:hAnsiTheme="minorHAnsi" w:cstheme="minorHAnsi"/>
          <w:szCs w:val="24"/>
        </w:rPr>
      </w:pPr>
    </w:p>
    <w:p w14:paraId="3C962DC4" w14:textId="77777777" w:rsidR="00812C6E" w:rsidRPr="00CF1500" w:rsidRDefault="00812C6E" w:rsidP="00812C6E">
      <w:pPr>
        <w:rPr>
          <w:rFonts w:asciiTheme="minorHAnsi" w:hAnsiTheme="minorHAnsi" w:cstheme="minorHAnsi"/>
          <w:szCs w:val="24"/>
        </w:rPr>
      </w:pPr>
    </w:p>
    <w:p w14:paraId="68669377" w14:textId="064BE45D" w:rsidR="00812C6E" w:rsidRPr="00CF1500" w:rsidRDefault="00812C6E" w:rsidP="00812C6E">
      <w:pPr>
        <w:rPr>
          <w:rFonts w:asciiTheme="minorHAnsi" w:hAnsiTheme="minorHAnsi" w:cstheme="minorHAnsi"/>
          <w:szCs w:val="24"/>
        </w:rPr>
      </w:pPr>
      <w:r w:rsidRPr="00CF1500">
        <w:rPr>
          <w:rFonts w:asciiTheme="minorHAnsi" w:hAnsiTheme="minorHAnsi" w:cstheme="minorHAnsi"/>
          <w:b/>
          <w:bCs/>
          <w:szCs w:val="24"/>
          <w:u w:val="single"/>
        </w:rPr>
        <w:t>S</w:t>
      </w:r>
      <w:r w:rsidR="00351C2D">
        <w:rPr>
          <w:rFonts w:asciiTheme="minorHAnsi" w:hAnsiTheme="minorHAnsi" w:cstheme="minorHAnsi"/>
          <w:b/>
          <w:bCs/>
          <w:szCs w:val="24"/>
          <w:u w:val="single"/>
        </w:rPr>
        <w:t>ervice Area Outcomes (SAOs)</w:t>
      </w:r>
      <w:r w:rsidRPr="00CF1500">
        <w:rPr>
          <w:rFonts w:asciiTheme="minorHAnsi" w:hAnsiTheme="minorHAnsi" w:cstheme="minorHAnsi"/>
          <w:szCs w:val="24"/>
        </w:rPr>
        <w:t>:</w:t>
      </w:r>
    </w:p>
    <w:p w14:paraId="42341F36" w14:textId="77777777" w:rsidR="00812C6E" w:rsidRPr="00CF1500" w:rsidRDefault="00812C6E" w:rsidP="00812C6E">
      <w:pPr>
        <w:rPr>
          <w:rFonts w:asciiTheme="minorHAnsi" w:hAnsiTheme="minorHAnsi" w:cstheme="minorHAnsi"/>
          <w:szCs w:val="24"/>
        </w:rPr>
      </w:pPr>
    </w:p>
    <w:p w14:paraId="426FC55E" w14:textId="77777777" w:rsidR="00631F41" w:rsidRPr="00CF1500" w:rsidRDefault="00631F41" w:rsidP="00631F41">
      <w:pPr>
        <w:rPr>
          <w:rFonts w:asciiTheme="minorHAnsi" w:hAnsiTheme="minorHAnsi" w:cstheme="minorHAnsi"/>
          <w:szCs w:val="24"/>
        </w:rPr>
      </w:pPr>
    </w:p>
    <w:tbl>
      <w:tblPr>
        <w:tblStyle w:val="TableGrid"/>
        <w:tblW w:w="9216" w:type="dxa"/>
        <w:tblLook w:val="04A0" w:firstRow="1" w:lastRow="0" w:firstColumn="1" w:lastColumn="0" w:noHBand="0" w:noVBand="1"/>
      </w:tblPr>
      <w:tblGrid>
        <w:gridCol w:w="2304"/>
        <w:gridCol w:w="4608"/>
        <w:gridCol w:w="2304"/>
      </w:tblGrid>
      <w:tr w:rsidR="00631F41" w:rsidRPr="00CF1500" w14:paraId="0272B181" w14:textId="77777777" w:rsidTr="001F0A13">
        <w:trPr>
          <w:tblHeader/>
        </w:trPr>
        <w:tc>
          <w:tcPr>
            <w:tcW w:w="1250" w:type="pct"/>
          </w:tcPr>
          <w:p w14:paraId="54F3901F" w14:textId="77777777" w:rsidR="00631F41" w:rsidRPr="00CF1500" w:rsidRDefault="00631F41" w:rsidP="00FD356D">
            <w:pPr>
              <w:rPr>
                <w:rFonts w:asciiTheme="minorHAnsi" w:hAnsiTheme="minorHAnsi" w:cstheme="minorHAnsi"/>
                <w:szCs w:val="24"/>
              </w:rPr>
            </w:pPr>
            <w:r>
              <w:rPr>
                <w:rFonts w:asciiTheme="minorHAnsi" w:hAnsiTheme="minorHAnsi" w:cstheme="minorHAnsi"/>
                <w:szCs w:val="24"/>
              </w:rPr>
              <w:t>SAO</w:t>
            </w:r>
            <w:r w:rsidRPr="00CF1500">
              <w:rPr>
                <w:rFonts w:asciiTheme="minorHAnsi" w:hAnsiTheme="minorHAnsi" w:cstheme="minorHAnsi"/>
                <w:szCs w:val="24"/>
              </w:rPr>
              <w:t xml:space="preserve"> Statement</w:t>
            </w:r>
          </w:p>
        </w:tc>
        <w:tc>
          <w:tcPr>
            <w:tcW w:w="2500" w:type="pct"/>
          </w:tcPr>
          <w:p w14:paraId="1EECE176" w14:textId="77777777" w:rsidR="00631F41" w:rsidRPr="00CF1500" w:rsidRDefault="00631F41" w:rsidP="00FD356D">
            <w:pPr>
              <w:rPr>
                <w:rFonts w:asciiTheme="minorHAnsi" w:hAnsiTheme="minorHAnsi" w:cstheme="minorHAnsi"/>
                <w:szCs w:val="24"/>
              </w:rPr>
            </w:pPr>
            <w:r w:rsidRPr="00CF1500">
              <w:rPr>
                <w:rFonts w:asciiTheme="minorHAnsi" w:hAnsiTheme="minorHAnsi" w:cstheme="minorHAnsi"/>
                <w:szCs w:val="24"/>
              </w:rPr>
              <w:t xml:space="preserve">Describe assessment results and discussion of this </w:t>
            </w:r>
            <w:r>
              <w:rPr>
                <w:rFonts w:asciiTheme="minorHAnsi" w:hAnsiTheme="minorHAnsi" w:cstheme="minorHAnsi"/>
                <w:szCs w:val="24"/>
              </w:rPr>
              <w:t>SAO</w:t>
            </w:r>
          </w:p>
        </w:tc>
        <w:tc>
          <w:tcPr>
            <w:tcW w:w="1250" w:type="pct"/>
          </w:tcPr>
          <w:p w14:paraId="00922A70" w14:textId="77777777" w:rsidR="00631F41" w:rsidRPr="00CF1500" w:rsidRDefault="00631F41" w:rsidP="00FD356D">
            <w:pPr>
              <w:rPr>
                <w:rFonts w:asciiTheme="minorHAnsi" w:hAnsiTheme="minorHAnsi" w:cstheme="minorHAnsi"/>
                <w:szCs w:val="24"/>
              </w:rPr>
            </w:pPr>
            <w:r w:rsidRPr="00CF1500">
              <w:rPr>
                <w:rFonts w:asciiTheme="minorHAnsi" w:hAnsiTheme="minorHAnsi" w:cstheme="minorHAnsi"/>
                <w:szCs w:val="24"/>
              </w:rPr>
              <w:t>Describe how the results impact your goals and needs going forward</w:t>
            </w:r>
          </w:p>
        </w:tc>
      </w:tr>
      <w:tr w:rsidR="00631F41" w:rsidRPr="00CF1500" w14:paraId="505CA985" w14:textId="77777777" w:rsidTr="00FD356D">
        <w:tc>
          <w:tcPr>
            <w:tcW w:w="1250" w:type="pct"/>
          </w:tcPr>
          <w:p w14:paraId="051058CA" w14:textId="689C135A" w:rsidR="00631F41" w:rsidRPr="001F0A13" w:rsidRDefault="00631F41" w:rsidP="00FD356D">
            <w:pPr>
              <w:rPr>
                <w:rFonts w:asciiTheme="minorHAnsi" w:hAnsiTheme="minorHAnsi" w:cstheme="minorHAnsi"/>
                <w:sz w:val="22"/>
                <w:szCs w:val="22"/>
              </w:rPr>
            </w:pPr>
            <w:r w:rsidRPr="001F0A13">
              <w:rPr>
                <w:rFonts w:asciiTheme="minorHAnsi" w:hAnsiTheme="minorHAnsi" w:cstheme="minorHAnsi"/>
                <w:sz w:val="22"/>
                <w:szCs w:val="22"/>
              </w:rPr>
              <w:t>1.</w:t>
            </w:r>
            <w:r w:rsidR="00AA118D" w:rsidRPr="001F0A13">
              <w:rPr>
                <w:rFonts w:asciiTheme="minorHAnsi" w:hAnsiTheme="minorHAnsi" w:cstheme="minorHAnsi"/>
                <w:sz w:val="22"/>
                <w:szCs w:val="22"/>
              </w:rPr>
              <w:t xml:space="preserve"> Faculty will report that they</w:t>
            </w:r>
            <w:r w:rsidR="00A01D48" w:rsidRPr="001F0A13">
              <w:rPr>
                <w:rFonts w:asciiTheme="minorHAnsi" w:hAnsiTheme="minorHAnsi" w:cstheme="minorHAnsi"/>
                <w:sz w:val="22"/>
                <w:szCs w:val="22"/>
              </w:rPr>
              <w:t>-</w:t>
            </w:r>
            <w:r w:rsidR="00AA118D" w:rsidRPr="001F0A13">
              <w:rPr>
                <w:rFonts w:asciiTheme="minorHAnsi" w:hAnsiTheme="minorHAnsi" w:cstheme="minorHAnsi"/>
                <w:sz w:val="22"/>
                <w:szCs w:val="22"/>
              </w:rPr>
              <w:t xml:space="preserve"> were adequately prepared for developing, managing, and teaching their online or hybrid course, to facilitate student success in the course.</w:t>
            </w:r>
          </w:p>
        </w:tc>
        <w:tc>
          <w:tcPr>
            <w:tcW w:w="2500" w:type="pct"/>
          </w:tcPr>
          <w:p w14:paraId="0DDF3FE0" w14:textId="4C607F7B" w:rsidR="006310D7" w:rsidRPr="001F0A13" w:rsidRDefault="00166BCC" w:rsidP="006310D7">
            <w:pPr>
              <w:rPr>
                <w:rFonts w:asciiTheme="minorHAnsi" w:hAnsiTheme="minorHAnsi" w:cstheme="minorHAnsi"/>
                <w:sz w:val="22"/>
                <w:szCs w:val="22"/>
              </w:rPr>
            </w:pPr>
            <w:r w:rsidRPr="001F0A13">
              <w:rPr>
                <w:rFonts w:asciiTheme="minorHAnsi" w:hAnsiTheme="minorHAnsi" w:cstheme="minorHAnsi"/>
                <w:sz w:val="22"/>
                <w:szCs w:val="22"/>
              </w:rPr>
              <w:t>Faculty who were teaching at least one course in a DE modality were surveyed in fall 2019</w:t>
            </w:r>
            <w:r w:rsidR="00154B0F" w:rsidRPr="001F0A13">
              <w:rPr>
                <w:rFonts w:asciiTheme="minorHAnsi" w:hAnsiTheme="minorHAnsi" w:cstheme="minorHAnsi"/>
                <w:sz w:val="22"/>
                <w:szCs w:val="22"/>
              </w:rPr>
              <w:t xml:space="preserve"> (34 out of 48 faculty responded to the survey)</w:t>
            </w:r>
            <w:r w:rsidRPr="001F0A13">
              <w:rPr>
                <w:rFonts w:asciiTheme="minorHAnsi" w:hAnsiTheme="minorHAnsi" w:cstheme="minorHAnsi"/>
                <w:sz w:val="22"/>
                <w:szCs w:val="22"/>
              </w:rPr>
              <w:t xml:space="preserve">. In spring 2020 the survey responses were analyzed. </w:t>
            </w:r>
          </w:p>
          <w:p w14:paraId="241FE665" w14:textId="4665FEB1" w:rsidR="00A1245A" w:rsidRPr="001F0A13" w:rsidRDefault="006310D7" w:rsidP="00A1245A">
            <w:pPr>
              <w:pStyle w:val="ListParagraph"/>
              <w:numPr>
                <w:ilvl w:val="0"/>
                <w:numId w:val="3"/>
              </w:numPr>
              <w:rPr>
                <w:rFonts w:asciiTheme="minorHAnsi" w:hAnsiTheme="minorHAnsi" w:cstheme="minorHAnsi"/>
                <w:sz w:val="22"/>
                <w:szCs w:val="22"/>
              </w:rPr>
            </w:pPr>
            <w:r w:rsidRPr="001F0A13">
              <w:rPr>
                <w:rFonts w:asciiTheme="minorHAnsi" w:hAnsiTheme="minorHAnsi" w:cstheme="minorHAnsi"/>
                <w:sz w:val="22"/>
                <w:szCs w:val="22"/>
              </w:rPr>
              <w:t>94% of respondents agreed or strongly agreed that they were adequately prepared to develop their DE course(s).</w:t>
            </w:r>
          </w:p>
          <w:p w14:paraId="2C18F02C" w14:textId="5B9E71BC" w:rsidR="006310D7" w:rsidRPr="001F0A13" w:rsidRDefault="006310D7" w:rsidP="00A1245A">
            <w:pPr>
              <w:pStyle w:val="ListParagraph"/>
              <w:numPr>
                <w:ilvl w:val="0"/>
                <w:numId w:val="3"/>
              </w:numPr>
              <w:rPr>
                <w:rFonts w:asciiTheme="minorHAnsi" w:hAnsiTheme="minorHAnsi" w:cstheme="minorHAnsi"/>
                <w:sz w:val="22"/>
                <w:szCs w:val="22"/>
              </w:rPr>
            </w:pPr>
            <w:r w:rsidRPr="001F0A13">
              <w:rPr>
                <w:rFonts w:asciiTheme="minorHAnsi" w:hAnsiTheme="minorHAnsi" w:cstheme="minorHAnsi"/>
                <w:sz w:val="22"/>
                <w:szCs w:val="22"/>
              </w:rPr>
              <w:t>100% agreed or strongly agreed that they were adequately prepared to teach their DE course(s).</w:t>
            </w:r>
          </w:p>
          <w:p w14:paraId="2518ACAC" w14:textId="687E1622" w:rsidR="006310D7" w:rsidRPr="001F0A13" w:rsidRDefault="006310D7" w:rsidP="00A1245A">
            <w:pPr>
              <w:pStyle w:val="ListParagraph"/>
              <w:numPr>
                <w:ilvl w:val="0"/>
                <w:numId w:val="3"/>
              </w:numPr>
              <w:rPr>
                <w:rFonts w:asciiTheme="minorHAnsi" w:hAnsiTheme="minorHAnsi" w:cstheme="minorHAnsi"/>
                <w:sz w:val="22"/>
                <w:szCs w:val="22"/>
              </w:rPr>
            </w:pPr>
            <w:r w:rsidRPr="001F0A13">
              <w:rPr>
                <w:rFonts w:asciiTheme="minorHAnsi" w:hAnsiTheme="minorHAnsi" w:cstheme="minorHAnsi"/>
                <w:sz w:val="22"/>
                <w:szCs w:val="22"/>
              </w:rPr>
              <w:t>100% agreed or strongly agreed that they were adequately prepared to manage their DE course(s).</w:t>
            </w:r>
          </w:p>
          <w:p w14:paraId="0D832941" w14:textId="32254A41" w:rsidR="006310D7" w:rsidRPr="001F0A13" w:rsidRDefault="006310D7" w:rsidP="00A1245A">
            <w:pPr>
              <w:pStyle w:val="ListParagraph"/>
              <w:numPr>
                <w:ilvl w:val="0"/>
                <w:numId w:val="3"/>
              </w:numPr>
              <w:rPr>
                <w:rFonts w:asciiTheme="minorHAnsi" w:hAnsiTheme="minorHAnsi" w:cstheme="minorHAnsi"/>
                <w:sz w:val="22"/>
                <w:szCs w:val="22"/>
              </w:rPr>
            </w:pPr>
            <w:r w:rsidRPr="001F0A13">
              <w:rPr>
                <w:rFonts w:asciiTheme="minorHAnsi" w:hAnsiTheme="minorHAnsi" w:cstheme="minorHAnsi"/>
                <w:sz w:val="22"/>
                <w:szCs w:val="22"/>
              </w:rPr>
              <w:t>49% reported they had been teaching in a DE modality for 5 or more years, while the remaining respondents said they had been teaching for less than 5 years.</w:t>
            </w:r>
          </w:p>
          <w:p w14:paraId="3437BA1F" w14:textId="3194BD0C" w:rsidR="006310D7" w:rsidRPr="001F0A13" w:rsidRDefault="006310D7" w:rsidP="00A1245A">
            <w:pPr>
              <w:pStyle w:val="ListParagraph"/>
              <w:numPr>
                <w:ilvl w:val="0"/>
                <w:numId w:val="3"/>
              </w:numPr>
              <w:rPr>
                <w:rFonts w:asciiTheme="minorHAnsi" w:hAnsiTheme="minorHAnsi" w:cstheme="minorHAnsi"/>
                <w:sz w:val="22"/>
                <w:szCs w:val="22"/>
              </w:rPr>
            </w:pPr>
            <w:r w:rsidRPr="001F0A13">
              <w:rPr>
                <w:rFonts w:asciiTheme="minorHAnsi" w:hAnsiTheme="minorHAnsi" w:cstheme="minorHAnsi"/>
                <w:sz w:val="22"/>
                <w:szCs w:val="22"/>
              </w:rPr>
              <w:t>33% said they taught in a DE modality at another college before teaching a DE course for PC.</w:t>
            </w:r>
          </w:p>
          <w:p w14:paraId="475B599B" w14:textId="273EBDE8" w:rsidR="006310D7" w:rsidRPr="001F0A13" w:rsidRDefault="006310D7" w:rsidP="00A1245A">
            <w:pPr>
              <w:pStyle w:val="ListParagraph"/>
              <w:numPr>
                <w:ilvl w:val="0"/>
                <w:numId w:val="3"/>
              </w:numPr>
              <w:rPr>
                <w:rFonts w:asciiTheme="minorHAnsi" w:hAnsiTheme="minorHAnsi" w:cstheme="minorHAnsi"/>
                <w:sz w:val="22"/>
                <w:szCs w:val="22"/>
              </w:rPr>
            </w:pPr>
            <w:r w:rsidRPr="001F0A13">
              <w:rPr>
                <w:rFonts w:asciiTheme="minorHAnsi" w:hAnsiTheme="minorHAnsi" w:cstheme="minorHAnsi"/>
                <w:sz w:val="22"/>
                <w:szCs w:val="22"/>
              </w:rPr>
              <w:t>68% reported that they had successfully completed coursework/training in online teaching within the past three years.</w:t>
            </w:r>
          </w:p>
          <w:p w14:paraId="07406C85" w14:textId="77777777" w:rsidR="0083606F" w:rsidRPr="001F0A13" w:rsidRDefault="0083606F" w:rsidP="00A1245A">
            <w:pPr>
              <w:pStyle w:val="ListParagraph"/>
              <w:numPr>
                <w:ilvl w:val="0"/>
                <w:numId w:val="3"/>
              </w:numPr>
              <w:rPr>
                <w:rFonts w:asciiTheme="minorHAnsi" w:hAnsiTheme="minorHAnsi" w:cstheme="minorHAnsi"/>
                <w:sz w:val="22"/>
                <w:szCs w:val="22"/>
              </w:rPr>
            </w:pPr>
            <w:r w:rsidRPr="001F0A13">
              <w:rPr>
                <w:rFonts w:asciiTheme="minorHAnsi" w:hAnsiTheme="minorHAnsi" w:cstheme="minorHAnsi"/>
                <w:sz w:val="22"/>
                <w:szCs w:val="22"/>
              </w:rPr>
              <w:t>60% reported that they had successfully completed training in the use of Canvas within the past three years.</w:t>
            </w:r>
          </w:p>
          <w:p w14:paraId="61ECF1F5" w14:textId="77777777" w:rsidR="0083606F" w:rsidRPr="001F0A13" w:rsidRDefault="0083606F" w:rsidP="00A1245A">
            <w:pPr>
              <w:pStyle w:val="ListParagraph"/>
              <w:numPr>
                <w:ilvl w:val="0"/>
                <w:numId w:val="3"/>
              </w:numPr>
              <w:rPr>
                <w:rFonts w:asciiTheme="minorHAnsi" w:hAnsiTheme="minorHAnsi" w:cstheme="minorHAnsi"/>
                <w:sz w:val="22"/>
                <w:szCs w:val="22"/>
              </w:rPr>
            </w:pPr>
            <w:r w:rsidRPr="001F0A13">
              <w:rPr>
                <w:rFonts w:asciiTheme="minorHAnsi" w:hAnsiTheme="minorHAnsi" w:cstheme="minorHAnsi"/>
                <w:sz w:val="22"/>
                <w:szCs w:val="22"/>
              </w:rPr>
              <w:t>52% reported that they had not utilized resources located in the CIT Website within the past year.</w:t>
            </w:r>
          </w:p>
          <w:p w14:paraId="5F2B01D3" w14:textId="540D55E6" w:rsidR="00B424F3" w:rsidRPr="001F0A13" w:rsidRDefault="00B424F3" w:rsidP="00A1245A">
            <w:pPr>
              <w:pStyle w:val="ListParagraph"/>
              <w:numPr>
                <w:ilvl w:val="0"/>
                <w:numId w:val="3"/>
              </w:numPr>
              <w:rPr>
                <w:rFonts w:asciiTheme="minorHAnsi" w:hAnsiTheme="minorHAnsi" w:cstheme="minorHAnsi"/>
                <w:sz w:val="22"/>
                <w:szCs w:val="22"/>
              </w:rPr>
            </w:pPr>
            <w:r w:rsidRPr="001F0A13">
              <w:rPr>
                <w:rFonts w:asciiTheme="minorHAnsi" w:hAnsiTheme="minorHAnsi" w:cstheme="minorHAnsi"/>
                <w:sz w:val="22"/>
                <w:szCs w:val="22"/>
              </w:rPr>
              <w:t xml:space="preserve">A solicitation for ways to improve support for faculty resulted </w:t>
            </w:r>
            <w:r w:rsidR="000B73F9" w:rsidRPr="001F0A13">
              <w:rPr>
                <w:rFonts w:asciiTheme="minorHAnsi" w:hAnsiTheme="minorHAnsi" w:cstheme="minorHAnsi"/>
                <w:sz w:val="22"/>
                <w:szCs w:val="22"/>
              </w:rPr>
              <w:t xml:space="preserve">in 63% saying no </w:t>
            </w:r>
            <w:r w:rsidR="00806BAA" w:rsidRPr="001F0A13">
              <w:rPr>
                <w:rFonts w:asciiTheme="minorHAnsi" w:hAnsiTheme="minorHAnsi" w:cstheme="minorHAnsi"/>
                <w:sz w:val="22"/>
                <w:szCs w:val="22"/>
              </w:rPr>
              <w:t>changes needed</w:t>
            </w:r>
            <w:r w:rsidR="000B73F9" w:rsidRPr="001F0A13">
              <w:rPr>
                <w:rFonts w:asciiTheme="minorHAnsi" w:hAnsiTheme="minorHAnsi" w:cstheme="minorHAnsi"/>
                <w:sz w:val="22"/>
                <w:szCs w:val="22"/>
              </w:rPr>
              <w:t xml:space="preserve">. Other comments mentioned a need for more support of rubric alignment including </w:t>
            </w:r>
            <w:r w:rsidR="000B73F9" w:rsidRPr="001F0A13">
              <w:rPr>
                <w:rFonts w:asciiTheme="minorHAnsi" w:hAnsiTheme="minorHAnsi" w:cstheme="minorHAnsi"/>
                <w:sz w:val="22"/>
                <w:szCs w:val="22"/>
              </w:rPr>
              <w:lastRenderedPageBreak/>
              <w:t>compensati</w:t>
            </w:r>
            <w:r w:rsidR="00806BAA" w:rsidRPr="001F0A13">
              <w:rPr>
                <w:rFonts w:asciiTheme="minorHAnsi" w:hAnsiTheme="minorHAnsi" w:cstheme="minorHAnsi"/>
                <w:sz w:val="22"/>
                <w:szCs w:val="22"/>
              </w:rPr>
              <w:t>on for</w:t>
            </w:r>
            <w:r w:rsidR="000B73F9" w:rsidRPr="001F0A13">
              <w:rPr>
                <w:rFonts w:asciiTheme="minorHAnsi" w:hAnsiTheme="minorHAnsi" w:cstheme="minorHAnsi"/>
                <w:sz w:val="22"/>
                <w:szCs w:val="22"/>
              </w:rPr>
              <w:t xml:space="preserve"> faculty, keeping faculty informed of add-on or new tools available in Canvas, </w:t>
            </w:r>
            <w:r w:rsidR="00806BAA" w:rsidRPr="001F0A13">
              <w:rPr>
                <w:rFonts w:asciiTheme="minorHAnsi" w:hAnsiTheme="minorHAnsi" w:cstheme="minorHAnsi"/>
                <w:sz w:val="22"/>
                <w:szCs w:val="22"/>
              </w:rPr>
              <w:t>keeping</w:t>
            </w:r>
            <w:r w:rsidR="000B73F9" w:rsidRPr="001F0A13">
              <w:rPr>
                <w:rFonts w:asciiTheme="minorHAnsi" w:hAnsiTheme="minorHAnsi" w:cstheme="minorHAnsi"/>
                <w:sz w:val="22"/>
                <w:szCs w:val="22"/>
              </w:rPr>
              <w:t xml:space="preserve"> faculty</w:t>
            </w:r>
            <w:r w:rsidR="00806BAA" w:rsidRPr="001F0A13">
              <w:rPr>
                <w:rFonts w:asciiTheme="minorHAnsi" w:hAnsiTheme="minorHAnsi" w:cstheme="minorHAnsi"/>
                <w:sz w:val="22"/>
                <w:szCs w:val="22"/>
              </w:rPr>
              <w:t xml:space="preserve"> informed</w:t>
            </w:r>
            <w:r w:rsidR="000B73F9" w:rsidRPr="001F0A13">
              <w:rPr>
                <w:rFonts w:asciiTheme="minorHAnsi" w:hAnsiTheme="minorHAnsi" w:cstheme="minorHAnsi"/>
                <w:sz w:val="22"/>
                <w:szCs w:val="22"/>
              </w:rPr>
              <w:t xml:space="preserve"> of training opportunities</w:t>
            </w:r>
            <w:r w:rsidR="00806BAA" w:rsidRPr="001F0A13">
              <w:rPr>
                <w:rFonts w:asciiTheme="minorHAnsi" w:hAnsiTheme="minorHAnsi" w:cstheme="minorHAnsi"/>
                <w:sz w:val="22"/>
                <w:szCs w:val="22"/>
              </w:rPr>
              <w:t>.</w:t>
            </w:r>
          </w:p>
        </w:tc>
        <w:tc>
          <w:tcPr>
            <w:tcW w:w="1250" w:type="pct"/>
          </w:tcPr>
          <w:p w14:paraId="586151E4" w14:textId="29CE91A0" w:rsidR="002E1D78" w:rsidRPr="001F0A13" w:rsidRDefault="006310D7" w:rsidP="002E1D78">
            <w:pPr>
              <w:rPr>
                <w:rFonts w:asciiTheme="minorHAnsi" w:hAnsiTheme="minorHAnsi" w:cstheme="minorHAnsi"/>
                <w:sz w:val="22"/>
                <w:szCs w:val="22"/>
              </w:rPr>
            </w:pPr>
            <w:r w:rsidRPr="001F0A13">
              <w:rPr>
                <w:rFonts w:asciiTheme="minorHAnsi" w:hAnsiTheme="minorHAnsi" w:cstheme="minorHAnsi"/>
                <w:sz w:val="22"/>
                <w:szCs w:val="22"/>
              </w:rPr>
              <w:lastRenderedPageBreak/>
              <w:t>Based on the survey responses</w:t>
            </w:r>
            <w:r w:rsidR="002E1D78" w:rsidRPr="001F0A13">
              <w:rPr>
                <w:rFonts w:asciiTheme="minorHAnsi" w:hAnsiTheme="minorHAnsi" w:cstheme="minorHAnsi"/>
                <w:sz w:val="22"/>
                <w:szCs w:val="22"/>
              </w:rPr>
              <w:t xml:space="preserve"> it appears important to continue offering/expanding training opportunities. There is also a need to bring more awareness to faculty of the training and resources already available to them. Many also expressed a desire for more help in aligning their courses to the rubric, including help with compensation for that work.</w:t>
            </w:r>
          </w:p>
          <w:p w14:paraId="74B57B57" w14:textId="7149BF19" w:rsidR="00293947" w:rsidRPr="001F0A13" w:rsidRDefault="00293947" w:rsidP="002E1D78">
            <w:pPr>
              <w:rPr>
                <w:rFonts w:asciiTheme="minorHAnsi" w:hAnsiTheme="minorHAnsi" w:cstheme="minorHAnsi"/>
                <w:sz w:val="22"/>
                <w:szCs w:val="22"/>
              </w:rPr>
            </w:pPr>
          </w:p>
          <w:p w14:paraId="35352415" w14:textId="1CB1129C" w:rsidR="00293947" w:rsidRPr="001F0A13" w:rsidRDefault="00293947" w:rsidP="002E1D78">
            <w:pPr>
              <w:rPr>
                <w:rFonts w:asciiTheme="minorHAnsi" w:hAnsiTheme="minorHAnsi" w:cstheme="minorHAnsi"/>
                <w:sz w:val="22"/>
                <w:szCs w:val="22"/>
              </w:rPr>
            </w:pPr>
            <w:r w:rsidRPr="001F0A13">
              <w:rPr>
                <w:rFonts w:asciiTheme="minorHAnsi" w:hAnsiTheme="minorHAnsi" w:cstheme="minorHAnsi"/>
                <w:sz w:val="22"/>
                <w:szCs w:val="22"/>
              </w:rPr>
              <w:t>Action has been taken on most of the items listed, including the following:</w:t>
            </w:r>
          </w:p>
          <w:p w14:paraId="50239934" w14:textId="03BF93F8" w:rsidR="00293947" w:rsidRPr="001F0A13" w:rsidRDefault="00293947" w:rsidP="00293947">
            <w:pPr>
              <w:pStyle w:val="ListParagraph"/>
              <w:numPr>
                <w:ilvl w:val="0"/>
                <w:numId w:val="4"/>
              </w:numPr>
              <w:ind w:left="361"/>
              <w:rPr>
                <w:rFonts w:asciiTheme="minorHAnsi" w:hAnsiTheme="minorHAnsi" w:cstheme="minorHAnsi"/>
                <w:sz w:val="22"/>
                <w:szCs w:val="22"/>
              </w:rPr>
            </w:pPr>
            <w:r w:rsidRPr="001F0A13">
              <w:rPr>
                <w:rFonts w:asciiTheme="minorHAnsi" w:hAnsiTheme="minorHAnsi" w:cstheme="minorHAnsi"/>
                <w:sz w:val="22"/>
                <w:szCs w:val="22"/>
              </w:rPr>
              <w:t>Drastically expanded online faculty training to the point of having nearly all faculty employed at PC fully trained to teach online/hybrid by the beginning of fall 2021.</w:t>
            </w:r>
          </w:p>
          <w:p w14:paraId="679C5247" w14:textId="661F784F" w:rsidR="00293947" w:rsidRPr="001F0A13" w:rsidRDefault="00293947" w:rsidP="00293947">
            <w:pPr>
              <w:pStyle w:val="ListParagraph"/>
              <w:numPr>
                <w:ilvl w:val="0"/>
                <w:numId w:val="4"/>
              </w:numPr>
              <w:ind w:left="361"/>
              <w:rPr>
                <w:rFonts w:asciiTheme="minorHAnsi" w:hAnsiTheme="minorHAnsi" w:cstheme="minorHAnsi"/>
                <w:sz w:val="22"/>
                <w:szCs w:val="22"/>
              </w:rPr>
            </w:pPr>
            <w:r w:rsidRPr="001F0A13">
              <w:rPr>
                <w:rFonts w:asciiTheme="minorHAnsi" w:hAnsiTheme="minorHAnsi" w:cstheme="minorHAnsi"/>
                <w:sz w:val="22"/>
                <w:szCs w:val="22"/>
              </w:rPr>
              <w:t xml:space="preserve">Notifications of training </w:t>
            </w:r>
            <w:r w:rsidRPr="001F0A13">
              <w:rPr>
                <w:rFonts w:asciiTheme="minorHAnsi" w:hAnsiTheme="minorHAnsi" w:cstheme="minorHAnsi"/>
                <w:sz w:val="22"/>
                <w:szCs w:val="22"/>
              </w:rPr>
              <w:lastRenderedPageBreak/>
              <w:t>opportunities disseminated via email and posted on the CIT Website on a regular basis.</w:t>
            </w:r>
          </w:p>
          <w:p w14:paraId="6057593F" w14:textId="5E0EA03D" w:rsidR="00293947" w:rsidRPr="001F0A13" w:rsidRDefault="00293947" w:rsidP="00293947">
            <w:pPr>
              <w:pStyle w:val="ListParagraph"/>
              <w:numPr>
                <w:ilvl w:val="0"/>
                <w:numId w:val="4"/>
              </w:numPr>
              <w:ind w:left="361"/>
              <w:rPr>
                <w:rFonts w:asciiTheme="minorHAnsi" w:hAnsiTheme="minorHAnsi" w:cstheme="minorHAnsi"/>
                <w:sz w:val="22"/>
                <w:szCs w:val="22"/>
              </w:rPr>
            </w:pPr>
            <w:r w:rsidRPr="001F0A13">
              <w:rPr>
                <w:rFonts w:asciiTheme="minorHAnsi" w:hAnsiTheme="minorHAnsi" w:cstheme="minorHAnsi"/>
                <w:sz w:val="22"/>
                <w:szCs w:val="22"/>
              </w:rPr>
              <w:t>Major revisions have been done to the online course template and promoting it on the CIT Website.</w:t>
            </w:r>
          </w:p>
          <w:p w14:paraId="0FF1F550" w14:textId="16BDF579" w:rsidR="00631F41" w:rsidRPr="001F0A13" w:rsidRDefault="00293947" w:rsidP="006310D7">
            <w:pPr>
              <w:pStyle w:val="ListParagraph"/>
              <w:numPr>
                <w:ilvl w:val="0"/>
                <w:numId w:val="4"/>
              </w:numPr>
              <w:ind w:left="361"/>
              <w:rPr>
                <w:rFonts w:asciiTheme="minorHAnsi" w:hAnsiTheme="minorHAnsi" w:cstheme="minorHAnsi"/>
                <w:sz w:val="22"/>
                <w:szCs w:val="22"/>
              </w:rPr>
            </w:pPr>
            <w:r w:rsidRPr="001F0A13">
              <w:rPr>
                <w:rFonts w:asciiTheme="minorHAnsi" w:hAnsiTheme="minorHAnsi" w:cstheme="minorHAnsi"/>
                <w:sz w:val="22"/>
                <w:szCs w:val="22"/>
              </w:rPr>
              <w:t>Local POCR began during the spring 2021 term with funding for 3 courses.</w:t>
            </w:r>
          </w:p>
        </w:tc>
      </w:tr>
      <w:tr w:rsidR="00631F41" w:rsidRPr="00CF1500" w14:paraId="2875C1F5" w14:textId="77777777" w:rsidTr="00FD356D">
        <w:tc>
          <w:tcPr>
            <w:tcW w:w="1250" w:type="pct"/>
          </w:tcPr>
          <w:p w14:paraId="0DE03AA5" w14:textId="154A9FEE" w:rsidR="00631F41" w:rsidRPr="001F0A13" w:rsidRDefault="00631F41" w:rsidP="00FD356D">
            <w:pPr>
              <w:rPr>
                <w:rFonts w:asciiTheme="minorHAnsi" w:hAnsiTheme="minorHAnsi" w:cstheme="minorHAnsi"/>
                <w:sz w:val="22"/>
                <w:szCs w:val="22"/>
              </w:rPr>
            </w:pPr>
            <w:r w:rsidRPr="001F0A13">
              <w:rPr>
                <w:rFonts w:asciiTheme="minorHAnsi" w:hAnsiTheme="minorHAnsi" w:cstheme="minorHAnsi"/>
                <w:sz w:val="22"/>
                <w:szCs w:val="22"/>
              </w:rPr>
              <w:lastRenderedPageBreak/>
              <w:t>2.</w:t>
            </w:r>
            <w:r w:rsidR="00AA118D" w:rsidRPr="001F0A13">
              <w:rPr>
                <w:rFonts w:asciiTheme="minorHAnsi" w:hAnsiTheme="minorHAnsi" w:cstheme="minorHAnsi"/>
                <w:sz w:val="22"/>
                <w:szCs w:val="22"/>
              </w:rPr>
              <w:t xml:space="preserve"> Online and hybrid students will report that they regularly received academically related communication from their instructor, and were given opportunities to interact with classmates in their online/hybrid class, to facilitate their successful completion of the course.</w:t>
            </w:r>
          </w:p>
        </w:tc>
        <w:tc>
          <w:tcPr>
            <w:tcW w:w="2500" w:type="pct"/>
          </w:tcPr>
          <w:p w14:paraId="0B08996C" w14:textId="77777777" w:rsidR="00631F41" w:rsidRPr="001F0A13" w:rsidRDefault="00483833" w:rsidP="00FD356D">
            <w:pPr>
              <w:rPr>
                <w:rFonts w:asciiTheme="minorHAnsi" w:hAnsiTheme="minorHAnsi" w:cstheme="minorHAnsi"/>
                <w:sz w:val="22"/>
                <w:szCs w:val="22"/>
              </w:rPr>
            </w:pPr>
            <w:r w:rsidRPr="001F0A13">
              <w:rPr>
                <w:rFonts w:asciiTheme="minorHAnsi" w:hAnsiTheme="minorHAnsi" w:cstheme="minorHAnsi"/>
                <w:sz w:val="22"/>
                <w:szCs w:val="22"/>
              </w:rPr>
              <w:t>A survey of online students was planned for fall of 2020. However, due to the Covid-19 impact on the DE Program, and to the atypical makeup of DE students, the survey has been postponed.</w:t>
            </w:r>
          </w:p>
          <w:p w14:paraId="67ED1287" w14:textId="77777777" w:rsidR="00F8522C" w:rsidRPr="001F0A13" w:rsidRDefault="00F8522C" w:rsidP="00FD356D">
            <w:pPr>
              <w:rPr>
                <w:rFonts w:asciiTheme="minorHAnsi" w:hAnsiTheme="minorHAnsi" w:cstheme="minorHAnsi"/>
                <w:sz w:val="22"/>
                <w:szCs w:val="22"/>
              </w:rPr>
            </w:pPr>
          </w:p>
          <w:p w14:paraId="6E3691EC" w14:textId="6571DA33" w:rsidR="00F8522C" w:rsidRPr="001F0A13" w:rsidRDefault="00F8522C" w:rsidP="00FD356D">
            <w:pPr>
              <w:rPr>
                <w:rFonts w:asciiTheme="minorHAnsi" w:hAnsiTheme="minorHAnsi" w:cstheme="minorHAnsi"/>
                <w:sz w:val="22"/>
                <w:szCs w:val="22"/>
              </w:rPr>
            </w:pPr>
          </w:p>
        </w:tc>
        <w:tc>
          <w:tcPr>
            <w:tcW w:w="1250" w:type="pct"/>
          </w:tcPr>
          <w:p w14:paraId="3E88FD9A" w14:textId="6955D335" w:rsidR="00631F41" w:rsidRPr="001F0A13" w:rsidRDefault="00631F41" w:rsidP="00FD356D">
            <w:pPr>
              <w:rPr>
                <w:rFonts w:asciiTheme="minorHAnsi" w:hAnsiTheme="minorHAnsi" w:cstheme="minorHAnsi"/>
                <w:sz w:val="22"/>
                <w:szCs w:val="22"/>
              </w:rPr>
            </w:pPr>
          </w:p>
        </w:tc>
      </w:tr>
    </w:tbl>
    <w:p w14:paraId="489E92A5" w14:textId="77777777" w:rsidR="00631F41" w:rsidRPr="00CF1500" w:rsidRDefault="00631F41" w:rsidP="00631F41">
      <w:pPr>
        <w:rPr>
          <w:rFonts w:asciiTheme="minorHAnsi" w:hAnsiTheme="minorHAnsi" w:cstheme="minorHAnsi"/>
          <w:szCs w:val="24"/>
        </w:rPr>
      </w:pPr>
    </w:p>
    <w:p w14:paraId="162587B5" w14:textId="77777777" w:rsidR="00812C6E" w:rsidRPr="00CF1500" w:rsidRDefault="00812C6E" w:rsidP="00812C6E">
      <w:pPr>
        <w:rPr>
          <w:rFonts w:asciiTheme="minorHAnsi" w:hAnsiTheme="minorHAnsi" w:cstheme="minorHAnsi"/>
          <w:szCs w:val="24"/>
        </w:rPr>
      </w:pPr>
      <w:r w:rsidRPr="00CF1500">
        <w:rPr>
          <w:rFonts w:asciiTheme="minorHAnsi" w:hAnsiTheme="minorHAnsi" w:cstheme="minorHAnsi"/>
          <w:b/>
          <w:bCs/>
          <w:szCs w:val="24"/>
          <w:u w:val="single"/>
        </w:rPr>
        <w:t>Program Analysis and Trends</w:t>
      </w:r>
      <w:r w:rsidRPr="00CF1500">
        <w:rPr>
          <w:rFonts w:asciiTheme="minorHAnsi" w:hAnsiTheme="minorHAnsi" w:cstheme="minorHAnsi"/>
          <w:szCs w:val="24"/>
        </w:rPr>
        <w:t>:</w:t>
      </w:r>
    </w:p>
    <w:p w14:paraId="38D3E8CC" w14:textId="04909623" w:rsidR="00812C6E" w:rsidRDefault="00812C6E" w:rsidP="00812C6E">
      <w:pPr>
        <w:rPr>
          <w:rFonts w:asciiTheme="minorHAnsi" w:hAnsiTheme="minorHAnsi" w:cstheme="minorHAnsi"/>
          <w:szCs w:val="24"/>
        </w:rPr>
      </w:pPr>
    </w:p>
    <w:p w14:paraId="39DC7284" w14:textId="2A039CC7" w:rsidR="001D00AD" w:rsidRPr="00CF1500" w:rsidRDefault="00044528" w:rsidP="00812C6E">
      <w:pPr>
        <w:rPr>
          <w:rFonts w:asciiTheme="minorHAnsi" w:hAnsiTheme="minorHAnsi" w:cstheme="minorHAnsi"/>
          <w:szCs w:val="24"/>
        </w:rPr>
      </w:pPr>
      <w:r>
        <w:rPr>
          <w:rFonts w:asciiTheme="minorHAnsi" w:hAnsiTheme="minorHAnsi" w:cstheme="minorHAnsi"/>
          <w:szCs w:val="24"/>
        </w:rPr>
        <w:t>This program review has been compiled with the assistance of the Distance Education Committee.</w:t>
      </w:r>
    </w:p>
    <w:p w14:paraId="110CEAC9" w14:textId="77777777" w:rsidR="00812C6E" w:rsidRPr="00CF1500" w:rsidRDefault="00812C6E" w:rsidP="00812C6E">
      <w:pPr>
        <w:rPr>
          <w:rFonts w:asciiTheme="minorHAnsi" w:hAnsiTheme="minorHAnsi" w:cstheme="minorHAnsi"/>
          <w:b/>
          <w:bCs/>
          <w:szCs w:val="24"/>
          <w:u w:val="single"/>
        </w:rPr>
      </w:pPr>
    </w:p>
    <w:p w14:paraId="0A5A8F12" w14:textId="77777777" w:rsidR="005F7894" w:rsidRPr="00CF1500" w:rsidRDefault="005F7894" w:rsidP="005F7894">
      <w:pPr>
        <w:rPr>
          <w:rFonts w:asciiTheme="minorHAnsi" w:hAnsiTheme="minorHAnsi" w:cstheme="minorHAnsi"/>
          <w:b/>
          <w:bCs/>
          <w:i/>
          <w:szCs w:val="24"/>
        </w:rPr>
      </w:pPr>
      <w:r w:rsidRPr="00CF1500">
        <w:rPr>
          <w:rFonts w:asciiTheme="minorHAnsi" w:hAnsiTheme="minorHAnsi" w:cstheme="minorHAnsi"/>
          <w:b/>
          <w:bCs/>
          <w:i/>
          <w:szCs w:val="24"/>
        </w:rPr>
        <w:t>Data Review</w:t>
      </w:r>
    </w:p>
    <w:p w14:paraId="4F2F5BDD" w14:textId="77777777" w:rsidR="005F7894" w:rsidRPr="00CF1500" w:rsidRDefault="005F7894" w:rsidP="005F7894">
      <w:pPr>
        <w:rPr>
          <w:rFonts w:asciiTheme="minorHAnsi" w:hAnsiTheme="minorHAnsi" w:cstheme="minorHAnsi"/>
          <w:bCs/>
          <w:i/>
          <w:szCs w:val="24"/>
        </w:rPr>
      </w:pPr>
    </w:p>
    <w:p w14:paraId="4F888E82" w14:textId="669D5AC5" w:rsidR="006005BB" w:rsidRDefault="006005BB" w:rsidP="0085453B">
      <w:pPr>
        <w:rPr>
          <w:rFonts w:asciiTheme="minorHAnsi" w:hAnsiTheme="minorHAnsi" w:cstheme="minorHAnsi"/>
          <w:bCs/>
          <w:szCs w:val="24"/>
        </w:rPr>
      </w:pPr>
      <w:r>
        <w:rPr>
          <w:rFonts w:asciiTheme="minorHAnsi" w:hAnsiTheme="minorHAnsi" w:cstheme="minorHAnsi"/>
          <w:bCs/>
          <w:szCs w:val="24"/>
        </w:rPr>
        <w:t xml:space="preserve">Before we examine the data, </w:t>
      </w:r>
      <w:r w:rsidRPr="0085453B">
        <w:rPr>
          <w:rFonts w:asciiTheme="minorHAnsi" w:hAnsiTheme="minorHAnsi" w:cstheme="minorHAnsi"/>
          <w:bCs/>
          <w:szCs w:val="24"/>
        </w:rPr>
        <w:t xml:space="preserve">it must be noted that 2019-20 and 2020-21 were not typical years. It was during the middle of the spring 2020 semester that, </w:t>
      </w:r>
      <w:r>
        <w:rPr>
          <w:rFonts w:asciiTheme="minorHAnsi" w:hAnsiTheme="minorHAnsi" w:cstheme="minorHAnsi"/>
          <w:bCs/>
          <w:szCs w:val="24"/>
        </w:rPr>
        <w:t>due to</w:t>
      </w:r>
      <w:r w:rsidRPr="0085453B">
        <w:rPr>
          <w:rFonts w:asciiTheme="minorHAnsi" w:hAnsiTheme="minorHAnsi" w:cstheme="minorHAnsi"/>
          <w:bCs/>
          <w:szCs w:val="24"/>
        </w:rPr>
        <w:t xml:space="preserve"> Covid-19, the college moved nearly all of its classes to a DE modality. Classes in fall 2020 and spring 2021 were also conducted primarily as DE courses. Therefore, statistics such as enrollment in DE courses and sections offered in a DE modality during these semesters are artificially inflated. It is less clear </w:t>
      </w:r>
      <w:r w:rsidRPr="0085453B">
        <w:rPr>
          <w:rFonts w:asciiTheme="minorHAnsi" w:hAnsiTheme="minorHAnsi" w:cstheme="minorHAnsi"/>
          <w:bCs/>
          <w:szCs w:val="24"/>
        </w:rPr>
        <w:lastRenderedPageBreak/>
        <w:t>how other statistics</w:t>
      </w:r>
      <w:r>
        <w:rPr>
          <w:rFonts w:asciiTheme="minorHAnsi" w:hAnsiTheme="minorHAnsi" w:cstheme="minorHAnsi"/>
          <w:bCs/>
          <w:szCs w:val="24"/>
        </w:rPr>
        <w:t>,</w:t>
      </w:r>
      <w:r w:rsidRPr="0085453B">
        <w:rPr>
          <w:rFonts w:asciiTheme="minorHAnsi" w:hAnsiTheme="minorHAnsi" w:cstheme="minorHAnsi"/>
          <w:bCs/>
          <w:szCs w:val="24"/>
        </w:rPr>
        <w:t xml:space="preserve"> such as success and persistence</w:t>
      </w:r>
      <w:r>
        <w:rPr>
          <w:rFonts w:asciiTheme="minorHAnsi" w:hAnsiTheme="minorHAnsi" w:cstheme="minorHAnsi"/>
          <w:bCs/>
          <w:szCs w:val="24"/>
        </w:rPr>
        <w:t>,</w:t>
      </w:r>
      <w:r w:rsidRPr="0085453B">
        <w:rPr>
          <w:rFonts w:asciiTheme="minorHAnsi" w:hAnsiTheme="minorHAnsi" w:cstheme="minorHAnsi"/>
          <w:bCs/>
          <w:szCs w:val="24"/>
        </w:rPr>
        <w:t xml:space="preserve"> were affected by the lack of face-to-face class options for students during these uncharacteristic semesters.</w:t>
      </w:r>
    </w:p>
    <w:p w14:paraId="759F722F" w14:textId="77777777" w:rsidR="006005BB" w:rsidRDefault="006005BB" w:rsidP="0085453B">
      <w:pPr>
        <w:rPr>
          <w:rFonts w:asciiTheme="minorHAnsi" w:hAnsiTheme="minorHAnsi" w:cstheme="minorHAnsi"/>
          <w:bCs/>
          <w:szCs w:val="24"/>
        </w:rPr>
      </w:pPr>
    </w:p>
    <w:p w14:paraId="37A5E255" w14:textId="187778AB" w:rsidR="003C50E2" w:rsidRDefault="003A6E1A" w:rsidP="0085453B">
      <w:pPr>
        <w:rPr>
          <w:rFonts w:asciiTheme="minorHAnsi" w:hAnsiTheme="minorHAnsi" w:cstheme="minorHAnsi"/>
          <w:bCs/>
          <w:szCs w:val="24"/>
        </w:rPr>
      </w:pPr>
      <w:r>
        <w:rPr>
          <w:rFonts w:asciiTheme="minorHAnsi" w:hAnsiTheme="minorHAnsi" w:cstheme="minorHAnsi"/>
          <w:bCs/>
          <w:szCs w:val="24"/>
        </w:rPr>
        <w:t xml:space="preserve">The following is a comparison of the total number of </w:t>
      </w:r>
      <w:r w:rsidR="00B57410">
        <w:rPr>
          <w:rFonts w:asciiTheme="minorHAnsi" w:hAnsiTheme="minorHAnsi" w:cstheme="minorHAnsi"/>
          <w:bCs/>
          <w:szCs w:val="24"/>
        </w:rPr>
        <w:t xml:space="preserve">DE </w:t>
      </w:r>
      <w:r>
        <w:rPr>
          <w:rFonts w:asciiTheme="minorHAnsi" w:hAnsiTheme="minorHAnsi" w:cstheme="minorHAnsi"/>
          <w:bCs/>
          <w:szCs w:val="24"/>
        </w:rPr>
        <w:t>course sections offered in the fall term during the last five years</w:t>
      </w:r>
      <w:r w:rsidR="003C50E2">
        <w:rPr>
          <w:rFonts w:asciiTheme="minorHAnsi" w:hAnsiTheme="minorHAnsi" w:cstheme="minorHAnsi"/>
          <w:bCs/>
          <w:szCs w:val="24"/>
        </w:rPr>
        <w:t>:</w:t>
      </w:r>
    </w:p>
    <w:p w14:paraId="16610521" w14:textId="736E46B5" w:rsidR="003C50E2" w:rsidRDefault="003C50E2" w:rsidP="003C50E2">
      <w:pPr>
        <w:pStyle w:val="ListParagraph"/>
        <w:numPr>
          <w:ilvl w:val="0"/>
          <w:numId w:val="5"/>
        </w:numPr>
        <w:rPr>
          <w:rFonts w:asciiTheme="minorHAnsi" w:hAnsiTheme="minorHAnsi" w:cstheme="minorHAnsi"/>
          <w:bCs/>
          <w:szCs w:val="24"/>
        </w:rPr>
      </w:pPr>
      <w:r>
        <w:rPr>
          <w:rFonts w:asciiTheme="minorHAnsi" w:hAnsiTheme="minorHAnsi" w:cstheme="minorHAnsi"/>
          <w:b/>
          <w:bCs/>
          <w:szCs w:val="24"/>
          <w:vertAlign w:val="superscript"/>
        </w:rPr>
        <w:t>1</w:t>
      </w:r>
      <w:r>
        <w:rPr>
          <w:rFonts w:asciiTheme="minorHAnsi" w:hAnsiTheme="minorHAnsi" w:cstheme="minorHAnsi"/>
          <w:bCs/>
          <w:szCs w:val="24"/>
        </w:rPr>
        <w:t xml:space="preserve">Fall 2017, 49 </w:t>
      </w:r>
      <w:r w:rsidR="00B57410">
        <w:rPr>
          <w:rFonts w:asciiTheme="minorHAnsi" w:hAnsiTheme="minorHAnsi" w:cstheme="minorHAnsi"/>
          <w:bCs/>
          <w:szCs w:val="24"/>
        </w:rPr>
        <w:t xml:space="preserve">DE </w:t>
      </w:r>
      <w:r>
        <w:rPr>
          <w:rFonts w:asciiTheme="minorHAnsi" w:hAnsiTheme="minorHAnsi" w:cstheme="minorHAnsi"/>
          <w:bCs/>
          <w:szCs w:val="24"/>
        </w:rPr>
        <w:t>course sections</w:t>
      </w:r>
    </w:p>
    <w:p w14:paraId="1407AC86" w14:textId="183CBBCB" w:rsidR="003C50E2" w:rsidRDefault="003C50E2" w:rsidP="003C50E2">
      <w:pPr>
        <w:pStyle w:val="ListParagraph"/>
        <w:numPr>
          <w:ilvl w:val="0"/>
          <w:numId w:val="5"/>
        </w:numPr>
        <w:rPr>
          <w:rFonts w:asciiTheme="minorHAnsi" w:hAnsiTheme="minorHAnsi" w:cstheme="minorHAnsi"/>
          <w:bCs/>
          <w:szCs w:val="24"/>
        </w:rPr>
      </w:pPr>
      <w:r>
        <w:rPr>
          <w:rFonts w:asciiTheme="minorHAnsi" w:hAnsiTheme="minorHAnsi" w:cstheme="minorHAnsi"/>
          <w:b/>
          <w:bCs/>
          <w:szCs w:val="24"/>
          <w:vertAlign w:val="superscript"/>
        </w:rPr>
        <w:t>1</w:t>
      </w:r>
      <w:r>
        <w:rPr>
          <w:rFonts w:asciiTheme="minorHAnsi" w:hAnsiTheme="minorHAnsi" w:cstheme="minorHAnsi"/>
          <w:bCs/>
          <w:szCs w:val="24"/>
        </w:rPr>
        <w:t xml:space="preserve">Fall 2018, 80 </w:t>
      </w:r>
      <w:r w:rsidR="00B57410">
        <w:rPr>
          <w:rFonts w:asciiTheme="minorHAnsi" w:hAnsiTheme="minorHAnsi" w:cstheme="minorHAnsi"/>
          <w:bCs/>
          <w:szCs w:val="24"/>
        </w:rPr>
        <w:t xml:space="preserve">DE </w:t>
      </w:r>
      <w:r>
        <w:rPr>
          <w:rFonts w:asciiTheme="minorHAnsi" w:hAnsiTheme="minorHAnsi" w:cstheme="minorHAnsi"/>
          <w:bCs/>
          <w:szCs w:val="24"/>
        </w:rPr>
        <w:t>course sections</w:t>
      </w:r>
    </w:p>
    <w:p w14:paraId="3E63E942" w14:textId="7AE32192" w:rsidR="003C50E2" w:rsidRDefault="003C50E2" w:rsidP="003C50E2">
      <w:pPr>
        <w:pStyle w:val="ListParagraph"/>
        <w:numPr>
          <w:ilvl w:val="0"/>
          <w:numId w:val="5"/>
        </w:numPr>
        <w:rPr>
          <w:rFonts w:asciiTheme="minorHAnsi" w:hAnsiTheme="minorHAnsi" w:cstheme="minorHAnsi"/>
          <w:bCs/>
          <w:szCs w:val="24"/>
        </w:rPr>
      </w:pPr>
      <w:r>
        <w:rPr>
          <w:rFonts w:asciiTheme="minorHAnsi" w:hAnsiTheme="minorHAnsi" w:cstheme="minorHAnsi"/>
          <w:b/>
          <w:bCs/>
          <w:szCs w:val="24"/>
          <w:vertAlign w:val="superscript"/>
        </w:rPr>
        <w:t>2</w:t>
      </w:r>
      <w:r>
        <w:rPr>
          <w:rFonts w:asciiTheme="minorHAnsi" w:hAnsiTheme="minorHAnsi" w:cstheme="minorHAnsi"/>
          <w:bCs/>
          <w:szCs w:val="24"/>
        </w:rPr>
        <w:t xml:space="preserve">Fall 2019, 75 </w:t>
      </w:r>
      <w:r w:rsidR="00B57410">
        <w:rPr>
          <w:rFonts w:asciiTheme="minorHAnsi" w:hAnsiTheme="minorHAnsi" w:cstheme="minorHAnsi"/>
          <w:bCs/>
          <w:szCs w:val="24"/>
        </w:rPr>
        <w:t xml:space="preserve">DE </w:t>
      </w:r>
      <w:r>
        <w:rPr>
          <w:rFonts w:asciiTheme="minorHAnsi" w:hAnsiTheme="minorHAnsi" w:cstheme="minorHAnsi"/>
          <w:bCs/>
          <w:szCs w:val="24"/>
        </w:rPr>
        <w:t>course sections</w:t>
      </w:r>
    </w:p>
    <w:p w14:paraId="5B6F47C5" w14:textId="72277CB3" w:rsidR="003C50E2" w:rsidRDefault="003C50E2" w:rsidP="003C50E2">
      <w:pPr>
        <w:pStyle w:val="ListParagraph"/>
        <w:numPr>
          <w:ilvl w:val="0"/>
          <w:numId w:val="5"/>
        </w:numPr>
        <w:rPr>
          <w:rFonts w:asciiTheme="minorHAnsi" w:hAnsiTheme="minorHAnsi" w:cstheme="minorHAnsi"/>
          <w:bCs/>
          <w:szCs w:val="24"/>
        </w:rPr>
      </w:pPr>
      <w:r>
        <w:rPr>
          <w:rFonts w:asciiTheme="minorHAnsi" w:hAnsiTheme="minorHAnsi" w:cstheme="minorHAnsi"/>
          <w:b/>
          <w:bCs/>
          <w:szCs w:val="24"/>
          <w:vertAlign w:val="superscript"/>
        </w:rPr>
        <w:t>2</w:t>
      </w:r>
      <w:r>
        <w:rPr>
          <w:rFonts w:asciiTheme="minorHAnsi" w:hAnsiTheme="minorHAnsi" w:cstheme="minorHAnsi"/>
          <w:bCs/>
          <w:szCs w:val="24"/>
        </w:rPr>
        <w:t xml:space="preserve">Fall 2020, 485 </w:t>
      </w:r>
      <w:r w:rsidR="00B57410">
        <w:rPr>
          <w:rFonts w:asciiTheme="minorHAnsi" w:hAnsiTheme="minorHAnsi" w:cstheme="minorHAnsi"/>
          <w:bCs/>
          <w:szCs w:val="24"/>
        </w:rPr>
        <w:t xml:space="preserve">DE </w:t>
      </w:r>
      <w:r>
        <w:rPr>
          <w:rFonts w:asciiTheme="minorHAnsi" w:hAnsiTheme="minorHAnsi" w:cstheme="minorHAnsi"/>
          <w:bCs/>
          <w:szCs w:val="24"/>
        </w:rPr>
        <w:t>course sections</w:t>
      </w:r>
    </w:p>
    <w:p w14:paraId="029C0890" w14:textId="18A02536" w:rsidR="003C50E2" w:rsidRPr="003C50E2" w:rsidRDefault="003C50E2" w:rsidP="003C50E2">
      <w:pPr>
        <w:pStyle w:val="ListParagraph"/>
        <w:numPr>
          <w:ilvl w:val="0"/>
          <w:numId w:val="5"/>
        </w:numPr>
        <w:rPr>
          <w:rFonts w:asciiTheme="minorHAnsi" w:hAnsiTheme="minorHAnsi" w:cstheme="minorHAnsi"/>
          <w:bCs/>
          <w:szCs w:val="24"/>
        </w:rPr>
      </w:pPr>
      <w:r>
        <w:rPr>
          <w:rFonts w:asciiTheme="minorHAnsi" w:hAnsiTheme="minorHAnsi" w:cstheme="minorHAnsi"/>
          <w:b/>
          <w:bCs/>
          <w:szCs w:val="24"/>
          <w:vertAlign w:val="superscript"/>
        </w:rPr>
        <w:t>2</w:t>
      </w:r>
      <w:r>
        <w:rPr>
          <w:rFonts w:asciiTheme="minorHAnsi" w:hAnsiTheme="minorHAnsi" w:cstheme="minorHAnsi"/>
          <w:bCs/>
          <w:szCs w:val="24"/>
        </w:rPr>
        <w:t xml:space="preserve">Fall 2021, 207 </w:t>
      </w:r>
      <w:r w:rsidR="00B57410">
        <w:rPr>
          <w:rFonts w:asciiTheme="minorHAnsi" w:hAnsiTheme="minorHAnsi" w:cstheme="minorHAnsi"/>
          <w:bCs/>
          <w:szCs w:val="24"/>
        </w:rPr>
        <w:t xml:space="preserve">DE </w:t>
      </w:r>
      <w:r>
        <w:rPr>
          <w:rFonts w:asciiTheme="minorHAnsi" w:hAnsiTheme="minorHAnsi" w:cstheme="minorHAnsi"/>
          <w:bCs/>
          <w:szCs w:val="24"/>
        </w:rPr>
        <w:t>course sections</w:t>
      </w:r>
    </w:p>
    <w:p w14:paraId="0C7942BA" w14:textId="77777777" w:rsidR="003C50E2" w:rsidRDefault="003C50E2" w:rsidP="0085453B">
      <w:pPr>
        <w:rPr>
          <w:rFonts w:asciiTheme="minorHAnsi" w:hAnsiTheme="minorHAnsi" w:cstheme="minorHAnsi"/>
          <w:bCs/>
          <w:szCs w:val="24"/>
        </w:rPr>
      </w:pPr>
    </w:p>
    <w:p w14:paraId="7835E197" w14:textId="77777777" w:rsidR="00870F8A" w:rsidRDefault="0085453B" w:rsidP="00870F8A">
      <w:pPr>
        <w:rPr>
          <w:rFonts w:asciiTheme="minorHAnsi" w:hAnsiTheme="minorHAnsi" w:cstheme="minorHAnsi"/>
          <w:bCs/>
          <w:szCs w:val="24"/>
        </w:rPr>
      </w:pPr>
      <w:r w:rsidRPr="0085453B">
        <w:rPr>
          <w:rFonts w:asciiTheme="minorHAnsi" w:hAnsiTheme="minorHAnsi" w:cstheme="minorHAnsi"/>
          <w:bCs/>
          <w:szCs w:val="24"/>
        </w:rPr>
        <w:t>As mentioned earlier</w:t>
      </w:r>
      <w:r w:rsidR="003A6E1A">
        <w:rPr>
          <w:rFonts w:asciiTheme="minorHAnsi" w:hAnsiTheme="minorHAnsi" w:cstheme="minorHAnsi"/>
          <w:bCs/>
          <w:szCs w:val="24"/>
        </w:rPr>
        <w:t>,</w:t>
      </w:r>
      <w:r w:rsidRPr="0085453B">
        <w:rPr>
          <w:rFonts w:asciiTheme="minorHAnsi" w:hAnsiTheme="minorHAnsi" w:cstheme="minorHAnsi"/>
          <w:bCs/>
          <w:szCs w:val="24"/>
        </w:rPr>
        <w:t xml:space="preserve"> the fall 2020 term was conducted almost entirely online due to the continuing health emergency from Covid-19. As we get further away from the health emergency</w:t>
      </w:r>
      <w:r w:rsidR="003A6E1A">
        <w:rPr>
          <w:rFonts w:asciiTheme="minorHAnsi" w:hAnsiTheme="minorHAnsi" w:cstheme="minorHAnsi"/>
          <w:bCs/>
          <w:szCs w:val="24"/>
        </w:rPr>
        <w:t>,</w:t>
      </w:r>
      <w:r w:rsidRPr="0085453B">
        <w:rPr>
          <w:rFonts w:asciiTheme="minorHAnsi" w:hAnsiTheme="minorHAnsi" w:cstheme="minorHAnsi"/>
          <w:bCs/>
          <w:szCs w:val="24"/>
        </w:rPr>
        <w:t xml:space="preserve"> we expect the DE course numbers to </w:t>
      </w:r>
      <w:r w:rsidR="003A6E1A">
        <w:rPr>
          <w:rFonts w:asciiTheme="minorHAnsi" w:hAnsiTheme="minorHAnsi" w:cstheme="minorHAnsi"/>
          <w:bCs/>
          <w:szCs w:val="24"/>
        </w:rPr>
        <w:t xml:space="preserve">get </w:t>
      </w:r>
      <w:r w:rsidRPr="0085453B">
        <w:rPr>
          <w:rFonts w:asciiTheme="minorHAnsi" w:hAnsiTheme="minorHAnsi" w:cstheme="minorHAnsi"/>
          <w:bCs/>
          <w:szCs w:val="24"/>
        </w:rPr>
        <w:t>closer to pre-Covid figures.</w:t>
      </w:r>
      <w:r w:rsidR="00870F8A" w:rsidRPr="00870F8A">
        <w:rPr>
          <w:rFonts w:asciiTheme="minorHAnsi" w:hAnsiTheme="minorHAnsi" w:cstheme="minorHAnsi"/>
          <w:bCs/>
          <w:szCs w:val="24"/>
        </w:rPr>
        <w:t xml:space="preserve"> </w:t>
      </w:r>
    </w:p>
    <w:p w14:paraId="49233944" w14:textId="77777777" w:rsidR="00870F8A" w:rsidRDefault="00870F8A" w:rsidP="00870F8A">
      <w:pPr>
        <w:rPr>
          <w:rFonts w:asciiTheme="minorHAnsi" w:hAnsiTheme="minorHAnsi" w:cstheme="minorHAnsi"/>
          <w:bCs/>
          <w:szCs w:val="24"/>
        </w:rPr>
      </w:pPr>
    </w:p>
    <w:p w14:paraId="60B5BCEC" w14:textId="6758BB45" w:rsidR="0085453B" w:rsidRPr="0085453B" w:rsidRDefault="00870F8A" w:rsidP="0085453B">
      <w:pPr>
        <w:rPr>
          <w:rFonts w:asciiTheme="minorHAnsi" w:hAnsiTheme="minorHAnsi" w:cstheme="minorHAnsi"/>
          <w:bCs/>
          <w:szCs w:val="24"/>
        </w:rPr>
      </w:pPr>
      <w:r>
        <w:rPr>
          <w:rFonts w:asciiTheme="minorHAnsi" w:hAnsiTheme="minorHAnsi" w:cstheme="minorHAnsi"/>
          <w:bCs/>
          <w:szCs w:val="24"/>
        </w:rPr>
        <w:t xml:space="preserve">Success and completion rates for students in DE courses </w:t>
      </w:r>
      <w:proofErr w:type="gramStart"/>
      <w:r>
        <w:rPr>
          <w:rFonts w:asciiTheme="minorHAnsi" w:hAnsiTheme="minorHAnsi" w:cstheme="minorHAnsi"/>
          <w:bCs/>
          <w:szCs w:val="24"/>
        </w:rPr>
        <w:t>has</w:t>
      </w:r>
      <w:proofErr w:type="gramEnd"/>
      <w:r>
        <w:rPr>
          <w:rFonts w:asciiTheme="minorHAnsi" w:hAnsiTheme="minorHAnsi" w:cstheme="minorHAnsi"/>
          <w:bCs/>
          <w:szCs w:val="24"/>
        </w:rPr>
        <w:t xml:space="preserve"> seen a gradual improvement over the past five years. In the most recent year, 2020-21, success and completion rates in DE courses were higher than they were in traditional courses. In fact, the success rate for DE courses </w:t>
      </w:r>
      <w:proofErr w:type="gramStart"/>
      <w:r>
        <w:rPr>
          <w:rFonts w:asciiTheme="minorHAnsi" w:hAnsiTheme="minorHAnsi" w:cstheme="minorHAnsi"/>
          <w:bCs/>
          <w:szCs w:val="24"/>
        </w:rPr>
        <w:t>was</w:t>
      </w:r>
      <w:proofErr w:type="gramEnd"/>
      <w:r>
        <w:rPr>
          <w:rFonts w:asciiTheme="minorHAnsi" w:hAnsiTheme="minorHAnsi" w:cstheme="minorHAnsi"/>
          <w:bCs/>
          <w:szCs w:val="24"/>
        </w:rPr>
        <w:t xml:space="preserve"> 6% higher than traditional courses in 2020-21. In the table below, you can see the trends for success and completion during the past five years.</w:t>
      </w:r>
    </w:p>
    <w:p w14:paraId="371D964E" w14:textId="1BFAC66F" w:rsidR="0085453B" w:rsidRDefault="0085453B" w:rsidP="0085453B">
      <w:pPr>
        <w:rPr>
          <w:rFonts w:asciiTheme="minorHAnsi" w:hAnsiTheme="minorHAnsi" w:cstheme="minorHAnsi"/>
          <w:bCs/>
          <w:szCs w:val="24"/>
        </w:rPr>
      </w:pPr>
    </w:p>
    <w:tbl>
      <w:tblPr>
        <w:tblStyle w:val="TableGrid"/>
        <w:tblW w:w="0" w:type="auto"/>
        <w:tblLook w:val="04A0" w:firstRow="1" w:lastRow="0" w:firstColumn="1" w:lastColumn="0" w:noHBand="0" w:noVBand="1"/>
        <w:tblCaption w:val="Distance Education Success and Completion Rates"/>
        <w:tblDescription w:val="The first column lists the academic year. The second column lists the success rates. The third column lists the completion rates."/>
      </w:tblPr>
      <w:tblGrid>
        <w:gridCol w:w="1705"/>
        <w:gridCol w:w="2340"/>
        <w:gridCol w:w="2520"/>
      </w:tblGrid>
      <w:tr w:rsidR="006077D4" w14:paraId="03A9A256" w14:textId="77777777" w:rsidTr="00870F8A">
        <w:trPr>
          <w:tblHeader/>
        </w:trPr>
        <w:tc>
          <w:tcPr>
            <w:tcW w:w="1705" w:type="dxa"/>
          </w:tcPr>
          <w:p w14:paraId="643176D2" w14:textId="6218F3A7" w:rsidR="006077D4" w:rsidRDefault="006077D4" w:rsidP="006077D4">
            <w:pPr>
              <w:rPr>
                <w:rFonts w:asciiTheme="minorHAnsi" w:hAnsiTheme="minorHAnsi" w:cstheme="minorHAnsi"/>
                <w:bCs/>
                <w:szCs w:val="24"/>
              </w:rPr>
            </w:pPr>
            <w:r>
              <w:rPr>
                <w:rFonts w:asciiTheme="minorHAnsi" w:hAnsiTheme="minorHAnsi" w:cstheme="minorHAnsi"/>
                <w:bCs/>
                <w:szCs w:val="24"/>
              </w:rPr>
              <w:t>Academic Year</w:t>
            </w:r>
          </w:p>
        </w:tc>
        <w:tc>
          <w:tcPr>
            <w:tcW w:w="2340" w:type="dxa"/>
          </w:tcPr>
          <w:p w14:paraId="58A82FC1" w14:textId="5820B5C2" w:rsidR="006077D4" w:rsidRDefault="00870F8A" w:rsidP="006077D4">
            <w:pPr>
              <w:rPr>
                <w:rFonts w:asciiTheme="minorHAnsi" w:hAnsiTheme="minorHAnsi" w:cstheme="minorHAnsi"/>
                <w:bCs/>
                <w:szCs w:val="24"/>
              </w:rPr>
            </w:pPr>
            <w:r>
              <w:rPr>
                <w:rFonts w:asciiTheme="minorHAnsi" w:hAnsiTheme="minorHAnsi" w:cstheme="minorHAnsi"/>
                <w:bCs/>
                <w:szCs w:val="24"/>
              </w:rPr>
              <w:t xml:space="preserve">DE </w:t>
            </w:r>
            <w:r w:rsidR="006077D4">
              <w:rPr>
                <w:rFonts w:asciiTheme="minorHAnsi" w:hAnsiTheme="minorHAnsi" w:cstheme="minorHAnsi"/>
                <w:bCs/>
                <w:szCs w:val="24"/>
              </w:rPr>
              <w:t>Success Rates</w:t>
            </w:r>
            <w:r w:rsidR="006077D4">
              <w:rPr>
                <w:rFonts w:asciiTheme="minorHAnsi" w:hAnsiTheme="minorHAnsi" w:cstheme="minorHAnsi"/>
                <w:b/>
                <w:bCs/>
                <w:szCs w:val="24"/>
                <w:vertAlign w:val="superscript"/>
              </w:rPr>
              <w:t>3</w:t>
            </w:r>
          </w:p>
        </w:tc>
        <w:tc>
          <w:tcPr>
            <w:tcW w:w="2520" w:type="dxa"/>
          </w:tcPr>
          <w:p w14:paraId="473CD44E" w14:textId="3EB6E417" w:rsidR="006077D4" w:rsidRDefault="00870F8A" w:rsidP="006077D4">
            <w:pPr>
              <w:rPr>
                <w:rFonts w:asciiTheme="minorHAnsi" w:hAnsiTheme="minorHAnsi" w:cstheme="minorHAnsi"/>
                <w:bCs/>
                <w:szCs w:val="24"/>
              </w:rPr>
            </w:pPr>
            <w:r>
              <w:rPr>
                <w:rFonts w:asciiTheme="minorHAnsi" w:hAnsiTheme="minorHAnsi" w:cstheme="minorHAnsi"/>
                <w:bCs/>
                <w:szCs w:val="24"/>
              </w:rPr>
              <w:t xml:space="preserve">DE </w:t>
            </w:r>
            <w:r w:rsidR="006077D4">
              <w:rPr>
                <w:rFonts w:asciiTheme="minorHAnsi" w:hAnsiTheme="minorHAnsi" w:cstheme="minorHAnsi"/>
                <w:bCs/>
                <w:szCs w:val="24"/>
              </w:rPr>
              <w:t>Completion Rates</w:t>
            </w:r>
            <w:r w:rsidR="006077D4">
              <w:rPr>
                <w:rFonts w:asciiTheme="minorHAnsi" w:hAnsiTheme="minorHAnsi" w:cstheme="minorHAnsi"/>
                <w:b/>
                <w:bCs/>
                <w:szCs w:val="24"/>
                <w:vertAlign w:val="superscript"/>
              </w:rPr>
              <w:t>3</w:t>
            </w:r>
          </w:p>
        </w:tc>
      </w:tr>
      <w:tr w:rsidR="006077D4" w14:paraId="6117CAB2" w14:textId="77777777" w:rsidTr="00870F8A">
        <w:tc>
          <w:tcPr>
            <w:tcW w:w="1705" w:type="dxa"/>
          </w:tcPr>
          <w:p w14:paraId="1DC5633C" w14:textId="790A277E" w:rsidR="006077D4" w:rsidRDefault="006077D4" w:rsidP="006077D4">
            <w:pPr>
              <w:rPr>
                <w:rFonts w:asciiTheme="minorHAnsi" w:hAnsiTheme="minorHAnsi" w:cstheme="minorHAnsi"/>
                <w:bCs/>
                <w:szCs w:val="24"/>
              </w:rPr>
            </w:pPr>
            <w:r>
              <w:rPr>
                <w:rFonts w:asciiTheme="minorHAnsi" w:hAnsiTheme="minorHAnsi" w:cstheme="minorHAnsi"/>
                <w:bCs/>
                <w:szCs w:val="24"/>
              </w:rPr>
              <w:t>2016-17</w:t>
            </w:r>
          </w:p>
        </w:tc>
        <w:tc>
          <w:tcPr>
            <w:tcW w:w="2340" w:type="dxa"/>
          </w:tcPr>
          <w:p w14:paraId="387CABCC" w14:textId="2406D54F" w:rsidR="006077D4" w:rsidRDefault="006077D4" w:rsidP="006077D4">
            <w:pPr>
              <w:rPr>
                <w:rFonts w:asciiTheme="minorHAnsi" w:hAnsiTheme="minorHAnsi" w:cstheme="minorHAnsi"/>
                <w:bCs/>
                <w:szCs w:val="24"/>
              </w:rPr>
            </w:pPr>
            <w:r w:rsidRPr="0085453B">
              <w:rPr>
                <w:rFonts w:asciiTheme="minorHAnsi" w:hAnsiTheme="minorHAnsi" w:cstheme="minorHAnsi"/>
                <w:bCs/>
                <w:szCs w:val="24"/>
              </w:rPr>
              <w:t>69%</w:t>
            </w:r>
          </w:p>
        </w:tc>
        <w:tc>
          <w:tcPr>
            <w:tcW w:w="2520" w:type="dxa"/>
          </w:tcPr>
          <w:p w14:paraId="21D77106" w14:textId="4827B655" w:rsidR="006077D4" w:rsidRDefault="006077D4" w:rsidP="006077D4">
            <w:pPr>
              <w:rPr>
                <w:rFonts w:asciiTheme="minorHAnsi" w:hAnsiTheme="minorHAnsi" w:cstheme="minorHAnsi"/>
                <w:bCs/>
                <w:szCs w:val="24"/>
              </w:rPr>
            </w:pPr>
            <w:r w:rsidRPr="0085453B">
              <w:rPr>
                <w:rFonts w:asciiTheme="minorHAnsi" w:hAnsiTheme="minorHAnsi" w:cstheme="minorHAnsi"/>
                <w:bCs/>
                <w:szCs w:val="24"/>
              </w:rPr>
              <w:t>87%</w:t>
            </w:r>
          </w:p>
        </w:tc>
      </w:tr>
      <w:tr w:rsidR="006077D4" w14:paraId="45E59E57" w14:textId="77777777" w:rsidTr="00870F8A">
        <w:tc>
          <w:tcPr>
            <w:tcW w:w="1705" w:type="dxa"/>
          </w:tcPr>
          <w:p w14:paraId="68C7EE7F" w14:textId="132AF711" w:rsidR="006077D4" w:rsidRDefault="006077D4" w:rsidP="006077D4">
            <w:pPr>
              <w:rPr>
                <w:rFonts w:asciiTheme="minorHAnsi" w:hAnsiTheme="minorHAnsi" w:cstheme="minorHAnsi"/>
                <w:bCs/>
                <w:szCs w:val="24"/>
              </w:rPr>
            </w:pPr>
            <w:r>
              <w:rPr>
                <w:rFonts w:asciiTheme="minorHAnsi" w:hAnsiTheme="minorHAnsi" w:cstheme="minorHAnsi"/>
                <w:bCs/>
                <w:szCs w:val="24"/>
              </w:rPr>
              <w:t>2017-18</w:t>
            </w:r>
          </w:p>
        </w:tc>
        <w:tc>
          <w:tcPr>
            <w:tcW w:w="2340" w:type="dxa"/>
          </w:tcPr>
          <w:p w14:paraId="59156430" w14:textId="22D2D705" w:rsidR="006077D4" w:rsidRDefault="006077D4" w:rsidP="006077D4">
            <w:pPr>
              <w:rPr>
                <w:rFonts w:asciiTheme="minorHAnsi" w:hAnsiTheme="minorHAnsi" w:cstheme="minorHAnsi"/>
                <w:bCs/>
                <w:szCs w:val="24"/>
              </w:rPr>
            </w:pPr>
            <w:r w:rsidRPr="0085453B">
              <w:rPr>
                <w:rFonts w:asciiTheme="minorHAnsi" w:hAnsiTheme="minorHAnsi" w:cstheme="minorHAnsi"/>
                <w:bCs/>
                <w:szCs w:val="24"/>
              </w:rPr>
              <w:t>73%</w:t>
            </w:r>
          </w:p>
        </w:tc>
        <w:tc>
          <w:tcPr>
            <w:tcW w:w="2520" w:type="dxa"/>
          </w:tcPr>
          <w:p w14:paraId="24B16E6A" w14:textId="4C40C6D3" w:rsidR="006077D4" w:rsidRDefault="006077D4" w:rsidP="006077D4">
            <w:pPr>
              <w:rPr>
                <w:rFonts w:asciiTheme="minorHAnsi" w:hAnsiTheme="minorHAnsi" w:cstheme="minorHAnsi"/>
                <w:bCs/>
                <w:szCs w:val="24"/>
              </w:rPr>
            </w:pPr>
            <w:r w:rsidRPr="0085453B">
              <w:rPr>
                <w:rFonts w:asciiTheme="minorHAnsi" w:hAnsiTheme="minorHAnsi" w:cstheme="minorHAnsi"/>
                <w:bCs/>
                <w:szCs w:val="24"/>
              </w:rPr>
              <w:t>89%</w:t>
            </w:r>
          </w:p>
        </w:tc>
      </w:tr>
      <w:tr w:rsidR="006077D4" w14:paraId="017C18D7" w14:textId="77777777" w:rsidTr="00870F8A">
        <w:tc>
          <w:tcPr>
            <w:tcW w:w="1705" w:type="dxa"/>
          </w:tcPr>
          <w:p w14:paraId="14F85489" w14:textId="69E3BCBF" w:rsidR="006077D4" w:rsidRDefault="006077D4" w:rsidP="006077D4">
            <w:pPr>
              <w:rPr>
                <w:rFonts w:asciiTheme="minorHAnsi" w:hAnsiTheme="minorHAnsi" w:cstheme="minorHAnsi"/>
                <w:bCs/>
                <w:szCs w:val="24"/>
              </w:rPr>
            </w:pPr>
            <w:r>
              <w:rPr>
                <w:rFonts w:asciiTheme="minorHAnsi" w:hAnsiTheme="minorHAnsi" w:cstheme="minorHAnsi"/>
                <w:bCs/>
                <w:szCs w:val="24"/>
              </w:rPr>
              <w:t>2018-19</w:t>
            </w:r>
          </w:p>
        </w:tc>
        <w:tc>
          <w:tcPr>
            <w:tcW w:w="2340" w:type="dxa"/>
          </w:tcPr>
          <w:p w14:paraId="15CFD8F3" w14:textId="0D8F92A4" w:rsidR="006077D4" w:rsidRDefault="006077D4" w:rsidP="006077D4">
            <w:pPr>
              <w:rPr>
                <w:rFonts w:asciiTheme="minorHAnsi" w:hAnsiTheme="minorHAnsi" w:cstheme="minorHAnsi"/>
                <w:bCs/>
                <w:szCs w:val="24"/>
              </w:rPr>
            </w:pPr>
            <w:r w:rsidRPr="0085453B">
              <w:rPr>
                <w:rFonts w:asciiTheme="minorHAnsi" w:hAnsiTheme="minorHAnsi" w:cstheme="minorHAnsi"/>
                <w:bCs/>
                <w:szCs w:val="24"/>
              </w:rPr>
              <w:t>74%</w:t>
            </w:r>
          </w:p>
        </w:tc>
        <w:tc>
          <w:tcPr>
            <w:tcW w:w="2520" w:type="dxa"/>
          </w:tcPr>
          <w:p w14:paraId="61C29933" w14:textId="6C187254" w:rsidR="006077D4" w:rsidRDefault="006077D4" w:rsidP="006077D4">
            <w:pPr>
              <w:rPr>
                <w:rFonts w:asciiTheme="minorHAnsi" w:hAnsiTheme="minorHAnsi" w:cstheme="minorHAnsi"/>
                <w:bCs/>
                <w:szCs w:val="24"/>
              </w:rPr>
            </w:pPr>
            <w:r w:rsidRPr="0085453B">
              <w:rPr>
                <w:rFonts w:asciiTheme="minorHAnsi" w:hAnsiTheme="minorHAnsi" w:cstheme="minorHAnsi"/>
                <w:bCs/>
                <w:szCs w:val="24"/>
              </w:rPr>
              <w:t>89%</w:t>
            </w:r>
          </w:p>
        </w:tc>
      </w:tr>
      <w:tr w:rsidR="006077D4" w14:paraId="12C19691" w14:textId="77777777" w:rsidTr="00870F8A">
        <w:tc>
          <w:tcPr>
            <w:tcW w:w="1705" w:type="dxa"/>
          </w:tcPr>
          <w:p w14:paraId="10D1A562" w14:textId="17C9D7DC" w:rsidR="006077D4" w:rsidRDefault="006077D4" w:rsidP="006077D4">
            <w:pPr>
              <w:rPr>
                <w:rFonts w:asciiTheme="minorHAnsi" w:hAnsiTheme="minorHAnsi" w:cstheme="minorHAnsi"/>
                <w:bCs/>
                <w:szCs w:val="24"/>
              </w:rPr>
            </w:pPr>
            <w:r>
              <w:rPr>
                <w:rFonts w:asciiTheme="minorHAnsi" w:hAnsiTheme="minorHAnsi" w:cstheme="minorHAnsi"/>
                <w:bCs/>
                <w:szCs w:val="24"/>
              </w:rPr>
              <w:t>2019-20</w:t>
            </w:r>
          </w:p>
        </w:tc>
        <w:tc>
          <w:tcPr>
            <w:tcW w:w="2340" w:type="dxa"/>
          </w:tcPr>
          <w:p w14:paraId="55C259B2" w14:textId="57F95D6A" w:rsidR="006077D4" w:rsidRDefault="006077D4" w:rsidP="006077D4">
            <w:pPr>
              <w:rPr>
                <w:rFonts w:asciiTheme="minorHAnsi" w:hAnsiTheme="minorHAnsi" w:cstheme="minorHAnsi"/>
                <w:bCs/>
                <w:szCs w:val="24"/>
              </w:rPr>
            </w:pPr>
            <w:r w:rsidRPr="0085453B">
              <w:rPr>
                <w:rFonts w:asciiTheme="minorHAnsi" w:hAnsiTheme="minorHAnsi" w:cstheme="minorHAnsi"/>
                <w:bCs/>
                <w:szCs w:val="24"/>
              </w:rPr>
              <w:t>74%</w:t>
            </w:r>
          </w:p>
        </w:tc>
        <w:tc>
          <w:tcPr>
            <w:tcW w:w="2520" w:type="dxa"/>
          </w:tcPr>
          <w:p w14:paraId="1BF7F6BE" w14:textId="00E6ED04" w:rsidR="006077D4" w:rsidRDefault="006077D4" w:rsidP="006077D4">
            <w:pPr>
              <w:rPr>
                <w:rFonts w:asciiTheme="minorHAnsi" w:hAnsiTheme="minorHAnsi" w:cstheme="minorHAnsi"/>
                <w:bCs/>
                <w:szCs w:val="24"/>
              </w:rPr>
            </w:pPr>
            <w:r w:rsidRPr="0085453B">
              <w:rPr>
                <w:rFonts w:asciiTheme="minorHAnsi" w:hAnsiTheme="minorHAnsi" w:cstheme="minorHAnsi"/>
                <w:bCs/>
                <w:szCs w:val="24"/>
              </w:rPr>
              <w:t>87%</w:t>
            </w:r>
          </w:p>
        </w:tc>
      </w:tr>
      <w:tr w:rsidR="006077D4" w14:paraId="0A37539C" w14:textId="77777777" w:rsidTr="00870F8A">
        <w:tc>
          <w:tcPr>
            <w:tcW w:w="1705" w:type="dxa"/>
          </w:tcPr>
          <w:p w14:paraId="27B9ED5A" w14:textId="13C35FB0" w:rsidR="006077D4" w:rsidRDefault="006077D4" w:rsidP="006077D4">
            <w:pPr>
              <w:rPr>
                <w:rFonts w:asciiTheme="minorHAnsi" w:hAnsiTheme="minorHAnsi" w:cstheme="minorHAnsi"/>
                <w:bCs/>
                <w:szCs w:val="24"/>
              </w:rPr>
            </w:pPr>
            <w:r>
              <w:rPr>
                <w:rFonts w:asciiTheme="minorHAnsi" w:hAnsiTheme="minorHAnsi" w:cstheme="minorHAnsi"/>
                <w:bCs/>
                <w:szCs w:val="24"/>
              </w:rPr>
              <w:t>2020-21</w:t>
            </w:r>
          </w:p>
        </w:tc>
        <w:tc>
          <w:tcPr>
            <w:tcW w:w="2340" w:type="dxa"/>
          </w:tcPr>
          <w:p w14:paraId="22D363C6" w14:textId="18B635E1" w:rsidR="006077D4" w:rsidRPr="006077D4" w:rsidRDefault="006077D4" w:rsidP="006077D4">
            <w:pPr>
              <w:rPr>
                <w:rFonts w:asciiTheme="minorHAnsi" w:hAnsiTheme="minorHAnsi" w:cstheme="minorHAnsi"/>
                <w:bCs/>
                <w:szCs w:val="24"/>
              </w:rPr>
            </w:pPr>
            <w:r w:rsidRPr="0085453B">
              <w:rPr>
                <w:rFonts w:asciiTheme="minorHAnsi" w:hAnsiTheme="minorHAnsi" w:cstheme="minorHAnsi"/>
                <w:bCs/>
                <w:szCs w:val="24"/>
              </w:rPr>
              <w:t>75%</w:t>
            </w:r>
          </w:p>
        </w:tc>
        <w:tc>
          <w:tcPr>
            <w:tcW w:w="2520" w:type="dxa"/>
          </w:tcPr>
          <w:p w14:paraId="22A760BF" w14:textId="56328995" w:rsidR="006077D4" w:rsidRDefault="006077D4" w:rsidP="006077D4">
            <w:pPr>
              <w:rPr>
                <w:rFonts w:asciiTheme="minorHAnsi" w:hAnsiTheme="minorHAnsi" w:cstheme="minorHAnsi"/>
                <w:bCs/>
                <w:szCs w:val="24"/>
              </w:rPr>
            </w:pPr>
            <w:r w:rsidRPr="0085453B">
              <w:rPr>
                <w:rFonts w:asciiTheme="minorHAnsi" w:hAnsiTheme="minorHAnsi" w:cstheme="minorHAnsi"/>
                <w:bCs/>
                <w:szCs w:val="24"/>
              </w:rPr>
              <w:t>90%</w:t>
            </w:r>
          </w:p>
        </w:tc>
      </w:tr>
    </w:tbl>
    <w:p w14:paraId="7CCD0850" w14:textId="77777777" w:rsidR="006077D4" w:rsidRDefault="006077D4" w:rsidP="006077D4">
      <w:pPr>
        <w:rPr>
          <w:rFonts w:asciiTheme="minorHAnsi" w:hAnsiTheme="minorHAnsi" w:cstheme="minorHAnsi"/>
          <w:bCs/>
          <w:szCs w:val="24"/>
        </w:rPr>
      </w:pPr>
    </w:p>
    <w:p w14:paraId="2834AE84" w14:textId="77777777" w:rsidR="00870F8A" w:rsidRDefault="00870F8A" w:rsidP="0085453B">
      <w:pPr>
        <w:rPr>
          <w:rFonts w:asciiTheme="minorHAnsi" w:hAnsiTheme="minorHAnsi" w:cstheme="minorHAnsi"/>
          <w:bCs/>
          <w:szCs w:val="24"/>
        </w:rPr>
      </w:pPr>
    </w:p>
    <w:p w14:paraId="3C992292" w14:textId="13DF4504" w:rsidR="00295461" w:rsidRDefault="0085453B" w:rsidP="0085453B">
      <w:pPr>
        <w:rPr>
          <w:rFonts w:asciiTheme="minorHAnsi" w:hAnsiTheme="minorHAnsi" w:cstheme="minorHAnsi"/>
          <w:b/>
          <w:bCs/>
          <w:i/>
          <w:szCs w:val="24"/>
        </w:rPr>
      </w:pPr>
      <w:r w:rsidRPr="0085453B">
        <w:rPr>
          <w:rFonts w:asciiTheme="minorHAnsi" w:hAnsiTheme="minorHAnsi" w:cstheme="minorHAnsi"/>
          <w:bCs/>
          <w:szCs w:val="24"/>
        </w:rPr>
        <w:t>As for student enrollment in DE courses there was a rapid increase of 287%</w:t>
      </w:r>
      <w:r w:rsidR="005007BB">
        <w:rPr>
          <w:rFonts w:asciiTheme="minorHAnsi" w:hAnsiTheme="minorHAnsi" w:cstheme="minorHAnsi"/>
          <w:b/>
          <w:bCs/>
          <w:szCs w:val="24"/>
          <w:vertAlign w:val="superscript"/>
        </w:rPr>
        <w:t>3</w:t>
      </w:r>
      <w:r w:rsidRPr="0085453B">
        <w:rPr>
          <w:rFonts w:asciiTheme="minorHAnsi" w:hAnsiTheme="minorHAnsi" w:cstheme="minorHAnsi"/>
          <w:bCs/>
          <w:szCs w:val="24"/>
        </w:rPr>
        <w:t xml:space="preserve"> in the past five years, from 3,569</w:t>
      </w:r>
      <w:r w:rsidR="005007BB">
        <w:rPr>
          <w:rFonts w:asciiTheme="minorHAnsi" w:hAnsiTheme="minorHAnsi" w:cstheme="minorHAnsi"/>
          <w:b/>
          <w:bCs/>
          <w:szCs w:val="24"/>
          <w:vertAlign w:val="superscript"/>
        </w:rPr>
        <w:t>3</w:t>
      </w:r>
      <w:r w:rsidRPr="0085453B">
        <w:rPr>
          <w:rFonts w:asciiTheme="minorHAnsi" w:hAnsiTheme="minorHAnsi" w:cstheme="minorHAnsi"/>
          <w:bCs/>
          <w:szCs w:val="24"/>
        </w:rPr>
        <w:t xml:space="preserve"> enrollments in 2016-17 to 13,829</w:t>
      </w:r>
      <w:r w:rsidR="005007BB">
        <w:rPr>
          <w:rFonts w:asciiTheme="minorHAnsi" w:hAnsiTheme="minorHAnsi" w:cstheme="minorHAnsi"/>
          <w:b/>
          <w:bCs/>
          <w:szCs w:val="24"/>
          <w:vertAlign w:val="superscript"/>
        </w:rPr>
        <w:t>3</w:t>
      </w:r>
      <w:r w:rsidRPr="0085453B">
        <w:rPr>
          <w:rFonts w:asciiTheme="minorHAnsi" w:hAnsiTheme="minorHAnsi" w:cstheme="minorHAnsi"/>
          <w:bCs/>
          <w:szCs w:val="24"/>
        </w:rPr>
        <w:t xml:space="preserve"> enrollments in 2019-20. Again, we can attribute this increase to nearly all classes transitioning to a DE modality beginning about midway through the spring 2020 term.</w:t>
      </w:r>
    </w:p>
    <w:p w14:paraId="36CCA6F1" w14:textId="77777777" w:rsidR="00295461" w:rsidRDefault="00295461" w:rsidP="00812C6E">
      <w:pPr>
        <w:rPr>
          <w:rFonts w:asciiTheme="minorHAnsi" w:hAnsiTheme="minorHAnsi" w:cstheme="minorHAnsi"/>
          <w:b/>
          <w:bCs/>
          <w:i/>
          <w:szCs w:val="24"/>
        </w:rPr>
      </w:pPr>
    </w:p>
    <w:p w14:paraId="3797D758" w14:textId="6E1AF8FC"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 xml:space="preserve">Changes in Program over Last </w:t>
      </w:r>
      <w:r w:rsidR="0085453B">
        <w:rPr>
          <w:rFonts w:asciiTheme="minorHAnsi" w:hAnsiTheme="minorHAnsi" w:cstheme="minorHAnsi"/>
          <w:b/>
          <w:bCs/>
          <w:i/>
          <w:szCs w:val="24"/>
        </w:rPr>
        <w:t>Five</w:t>
      </w:r>
      <w:r w:rsidRPr="00CF1500">
        <w:rPr>
          <w:rFonts w:asciiTheme="minorHAnsi" w:hAnsiTheme="minorHAnsi" w:cstheme="minorHAnsi"/>
          <w:b/>
          <w:bCs/>
          <w:i/>
          <w:szCs w:val="24"/>
        </w:rPr>
        <w:t xml:space="preserve"> Years</w:t>
      </w:r>
    </w:p>
    <w:p w14:paraId="572D18E5" w14:textId="77777777" w:rsidR="00B2117F" w:rsidRPr="00CF1500" w:rsidRDefault="00B2117F" w:rsidP="00812C6E">
      <w:pPr>
        <w:rPr>
          <w:rFonts w:asciiTheme="minorHAnsi" w:hAnsiTheme="minorHAnsi" w:cstheme="minorHAnsi"/>
          <w:bCs/>
          <w:szCs w:val="24"/>
        </w:rPr>
      </w:pPr>
    </w:p>
    <w:p w14:paraId="61D2A6E1" w14:textId="49999070" w:rsidR="0085453B" w:rsidRPr="0085453B" w:rsidRDefault="0085453B" w:rsidP="0085453B">
      <w:pPr>
        <w:rPr>
          <w:rFonts w:asciiTheme="minorHAnsi" w:hAnsiTheme="minorHAnsi" w:cstheme="minorHAnsi"/>
          <w:bCs/>
          <w:szCs w:val="24"/>
        </w:rPr>
      </w:pPr>
      <w:r w:rsidRPr="0085453B">
        <w:rPr>
          <w:rFonts w:asciiTheme="minorHAnsi" w:hAnsiTheme="minorHAnsi" w:cstheme="minorHAnsi"/>
          <w:bCs/>
          <w:szCs w:val="24"/>
        </w:rPr>
        <w:t>The Distance Education (DE) Program at Porterville College (PC) has experienced some dramatic changes during the past five academic years (2016-17 through 2020-21)</w:t>
      </w:r>
      <w:r w:rsidR="006005BB">
        <w:rPr>
          <w:rFonts w:asciiTheme="minorHAnsi" w:hAnsiTheme="minorHAnsi" w:cstheme="minorHAnsi"/>
          <w:bCs/>
          <w:szCs w:val="24"/>
        </w:rPr>
        <w:t xml:space="preserve">, and not all of the changes are due to Covid-19. </w:t>
      </w:r>
      <w:r w:rsidRPr="0085453B">
        <w:rPr>
          <w:rFonts w:asciiTheme="minorHAnsi" w:hAnsiTheme="minorHAnsi" w:cstheme="minorHAnsi"/>
          <w:bCs/>
          <w:szCs w:val="24"/>
        </w:rPr>
        <w:t xml:space="preserve">In 2016, the College transitioned from Moodle to the Canvas learning management system (LMS). Since that time, there has been a steady increase in usage </w:t>
      </w:r>
      <w:r w:rsidRPr="0085453B">
        <w:rPr>
          <w:rFonts w:asciiTheme="minorHAnsi" w:hAnsiTheme="minorHAnsi" w:cstheme="minorHAnsi"/>
          <w:bCs/>
          <w:szCs w:val="24"/>
        </w:rPr>
        <w:lastRenderedPageBreak/>
        <w:t>of Canvas, not only by DE courses, but by on-campus courses as well. During fall 2016, just 13% of the classes were using their provided Canvas sites while in fall 2021, approximately 91%</w:t>
      </w:r>
      <w:r w:rsidR="005007BB">
        <w:rPr>
          <w:rFonts w:asciiTheme="minorHAnsi" w:hAnsiTheme="minorHAnsi" w:cstheme="minorHAnsi"/>
          <w:b/>
          <w:bCs/>
          <w:szCs w:val="24"/>
          <w:vertAlign w:val="superscript"/>
        </w:rPr>
        <w:t>4</w:t>
      </w:r>
      <w:r w:rsidRPr="0085453B">
        <w:rPr>
          <w:rFonts w:asciiTheme="minorHAnsi" w:hAnsiTheme="minorHAnsi" w:cstheme="minorHAnsi"/>
          <w:bCs/>
          <w:szCs w:val="24"/>
        </w:rPr>
        <w:t xml:space="preserve"> of the 480 course sections being offered (in all modalities) were using their Canvas shells.</w:t>
      </w:r>
      <w:r w:rsidR="00184F31">
        <w:rPr>
          <w:rFonts w:asciiTheme="minorHAnsi" w:hAnsiTheme="minorHAnsi" w:cstheme="minorHAnsi"/>
          <w:bCs/>
          <w:szCs w:val="24"/>
        </w:rPr>
        <w:t xml:space="preserve"> Since many of our DE students have either previously taken classes on campus or concurrently do so, having this kind of saturation of use of the same e-learning environment makes transitioning from one class e-learning setting to another much easier for our students.</w:t>
      </w:r>
    </w:p>
    <w:p w14:paraId="6958F1DC" w14:textId="77777777" w:rsidR="0085453B" w:rsidRPr="0085453B" w:rsidRDefault="0085453B" w:rsidP="0085453B">
      <w:pPr>
        <w:rPr>
          <w:rFonts w:asciiTheme="minorHAnsi" w:hAnsiTheme="minorHAnsi" w:cstheme="minorHAnsi"/>
          <w:bCs/>
          <w:szCs w:val="24"/>
        </w:rPr>
      </w:pPr>
    </w:p>
    <w:p w14:paraId="144362E3" w14:textId="324A4CCE" w:rsidR="0085453B" w:rsidRPr="0085453B" w:rsidRDefault="0085453B" w:rsidP="0085453B">
      <w:pPr>
        <w:rPr>
          <w:rFonts w:asciiTheme="minorHAnsi" w:hAnsiTheme="minorHAnsi" w:cstheme="minorHAnsi"/>
          <w:bCs/>
          <w:szCs w:val="24"/>
        </w:rPr>
      </w:pPr>
      <w:r w:rsidRPr="0085453B">
        <w:rPr>
          <w:rFonts w:asciiTheme="minorHAnsi" w:hAnsiTheme="minorHAnsi" w:cstheme="minorHAnsi"/>
          <w:bCs/>
          <w:szCs w:val="24"/>
        </w:rPr>
        <w:t>When on-campus classes were abruptly stopped in March 2020 (with the exception of a very few nursing courses), there was an immediate need to rapidly train instructor</w:t>
      </w:r>
      <w:r w:rsidR="00184F31">
        <w:rPr>
          <w:rFonts w:asciiTheme="minorHAnsi" w:hAnsiTheme="minorHAnsi" w:cstheme="minorHAnsi"/>
          <w:bCs/>
          <w:szCs w:val="24"/>
        </w:rPr>
        <w:t>s</w:t>
      </w:r>
      <w:r w:rsidRPr="0085453B">
        <w:rPr>
          <w:rFonts w:asciiTheme="minorHAnsi" w:hAnsiTheme="minorHAnsi" w:cstheme="minorHAnsi"/>
          <w:bCs/>
          <w:szCs w:val="24"/>
        </w:rPr>
        <w:t xml:space="preserve"> on the use of Canvas and other technology tools, as well as help them with the pedagogical shift to distance education.  This quick transition was aided by a handful of people including the</w:t>
      </w:r>
      <w:r w:rsidR="000B3800">
        <w:rPr>
          <w:rFonts w:asciiTheme="minorHAnsi" w:hAnsiTheme="minorHAnsi" w:cstheme="minorHAnsi"/>
          <w:bCs/>
          <w:szCs w:val="24"/>
        </w:rPr>
        <w:t xml:space="preserve"> </w:t>
      </w:r>
      <w:r w:rsidR="000B3800" w:rsidRPr="00935082">
        <w:rPr>
          <w:rFonts w:asciiTheme="minorHAnsi" w:hAnsiTheme="minorHAnsi" w:cstheme="minorHAnsi"/>
          <w:szCs w:val="24"/>
        </w:rPr>
        <w:t>E</w:t>
      </w:r>
      <w:r w:rsidR="000B3800">
        <w:rPr>
          <w:rFonts w:asciiTheme="minorHAnsi" w:hAnsiTheme="minorHAnsi" w:cstheme="minorHAnsi"/>
          <w:szCs w:val="24"/>
        </w:rPr>
        <w:t xml:space="preserve">ducational </w:t>
      </w:r>
      <w:r w:rsidR="000B3800" w:rsidRPr="00935082">
        <w:rPr>
          <w:rFonts w:asciiTheme="minorHAnsi" w:hAnsiTheme="minorHAnsi" w:cstheme="minorHAnsi"/>
          <w:szCs w:val="24"/>
        </w:rPr>
        <w:t>M</w:t>
      </w:r>
      <w:r w:rsidR="000B3800">
        <w:rPr>
          <w:rFonts w:asciiTheme="minorHAnsi" w:hAnsiTheme="minorHAnsi" w:cstheme="minorHAnsi"/>
          <w:szCs w:val="24"/>
        </w:rPr>
        <w:t xml:space="preserve">edia </w:t>
      </w:r>
      <w:r w:rsidR="000B3800" w:rsidRPr="00935082">
        <w:rPr>
          <w:rFonts w:asciiTheme="minorHAnsi" w:hAnsiTheme="minorHAnsi" w:cstheme="minorHAnsi"/>
          <w:szCs w:val="24"/>
        </w:rPr>
        <w:t>D</w:t>
      </w:r>
      <w:r w:rsidR="000B3800">
        <w:rPr>
          <w:rFonts w:asciiTheme="minorHAnsi" w:hAnsiTheme="minorHAnsi" w:cstheme="minorHAnsi"/>
          <w:szCs w:val="24"/>
        </w:rPr>
        <w:t xml:space="preserve">esign </w:t>
      </w:r>
      <w:r w:rsidR="000B3800" w:rsidRPr="00935082">
        <w:rPr>
          <w:rFonts w:asciiTheme="minorHAnsi" w:hAnsiTheme="minorHAnsi" w:cstheme="minorHAnsi"/>
          <w:szCs w:val="24"/>
        </w:rPr>
        <w:t>S</w:t>
      </w:r>
      <w:r w:rsidR="000B3800">
        <w:rPr>
          <w:rFonts w:asciiTheme="minorHAnsi" w:hAnsiTheme="minorHAnsi" w:cstheme="minorHAnsi"/>
          <w:szCs w:val="24"/>
        </w:rPr>
        <w:t>pecialist</w:t>
      </w:r>
      <w:r w:rsidRPr="0085453B">
        <w:rPr>
          <w:rFonts w:asciiTheme="minorHAnsi" w:hAnsiTheme="minorHAnsi" w:cstheme="minorHAnsi"/>
          <w:bCs/>
          <w:szCs w:val="24"/>
        </w:rPr>
        <w:t xml:space="preserve"> </w:t>
      </w:r>
      <w:r w:rsidR="000B3800">
        <w:rPr>
          <w:rFonts w:asciiTheme="minorHAnsi" w:hAnsiTheme="minorHAnsi" w:cstheme="minorHAnsi"/>
          <w:bCs/>
          <w:szCs w:val="24"/>
        </w:rPr>
        <w:t>(</w:t>
      </w:r>
      <w:r w:rsidRPr="000B3800">
        <w:rPr>
          <w:rFonts w:asciiTheme="minorHAnsi" w:hAnsiTheme="minorHAnsi" w:cstheme="minorHAnsi"/>
          <w:bCs/>
          <w:szCs w:val="24"/>
        </w:rPr>
        <w:t>EMDS</w:t>
      </w:r>
      <w:r w:rsidR="000B3800">
        <w:rPr>
          <w:rFonts w:asciiTheme="minorHAnsi" w:hAnsiTheme="minorHAnsi" w:cstheme="minorHAnsi"/>
          <w:bCs/>
          <w:szCs w:val="24"/>
        </w:rPr>
        <w:t>)</w:t>
      </w:r>
      <w:r w:rsidRPr="0085453B">
        <w:rPr>
          <w:rFonts w:asciiTheme="minorHAnsi" w:hAnsiTheme="minorHAnsi" w:cstheme="minorHAnsi"/>
          <w:bCs/>
          <w:szCs w:val="24"/>
        </w:rPr>
        <w:t xml:space="preserve"> and the faculty members of the DE Committee. The DE Committee itself held an emergency meeting to plan for training. The DE</w:t>
      </w:r>
      <w:r w:rsidR="00184F31">
        <w:rPr>
          <w:rFonts w:asciiTheme="minorHAnsi" w:hAnsiTheme="minorHAnsi" w:cstheme="minorHAnsi"/>
          <w:bCs/>
          <w:szCs w:val="24"/>
        </w:rPr>
        <w:t xml:space="preserve"> Committee</w:t>
      </w:r>
      <w:r w:rsidRPr="0085453B">
        <w:rPr>
          <w:rFonts w:asciiTheme="minorHAnsi" w:hAnsiTheme="minorHAnsi" w:cstheme="minorHAnsi"/>
          <w:bCs/>
          <w:szCs w:val="24"/>
        </w:rPr>
        <w:t xml:space="preserve"> faculty and the EMDS held live training events via Web conferencing (Zoom) over the course of several days</w:t>
      </w:r>
      <w:r w:rsidR="00184F31">
        <w:rPr>
          <w:rFonts w:asciiTheme="minorHAnsi" w:hAnsiTheme="minorHAnsi" w:cstheme="minorHAnsi"/>
          <w:bCs/>
          <w:szCs w:val="24"/>
        </w:rPr>
        <w:t xml:space="preserve"> in March 2020</w:t>
      </w:r>
      <w:r w:rsidRPr="0085453B">
        <w:rPr>
          <w:rFonts w:asciiTheme="minorHAnsi" w:hAnsiTheme="minorHAnsi" w:cstheme="minorHAnsi"/>
          <w:bCs/>
          <w:szCs w:val="24"/>
        </w:rPr>
        <w:t xml:space="preserve">. Since only the barebones could be taught in these 3-hour training sessions, faculty were encouraged to go through the complete online training certification which the college already had in place for its online instructors. DE Committee faculty helped facilitate these training sessions, along with the EMDS who normally facilitated them, getting the bulk of instructors through the certification by the beginning of the fall 2020 semester. In total, the college conducted 23 DE certification training sessions from March 2020 through August 2021. In addition to this required training, a group of </w:t>
      </w:r>
      <w:proofErr w:type="gramStart"/>
      <w:r w:rsidRPr="0085453B">
        <w:rPr>
          <w:rFonts w:asciiTheme="minorHAnsi" w:hAnsiTheme="minorHAnsi" w:cstheme="minorHAnsi"/>
          <w:bCs/>
          <w:szCs w:val="24"/>
        </w:rPr>
        <w:t>faculty</w:t>
      </w:r>
      <w:proofErr w:type="gramEnd"/>
      <w:r w:rsidRPr="0085453B">
        <w:rPr>
          <w:rFonts w:asciiTheme="minorHAnsi" w:hAnsiTheme="minorHAnsi" w:cstheme="minorHAnsi"/>
          <w:bCs/>
          <w:szCs w:val="24"/>
        </w:rPr>
        <w:t xml:space="preserve"> began offering a live 30-minute webinar (Quick Tips) on various online instructional topics. Webinars were held approximately twice per month from July 2020 through </w:t>
      </w:r>
      <w:r w:rsidR="003A2510">
        <w:rPr>
          <w:rFonts w:asciiTheme="minorHAnsi" w:hAnsiTheme="minorHAnsi" w:cstheme="minorHAnsi"/>
          <w:bCs/>
          <w:szCs w:val="24"/>
        </w:rPr>
        <w:t>to the present</w:t>
      </w:r>
      <w:r w:rsidRPr="0085453B">
        <w:rPr>
          <w:rFonts w:asciiTheme="minorHAnsi" w:hAnsiTheme="minorHAnsi" w:cstheme="minorHAnsi"/>
          <w:bCs/>
          <w:szCs w:val="24"/>
        </w:rPr>
        <w:t xml:space="preserve">. </w:t>
      </w:r>
    </w:p>
    <w:p w14:paraId="78354965" w14:textId="77777777" w:rsidR="0085453B" w:rsidRPr="0085453B" w:rsidRDefault="0085453B" w:rsidP="0085453B">
      <w:pPr>
        <w:rPr>
          <w:rFonts w:asciiTheme="minorHAnsi" w:hAnsiTheme="minorHAnsi" w:cstheme="minorHAnsi"/>
          <w:bCs/>
          <w:szCs w:val="24"/>
        </w:rPr>
      </w:pPr>
    </w:p>
    <w:p w14:paraId="2F4DAAF8" w14:textId="77777777" w:rsidR="0085453B" w:rsidRPr="0085453B" w:rsidRDefault="0085453B" w:rsidP="0085453B">
      <w:pPr>
        <w:rPr>
          <w:rFonts w:asciiTheme="minorHAnsi" w:hAnsiTheme="minorHAnsi" w:cstheme="minorHAnsi"/>
          <w:bCs/>
          <w:szCs w:val="24"/>
        </w:rPr>
      </w:pPr>
      <w:r w:rsidRPr="0085453B">
        <w:rPr>
          <w:rFonts w:asciiTheme="minorHAnsi" w:hAnsiTheme="minorHAnsi" w:cstheme="minorHAnsi"/>
          <w:bCs/>
          <w:szCs w:val="24"/>
        </w:rPr>
        <w:t>There were also many opportunities for just-in-time help. The Center for Instructional Technology (CIT) Canvas site was kept up-to-date with a wide variety of online instructional resources, including video tutorials, online course templates, and resources on many of the new tools added during the move to online only courses. The EMDS email address was prominently displayed on the CIT site, and faculty received frequent email messages from the EMDS on various topics about online instruction. The EMDS often met with faculty through Web conferencing (Zoom) when they had questions that benefitted from screen-sharing. As was alluded to, the college added several new instructional technology tools to help instructors with their transition to DE.</w:t>
      </w:r>
    </w:p>
    <w:p w14:paraId="51A4A88F" w14:textId="77777777" w:rsidR="0085453B" w:rsidRPr="0085453B" w:rsidRDefault="0085453B" w:rsidP="0085453B">
      <w:pPr>
        <w:rPr>
          <w:rFonts w:asciiTheme="minorHAnsi" w:hAnsiTheme="minorHAnsi" w:cstheme="minorHAnsi"/>
          <w:bCs/>
          <w:szCs w:val="24"/>
        </w:rPr>
      </w:pPr>
    </w:p>
    <w:p w14:paraId="34E36631" w14:textId="77777777" w:rsidR="0085453B" w:rsidRPr="0085453B" w:rsidRDefault="0085453B" w:rsidP="0085453B">
      <w:pPr>
        <w:rPr>
          <w:rFonts w:asciiTheme="minorHAnsi" w:hAnsiTheme="minorHAnsi" w:cstheme="minorHAnsi"/>
          <w:bCs/>
          <w:szCs w:val="24"/>
        </w:rPr>
      </w:pPr>
      <w:r w:rsidRPr="0085453B">
        <w:rPr>
          <w:rFonts w:asciiTheme="minorHAnsi" w:hAnsiTheme="minorHAnsi" w:cstheme="minorHAnsi"/>
          <w:bCs/>
          <w:szCs w:val="24"/>
        </w:rPr>
        <w:t xml:space="preserve">When the college moved to Canvas, there was a deliberate focus to improve support services to online students. In 2016, the college began offering online tutoring by purchasing support from NetTutor. NetTutor has continually been offered to students through to the present, but even more options were added in 2019 when the College added its own peer tutors to its online tutoring interface. Also, beginning about this same time, peer tech-support was added to help students who had technical questions with their online classes. Beginning in 2019, the Porterville College counselors began to offer online counseling through a platform called Cranium Café. This tool was extremely useful during the move to all DE instruction. Although </w:t>
      </w:r>
      <w:r w:rsidRPr="0085453B">
        <w:rPr>
          <w:rFonts w:asciiTheme="minorHAnsi" w:hAnsiTheme="minorHAnsi" w:cstheme="minorHAnsi"/>
          <w:bCs/>
          <w:szCs w:val="24"/>
        </w:rPr>
        <w:lastRenderedPageBreak/>
        <w:t>the college no longer uses Cranium Café, it still offers online counseling with the use of Zoom web-conferencing. The college has supported academic integrity in its online courses for many years through a subscription with the plagiarism detection services of Turnitin. Expanding on this dedication to academic integrity, the college began utilizing the online proctoring tool, Proctorio, in summer 2018 through to the present. Other support resources available to students includes an online student orientation which the EMDS developed from a core course offered by the CVC-OEI. The EMDS has also created a site within Canvas, called the PC Student Support Hub, that is available to all Porterville College students. This site contains information and links for many of the online support services students can access including online counseling, online tutoring, online library services, and the orientation for online students.</w:t>
      </w:r>
    </w:p>
    <w:p w14:paraId="12D44364" w14:textId="77777777" w:rsidR="0085453B" w:rsidRPr="0085453B" w:rsidRDefault="0085453B" w:rsidP="0085453B">
      <w:pPr>
        <w:rPr>
          <w:rFonts w:asciiTheme="minorHAnsi" w:hAnsiTheme="minorHAnsi" w:cstheme="minorHAnsi"/>
          <w:bCs/>
          <w:szCs w:val="24"/>
        </w:rPr>
      </w:pPr>
    </w:p>
    <w:p w14:paraId="742A01C8" w14:textId="77777777" w:rsidR="0085453B" w:rsidRPr="0085453B" w:rsidRDefault="0085453B" w:rsidP="0085453B">
      <w:pPr>
        <w:rPr>
          <w:rFonts w:asciiTheme="minorHAnsi" w:hAnsiTheme="minorHAnsi" w:cstheme="minorHAnsi"/>
          <w:bCs/>
          <w:szCs w:val="24"/>
        </w:rPr>
      </w:pPr>
      <w:r w:rsidRPr="0085453B">
        <w:rPr>
          <w:rFonts w:asciiTheme="minorHAnsi" w:hAnsiTheme="minorHAnsi" w:cstheme="minorHAnsi"/>
          <w:bCs/>
          <w:szCs w:val="24"/>
        </w:rPr>
        <w:t>In fall 2018, Porterville College joined the California Virtual Campus-Online Education Initiative (CVC-OEI) Consortium. Membership in the Consortium provides a broad range of services to the College’s DE Program and enables Porterville College students to find classes at other colleges in the consortium if they are not able to find the class they need from PC. This access will aid students in completing their educational goal more quickly. The EMDS was instrumental in writing and submitting the proposal to be admitted into the CVC-OEI Consortium, and now serves as the lead contact to the Consortium for Porterville College. In fall 2019, the College moved to phase one of integration with the CVC-OEI exchange, which means that its enrollment information is live in the exchange. However, a move to phase two has been stalled due to a lack of support for implementation at the district level.</w:t>
      </w:r>
    </w:p>
    <w:p w14:paraId="0A93472D" w14:textId="77777777" w:rsidR="0085453B" w:rsidRPr="0085453B" w:rsidRDefault="0085453B" w:rsidP="0085453B">
      <w:pPr>
        <w:rPr>
          <w:rFonts w:asciiTheme="minorHAnsi" w:hAnsiTheme="minorHAnsi" w:cstheme="minorHAnsi"/>
          <w:bCs/>
          <w:szCs w:val="24"/>
        </w:rPr>
      </w:pPr>
    </w:p>
    <w:p w14:paraId="4F1E4404" w14:textId="7642BAA6" w:rsidR="0085453B" w:rsidRPr="0085453B" w:rsidRDefault="0085453B" w:rsidP="0085453B">
      <w:pPr>
        <w:rPr>
          <w:rFonts w:asciiTheme="minorHAnsi" w:hAnsiTheme="minorHAnsi" w:cstheme="minorHAnsi"/>
          <w:bCs/>
          <w:szCs w:val="24"/>
        </w:rPr>
      </w:pPr>
      <w:r w:rsidRPr="0085453B">
        <w:rPr>
          <w:rFonts w:asciiTheme="minorHAnsi" w:hAnsiTheme="minorHAnsi" w:cstheme="minorHAnsi"/>
          <w:bCs/>
          <w:szCs w:val="24"/>
        </w:rPr>
        <w:t>In fall 2018, with coordination from the Distance Education Committee, the EMDS, and the Office of Instruction, the College instituted a new policy in which faculty who will be teaching an online class must have completed training in the use of Canvas, as well as training in the fundamentals of online teaching and learning. This is the certification of online faculty that was mentioned earlier. Since implementing this certification requirement, anecdotal evidence suggests that online courses have become more accessible, equitable, and intuitively designed. Support tickets to Canvas dropped by more than 30%</w:t>
      </w:r>
      <w:r w:rsidR="005007BB">
        <w:rPr>
          <w:rFonts w:asciiTheme="minorHAnsi" w:hAnsiTheme="minorHAnsi" w:cstheme="minorHAnsi"/>
          <w:b/>
          <w:bCs/>
          <w:szCs w:val="24"/>
          <w:vertAlign w:val="superscript"/>
        </w:rPr>
        <w:t>5</w:t>
      </w:r>
      <w:r w:rsidRPr="0085453B">
        <w:rPr>
          <w:rFonts w:asciiTheme="minorHAnsi" w:hAnsiTheme="minorHAnsi" w:cstheme="minorHAnsi"/>
          <w:bCs/>
          <w:szCs w:val="24"/>
        </w:rPr>
        <w:t xml:space="preserve"> from fall 2018 when training was not yet required for online faculty, to fall 2019 when the online certification was in effect. This could suggest that online faculty were more prepared to use Canvas, and that they were better at applying effective online instructional practices in their classes.</w:t>
      </w:r>
    </w:p>
    <w:p w14:paraId="57242FE8" w14:textId="77777777" w:rsidR="0085453B" w:rsidRPr="0085453B" w:rsidRDefault="0085453B" w:rsidP="0085453B">
      <w:pPr>
        <w:rPr>
          <w:rFonts w:asciiTheme="minorHAnsi" w:hAnsiTheme="minorHAnsi" w:cstheme="minorHAnsi"/>
          <w:bCs/>
          <w:szCs w:val="24"/>
        </w:rPr>
      </w:pPr>
    </w:p>
    <w:p w14:paraId="224ECB0C" w14:textId="77777777" w:rsidR="0085453B" w:rsidRPr="0085453B" w:rsidRDefault="0085453B" w:rsidP="0085453B">
      <w:pPr>
        <w:rPr>
          <w:rFonts w:asciiTheme="minorHAnsi" w:hAnsiTheme="minorHAnsi" w:cstheme="minorHAnsi"/>
          <w:bCs/>
          <w:szCs w:val="24"/>
        </w:rPr>
      </w:pPr>
      <w:r w:rsidRPr="0085453B">
        <w:rPr>
          <w:rFonts w:asciiTheme="minorHAnsi" w:hAnsiTheme="minorHAnsi" w:cstheme="minorHAnsi"/>
          <w:bCs/>
          <w:szCs w:val="24"/>
        </w:rPr>
        <w:t xml:space="preserve">Improvement in online course quality has been a long-term goal for the college and for the CVC-OEI Consortium of which the college belongs. The CVC-OEI Consortium, in cooperation with the California State Academic Senate, created an Online Course Design Rubric and also a peer review program that uses the rubric to evaluate online course quality. In the 2020 updated CVC-OEI Master Consortium Agreement, it stipulates that colleges in the consortium must develop a local peer online course review process. Porterville College actually developed a peer online course review process in fall 2019 (PC-POCR), prior to this directive from CVC-OEI. However, due to lack of funds to support the program, PC-POCR was not implemented until </w:t>
      </w:r>
      <w:r w:rsidRPr="0085453B">
        <w:rPr>
          <w:rFonts w:asciiTheme="minorHAnsi" w:hAnsiTheme="minorHAnsi" w:cstheme="minorHAnsi"/>
          <w:bCs/>
          <w:szCs w:val="24"/>
        </w:rPr>
        <w:lastRenderedPageBreak/>
        <w:t>spring 2021. At present, the College is working on becoming a POCR certified campus through the CVC-OEI process.</w:t>
      </w:r>
    </w:p>
    <w:p w14:paraId="43D05730" w14:textId="77777777" w:rsidR="0085453B" w:rsidRPr="0085453B" w:rsidRDefault="0085453B" w:rsidP="0085453B">
      <w:pPr>
        <w:rPr>
          <w:rFonts w:asciiTheme="minorHAnsi" w:hAnsiTheme="minorHAnsi" w:cstheme="minorHAnsi"/>
          <w:bCs/>
          <w:szCs w:val="24"/>
        </w:rPr>
      </w:pPr>
    </w:p>
    <w:p w14:paraId="7820DF6E" w14:textId="3D97C37E" w:rsidR="00812C6E" w:rsidRDefault="0085453B" w:rsidP="0085453B">
      <w:pPr>
        <w:rPr>
          <w:rFonts w:asciiTheme="minorHAnsi" w:hAnsiTheme="minorHAnsi" w:cstheme="minorHAnsi"/>
          <w:bCs/>
          <w:szCs w:val="24"/>
        </w:rPr>
      </w:pPr>
      <w:r w:rsidRPr="0085453B">
        <w:rPr>
          <w:rFonts w:asciiTheme="minorHAnsi" w:hAnsiTheme="minorHAnsi" w:cstheme="minorHAnsi"/>
          <w:bCs/>
          <w:szCs w:val="24"/>
        </w:rPr>
        <w:t xml:space="preserve">Although the DE Program has been able to accomplish a great deal without a dedicated budget, there is a growing sense of frustration and uncertainty, among those who work closely with the DE Program, that a smooth running and effective DE Program may not endure without adequate and consistent funding provided by the College. </w:t>
      </w:r>
      <w:r w:rsidR="00184F31">
        <w:rPr>
          <w:rFonts w:asciiTheme="minorHAnsi" w:hAnsiTheme="minorHAnsi" w:cstheme="minorHAnsi"/>
          <w:bCs/>
          <w:szCs w:val="24"/>
        </w:rPr>
        <w:t>Many of the</w:t>
      </w:r>
      <w:r w:rsidRPr="0085453B">
        <w:rPr>
          <w:rFonts w:asciiTheme="minorHAnsi" w:hAnsiTheme="minorHAnsi" w:cstheme="minorHAnsi"/>
          <w:bCs/>
          <w:szCs w:val="24"/>
        </w:rPr>
        <w:t xml:space="preserve"> tools that the College was able to use during the statewide stay-at-home orders were paid for by the California Community College Chancellor’s Office. Moving forward, it will be up to the College to fund these or other similar tools and resources</w:t>
      </w:r>
      <w:r w:rsidR="00184F31">
        <w:rPr>
          <w:rFonts w:asciiTheme="minorHAnsi" w:hAnsiTheme="minorHAnsi" w:cstheme="minorHAnsi"/>
          <w:bCs/>
          <w:szCs w:val="24"/>
        </w:rPr>
        <w:t>,</w:t>
      </w:r>
      <w:r w:rsidRPr="0085453B">
        <w:rPr>
          <w:rFonts w:asciiTheme="minorHAnsi" w:hAnsiTheme="minorHAnsi" w:cstheme="minorHAnsi"/>
          <w:bCs/>
          <w:szCs w:val="24"/>
        </w:rPr>
        <w:t xml:space="preserve"> just to maintain the same level of support and resources for our DE Program.</w:t>
      </w:r>
    </w:p>
    <w:p w14:paraId="0940B25B" w14:textId="77777777" w:rsidR="00812C6E" w:rsidRPr="00CF1500" w:rsidRDefault="00812C6E" w:rsidP="00812C6E">
      <w:pPr>
        <w:rPr>
          <w:rFonts w:asciiTheme="minorHAnsi" w:hAnsiTheme="minorHAnsi" w:cstheme="minorHAnsi"/>
          <w:bCs/>
          <w:i/>
          <w:szCs w:val="24"/>
        </w:rPr>
      </w:pPr>
    </w:p>
    <w:p w14:paraId="5B9A7FE2" w14:textId="028805E7" w:rsidR="003E642F" w:rsidRPr="00CF1500" w:rsidRDefault="003E642F" w:rsidP="003E642F">
      <w:pPr>
        <w:rPr>
          <w:rFonts w:asciiTheme="minorHAnsi" w:hAnsiTheme="minorHAnsi" w:cstheme="minorHAnsi"/>
          <w:b/>
          <w:bCs/>
          <w:i/>
          <w:szCs w:val="24"/>
        </w:rPr>
      </w:pPr>
      <w:r>
        <w:rPr>
          <w:rFonts w:asciiTheme="minorHAnsi" w:hAnsiTheme="minorHAnsi" w:cstheme="minorHAnsi"/>
          <w:b/>
          <w:bCs/>
          <w:i/>
          <w:szCs w:val="24"/>
        </w:rPr>
        <w:t>Report on Previous Goals</w:t>
      </w:r>
    </w:p>
    <w:p w14:paraId="2F39B5A3" w14:textId="77777777" w:rsidR="00812C6E" w:rsidRPr="0006374C" w:rsidRDefault="00812C6E" w:rsidP="00812C6E">
      <w:pPr>
        <w:rPr>
          <w:rFonts w:asciiTheme="minorHAnsi" w:hAnsiTheme="minorHAnsi" w:cstheme="minorHAnsi"/>
          <w:bCs/>
          <w:iCs/>
          <w:szCs w:val="24"/>
        </w:rPr>
      </w:pPr>
    </w:p>
    <w:tbl>
      <w:tblPr>
        <w:tblStyle w:val="TableGrid"/>
        <w:tblW w:w="0" w:type="auto"/>
        <w:tblLook w:val="04A0" w:firstRow="1" w:lastRow="0" w:firstColumn="1" w:lastColumn="0" w:noHBand="0" w:noVBand="1"/>
      </w:tblPr>
      <w:tblGrid>
        <w:gridCol w:w="3325"/>
        <w:gridCol w:w="6025"/>
      </w:tblGrid>
      <w:tr w:rsidR="00270556" w14:paraId="42F8AD87" w14:textId="77777777" w:rsidTr="00270556">
        <w:tc>
          <w:tcPr>
            <w:tcW w:w="3325" w:type="dxa"/>
          </w:tcPr>
          <w:p w14:paraId="5E696548" w14:textId="0B214C2A" w:rsidR="00270556" w:rsidRDefault="00270556" w:rsidP="00812C6E">
            <w:pPr>
              <w:rPr>
                <w:rFonts w:asciiTheme="minorHAnsi" w:hAnsiTheme="minorHAnsi" w:cstheme="minorHAnsi"/>
                <w:bCs/>
                <w:szCs w:val="24"/>
              </w:rPr>
            </w:pPr>
            <w:r>
              <w:rPr>
                <w:rFonts w:asciiTheme="minorHAnsi" w:hAnsiTheme="minorHAnsi" w:cstheme="minorHAnsi"/>
                <w:bCs/>
                <w:szCs w:val="24"/>
              </w:rPr>
              <w:t>Goal</w:t>
            </w:r>
          </w:p>
        </w:tc>
        <w:tc>
          <w:tcPr>
            <w:tcW w:w="6025" w:type="dxa"/>
          </w:tcPr>
          <w:p w14:paraId="0C5F66D5" w14:textId="5DB31B73" w:rsidR="00270556" w:rsidRDefault="00270556" w:rsidP="00812C6E">
            <w:pPr>
              <w:rPr>
                <w:rFonts w:asciiTheme="minorHAnsi" w:hAnsiTheme="minorHAnsi" w:cstheme="minorHAnsi"/>
                <w:bCs/>
                <w:szCs w:val="24"/>
              </w:rPr>
            </w:pPr>
            <w:r>
              <w:rPr>
                <w:rFonts w:asciiTheme="minorHAnsi" w:hAnsiTheme="minorHAnsi" w:cstheme="minorHAnsi"/>
                <w:bCs/>
                <w:szCs w:val="24"/>
              </w:rPr>
              <w:t>Status/Progress</w:t>
            </w:r>
          </w:p>
        </w:tc>
      </w:tr>
      <w:tr w:rsidR="00270556" w14:paraId="4628A9E4" w14:textId="77777777" w:rsidTr="00270556">
        <w:tc>
          <w:tcPr>
            <w:tcW w:w="3325" w:type="dxa"/>
          </w:tcPr>
          <w:p w14:paraId="4F85CBBE" w14:textId="60069EC3"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1. </w:t>
            </w:r>
            <w:r w:rsidR="00362741" w:rsidRPr="00362741">
              <w:rPr>
                <w:rFonts w:asciiTheme="minorHAnsi" w:hAnsiTheme="minorHAnsi" w:cstheme="minorHAnsi"/>
                <w:bCs/>
                <w:szCs w:val="24"/>
              </w:rPr>
              <w:t>Implement a peer online course review process to align online courses to the CVC-OEI online course rubric.</w:t>
            </w:r>
          </w:p>
        </w:tc>
        <w:tc>
          <w:tcPr>
            <w:tcW w:w="6025" w:type="dxa"/>
          </w:tcPr>
          <w:p w14:paraId="5AE60A5E" w14:textId="118888D4" w:rsidR="00270556" w:rsidRDefault="00362741" w:rsidP="00812C6E">
            <w:pPr>
              <w:rPr>
                <w:rFonts w:asciiTheme="minorHAnsi" w:hAnsiTheme="minorHAnsi" w:cstheme="minorHAnsi"/>
                <w:bCs/>
                <w:szCs w:val="24"/>
              </w:rPr>
            </w:pPr>
            <w:r w:rsidRPr="00362741">
              <w:rPr>
                <w:rFonts w:asciiTheme="minorHAnsi" w:hAnsiTheme="minorHAnsi" w:cstheme="minorHAnsi"/>
                <w:bCs/>
                <w:szCs w:val="24"/>
              </w:rPr>
              <w:t>The process for our local POCR program (PC-POCR) w</w:t>
            </w:r>
            <w:r>
              <w:rPr>
                <w:rFonts w:asciiTheme="minorHAnsi" w:hAnsiTheme="minorHAnsi" w:cstheme="minorHAnsi"/>
                <w:bCs/>
                <w:szCs w:val="24"/>
              </w:rPr>
              <w:t>as</w:t>
            </w:r>
            <w:r w:rsidRPr="00362741">
              <w:rPr>
                <w:rFonts w:asciiTheme="minorHAnsi" w:hAnsiTheme="minorHAnsi" w:cstheme="minorHAnsi"/>
                <w:bCs/>
                <w:szCs w:val="24"/>
              </w:rPr>
              <w:t xml:space="preserve"> established in spring 2019. </w:t>
            </w:r>
            <w:r>
              <w:rPr>
                <w:rFonts w:asciiTheme="minorHAnsi" w:hAnsiTheme="minorHAnsi" w:cstheme="minorHAnsi"/>
                <w:bCs/>
                <w:szCs w:val="24"/>
              </w:rPr>
              <w:t xml:space="preserve">Since then, it has been </w:t>
            </w:r>
            <w:r w:rsidRPr="00362741">
              <w:rPr>
                <w:rFonts w:asciiTheme="minorHAnsi" w:hAnsiTheme="minorHAnsi" w:cstheme="minorHAnsi"/>
                <w:bCs/>
                <w:szCs w:val="24"/>
              </w:rPr>
              <w:t>extremely difficult</w:t>
            </w:r>
            <w:r>
              <w:rPr>
                <w:rFonts w:asciiTheme="minorHAnsi" w:hAnsiTheme="minorHAnsi" w:cstheme="minorHAnsi"/>
                <w:bCs/>
                <w:szCs w:val="24"/>
              </w:rPr>
              <w:t xml:space="preserve"> to get funding to launch the program</w:t>
            </w:r>
            <w:r w:rsidRPr="00362741">
              <w:rPr>
                <w:rFonts w:asciiTheme="minorHAnsi" w:hAnsiTheme="minorHAnsi" w:cstheme="minorHAnsi"/>
                <w:bCs/>
                <w:szCs w:val="24"/>
              </w:rPr>
              <w:t xml:space="preserve">. In late spring 2021, we were finally able to secure one-time funding from a grant </w:t>
            </w:r>
            <w:r>
              <w:rPr>
                <w:rFonts w:asciiTheme="minorHAnsi" w:hAnsiTheme="minorHAnsi" w:cstheme="minorHAnsi"/>
                <w:bCs/>
                <w:szCs w:val="24"/>
              </w:rPr>
              <w:t>that allowed u</w:t>
            </w:r>
            <w:r w:rsidRPr="00362741">
              <w:rPr>
                <w:rFonts w:asciiTheme="minorHAnsi" w:hAnsiTheme="minorHAnsi" w:cstheme="minorHAnsi"/>
                <w:bCs/>
                <w:szCs w:val="24"/>
              </w:rPr>
              <w:t xml:space="preserve">s to </w:t>
            </w:r>
            <w:r>
              <w:rPr>
                <w:rFonts w:asciiTheme="minorHAnsi" w:hAnsiTheme="minorHAnsi" w:cstheme="minorHAnsi"/>
                <w:bCs/>
                <w:szCs w:val="24"/>
              </w:rPr>
              <w:t>put</w:t>
            </w:r>
            <w:r w:rsidRPr="00362741">
              <w:rPr>
                <w:rFonts w:asciiTheme="minorHAnsi" w:hAnsiTheme="minorHAnsi" w:cstheme="minorHAnsi"/>
                <w:bCs/>
                <w:szCs w:val="24"/>
              </w:rPr>
              <w:t xml:space="preserve"> three courses </w:t>
            </w:r>
            <w:r>
              <w:rPr>
                <w:rFonts w:asciiTheme="minorHAnsi" w:hAnsiTheme="minorHAnsi" w:cstheme="minorHAnsi"/>
                <w:bCs/>
                <w:szCs w:val="24"/>
              </w:rPr>
              <w:t>through PC-POCR</w:t>
            </w:r>
            <w:r w:rsidRPr="00362741">
              <w:rPr>
                <w:rFonts w:asciiTheme="minorHAnsi" w:hAnsiTheme="minorHAnsi" w:cstheme="minorHAnsi"/>
                <w:bCs/>
                <w:szCs w:val="24"/>
              </w:rPr>
              <w:t xml:space="preserve">. These three courses will be submitted to @ONE to begin the process of Porterville College becoming POCR Certified by @ONE. </w:t>
            </w:r>
            <w:r>
              <w:rPr>
                <w:rFonts w:asciiTheme="minorHAnsi" w:hAnsiTheme="minorHAnsi" w:cstheme="minorHAnsi"/>
                <w:bCs/>
                <w:szCs w:val="24"/>
              </w:rPr>
              <w:t>Stable funding to support PC-POCR long-term is still needed and being pursued.</w:t>
            </w:r>
          </w:p>
        </w:tc>
      </w:tr>
    </w:tbl>
    <w:p w14:paraId="53F9F146" w14:textId="4044416C" w:rsidR="00C1129A" w:rsidRPr="003E642F" w:rsidRDefault="00C1129A" w:rsidP="00812C6E">
      <w:pPr>
        <w:rPr>
          <w:rFonts w:asciiTheme="minorHAnsi" w:hAnsiTheme="minorHAnsi" w:cstheme="minorHAnsi"/>
          <w:bCs/>
          <w:szCs w:val="24"/>
        </w:rPr>
      </w:pPr>
    </w:p>
    <w:p w14:paraId="0589E5CD" w14:textId="3948B7D0" w:rsidR="003E642F" w:rsidRDefault="003E642F" w:rsidP="00812C6E">
      <w:pPr>
        <w:rPr>
          <w:rFonts w:asciiTheme="minorHAnsi" w:hAnsiTheme="minorHAnsi" w:cstheme="minorHAnsi"/>
          <w:bCs/>
          <w:i/>
          <w:szCs w:val="24"/>
        </w:rPr>
      </w:pPr>
    </w:p>
    <w:p w14:paraId="31EB771B" w14:textId="041C5D1F"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Program Strengths</w:t>
      </w:r>
    </w:p>
    <w:p w14:paraId="4272C3F4" w14:textId="77777777" w:rsidR="00812C6E" w:rsidRPr="00CF1500" w:rsidRDefault="00812C6E">
      <w:pPr>
        <w:rPr>
          <w:rFonts w:asciiTheme="minorHAnsi" w:hAnsiTheme="minorHAnsi" w:cstheme="minorHAnsi"/>
          <w:szCs w:val="24"/>
        </w:rPr>
      </w:pPr>
    </w:p>
    <w:p w14:paraId="705ACD3B" w14:textId="77777777" w:rsidR="0044392E" w:rsidRPr="0044392E" w:rsidRDefault="0044392E" w:rsidP="0044392E">
      <w:pPr>
        <w:rPr>
          <w:rFonts w:asciiTheme="minorHAnsi" w:hAnsiTheme="minorHAnsi" w:cstheme="minorHAnsi"/>
          <w:szCs w:val="24"/>
        </w:rPr>
      </w:pPr>
      <w:r w:rsidRPr="0044392E">
        <w:rPr>
          <w:rFonts w:asciiTheme="minorHAnsi" w:hAnsiTheme="minorHAnsi" w:cstheme="minorHAnsi"/>
          <w:szCs w:val="24"/>
        </w:rPr>
        <w:t>As the data suggests, the program has made good progress in addressing student success and completion in online courses. This is likely attributable to many things including more support resources for DE students, increasing familiarity of the LMS by both faculty and students, assigning only those faculty with foundational training in DE to DE courses, DE faculty mentors within most divisions (In 2018, five instructors went through a 12-week course, then passed on what they learned in division meetings, and in other ways served as a DE faculty mentor to their colleagues.), an active and supportive DE Committee, and an EMDS with many years of experience in both DE and in the culture of the College.</w:t>
      </w:r>
    </w:p>
    <w:p w14:paraId="66803C8E" w14:textId="77777777" w:rsidR="0044392E" w:rsidRPr="0044392E" w:rsidRDefault="0044392E" w:rsidP="0044392E">
      <w:pPr>
        <w:rPr>
          <w:rFonts w:asciiTheme="minorHAnsi" w:hAnsiTheme="minorHAnsi" w:cstheme="minorHAnsi"/>
          <w:szCs w:val="24"/>
        </w:rPr>
      </w:pPr>
    </w:p>
    <w:p w14:paraId="346B02A9" w14:textId="3DF56450" w:rsidR="00C47B31" w:rsidRPr="00CF1500" w:rsidRDefault="0044392E" w:rsidP="0044392E">
      <w:pPr>
        <w:rPr>
          <w:rFonts w:asciiTheme="minorHAnsi" w:hAnsiTheme="minorHAnsi" w:cstheme="minorHAnsi"/>
          <w:szCs w:val="24"/>
        </w:rPr>
      </w:pPr>
      <w:r w:rsidRPr="0044392E">
        <w:rPr>
          <w:rFonts w:asciiTheme="minorHAnsi" w:hAnsiTheme="minorHAnsi" w:cstheme="minorHAnsi"/>
          <w:szCs w:val="24"/>
        </w:rPr>
        <w:t xml:space="preserve">The EMDS consistently communicates with DE faculty, providing many resources, tips, and workshops to support DE instruction. The EMDS works to stay up-to-date on the latest tools and services available, and takes advantage of many professional growth opportunities throughout each year. The EMDS has been actively involved in state projects, activities, and </w:t>
      </w:r>
      <w:r w:rsidRPr="0044392E">
        <w:rPr>
          <w:rFonts w:asciiTheme="minorHAnsi" w:hAnsiTheme="minorHAnsi" w:cstheme="minorHAnsi"/>
          <w:szCs w:val="24"/>
        </w:rPr>
        <w:lastRenderedPageBreak/>
        <w:t xml:space="preserve">professional organization, which helps to inform the work done at the College. As a co-chair of the DE Committee, the EMDS can both receive and pass along knowledge and insights with this group of </w:t>
      </w:r>
      <w:proofErr w:type="gramStart"/>
      <w:r w:rsidRPr="0044392E">
        <w:rPr>
          <w:rFonts w:asciiTheme="minorHAnsi" w:hAnsiTheme="minorHAnsi" w:cstheme="minorHAnsi"/>
          <w:szCs w:val="24"/>
        </w:rPr>
        <w:t>faculty</w:t>
      </w:r>
      <w:proofErr w:type="gramEnd"/>
      <w:r>
        <w:rPr>
          <w:rFonts w:asciiTheme="minorHAnsi" w:hAnsiTheme="minorHAnsi" w:cstheme="minorHAnsi"/>
          <w:szCs w:val="24"/>
        </w:rPr>
        <w:t>.</w:t>
      </w:r>
    </w:p>
    <w:p w14:paraId="45A2C2B0" w14:textId="77777777" w:rsidR="00812C6E" w:rsidRPr="00CF1500" w:rsidRDefault="00812C6E">
      <w:pPr>
        <w:rPr>
          <w:rFonts w:asciiTheme="minorHAnsi" w:hAnsiTheme="minorHAnsi" w:cstheme="minorHAnsi"/>
          <w:szCs w:val="24"/>
        </w:rPr>
      </w:pPr>
    </w:p>
    <w:p w14:paraId="1013C2FD" w14:textId="77777777"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Areas for Improvement</w:t>
      </w:r>
    </w:p>
    <w:p w14:paraId="612C30B6" w14:textId="77777777" w:rsidR="00812C6E" w:rsidRPr="00CF1500" w:rsidRDefault="00812C6E">
      <w:pPr>
        <w:rPr>
          <w:rFonts w:asciiTheme="minorHAnsi" w:hAnsiTheme="minorHAnsi" w:cstheme="minorHAnsi"/>
          <w:szCs w:val="24"/>
        </w:rPr>
      </w:pPr>
    </w:p>
    <w:p w14:paraId="6D86DCA9" w14:textId="77777777" w:rsidR="0044392E" w:rsidRPr="0044392E" w:rsidRDefault="0044392E" w:rsidP="0044392E">
      <w:pPr>
        <w:rPr>
          <w:rFonts w:asciiTheme="minorHAnsi" w:hAnsiTheme="minorHAnsi" w:cstheme="minorHAnsi"/>
          <w:bCs/>
          <w:szCs w:val="24"/>
        </w:rPr>
      </w:pPr>
      <w:r w:rsidRPr="0044392E">
        <w:rPr>
          <w:rFonts w:asciiTheme="minorHAnsi" w:hAnsiTheme="minorHAnsi" w:cstheme="minorHAnsi"/>
          <w:bCs/>
          <w:szCs w:val="24"/>
        </w:rPr>
        <w:t>The College has clearly made a lot of improvements to its DE Program over the past several years, and yet there is still room for more progress. To begin, a solid foundation would help to ensure that the gains that have been made do not lapse. This foundation could be initiated with a dedicated budget to the DE Program, signaling full institutional support. The financial impact to the program from this is obvious, but just as important but less obvious would be the psychological and emotional impact this would have on those who work in and support the DE Program. This would also mean that energy that was previously spent in trying to find funding for various aspects of DE, could now be put into other DE activities and causes.</w:t>
      </w:r>
    </w:p>
    <w:p w14:paraId="69CC2718" w14:textId="77777777" w:rsidR="0044392E" w:rsidRPr="0044392E" w:rsidRDefault="0044392E" w:rsidP="0044392E">
      <w:pPr>
        <w:rPr>
          <w:rFonts w:asciiTheme="minorHAnsi" w:hAnsiTheme="minorHAnsi" w:cstheme="minorHAnsi"/>
          <w:bCs/>
          <w:szCs w:val="24"/>
        </w:rPr>
      </w:pPr>
    </w:p>
    <w:p w14:paraId="68945221" w14:textId="77777777" w:rsidR="000A1936" w:rsidRDefault="00FA31B4" w:rsidP="0044392E">
      <w:pPr>
        <w:rPr>
          <w:rFonts w:asciiTheme="minorHAnsi" w:hAnsiTheme="minorHAnsi" w:cstheme="minorHAnsi"/>
          <w:bCs/>
          <w:szCs w:val="24"/>
        </w:rPr>
      </w:pPr>
      <w:r>
        <w:rPr>
          <w:rFonts w:asciiTheme="minorHAnsi" w:hAnsiTheme="minorHAnsi" w:cstheme="minorHAnsi"/>
          <w:bCs/>
          <w:szCs w:val="24"/>
        </w:rPr>
        <w:t xml:space="preserve">Along with a dedicated budget, a solid foundation could be advanced by assigning a new management position to oversee all aspects of the DE Program. Someone holding a management position would be better able to integrate DE across all areas of the campus, they would be a strong advocate for DE, and would be able to </w:t>
      </w:r>
      <w:proofErr w:type="gramStart"/>
      <w:r>
        <w:rPr>
          <w:rFonts w:asciiTheme="minorHAnsi" w:hAnsiTheme="minorHAnsi" w:cstheme="minorHAnsi"/>
          <w:bCs/>
          <w:szCs w:val="24"/>
        </w:rPr>
        <w:t>take action</w:t>
      </w:r>
      <w:proofErr w:type="gramEnd"/>
      <w:r>
        <w:rPr>
          <w:rFonts w:asciiTheme="minorHAnsi" w:hAnsiTheme="minorHAnsi" w:cstheme="minorHAnsi"/>
          <w:bCs/>
          <w:szCs w:val="24"/>
        </w:rPr>
        <w:t xml:space="preserve"> much more quickly on various aspects of work that otherwise take a longer more circuitous route to completion. </w:t>
      </w:r>
    </w:p>
    <w:p w14:paraId="650ABAE7" w14:textId="77777777" w:rsidR="000A1936" w:rsidRDefault="000A1936" w:rsidP="0044392E">
      <w:pPr>
        <w:rPr>
          <w:rFonts w:asciiTheme="minorHAnsi" w:hAnsiTheme="minorHAnsi" w:cstheme="minorHAnsi"/>
          <w:bCs/>
          <w:szCs w:val="24"/>
        </w:rPr>
      </w:pPr>
    </w:p>
    <w:p w14:paraId="1578845E" w14:textId="40A0390F" w:rsidR="00295461" w:rsidRPr="0082087A" w:rsidRDefault="000A1936" w:rsidP="00C1129A">
      <w:pPr>
        <w:rPr>
          <w:rFonts w:asciiTheme="minorHAnsi" w:hAnsiTheme="minorHAnsi" w:cstheme="minorHAnsi"/>
          <w:bCs/>
          <w:szCs w:val="24"/>
        </w:rPr>
      </w:pPr>
      <w:r>
        <w:rPr>
          <w:rFonts w:asciiTheme="minorHAnsi" w:hAnsiTheme="minorHAnsi" w:cstheme="minorHAnsi"/>
          <w:bCs/>
          <w:szCs w:val="24"/>
        </w:rPr>
        <w:t>To complement the management aspect of the DE Program, it would be beneficial to have a position that was focused entirely on support and training for faculty. Faculty report that they want more training opportunities</w:t>
      </w:r>
      <w:r w:rsidR="00980D2E">
        <w:rPr>
          <w:rFonts w:asciiTheme="minorHAnsi" w:hAnsiTheme="minorHAnsi" w:cstheme="minorHAnsi"/>
          <w:bCs/>
          <w:szCs w:val="24"/>
        </w:rPr>
        <w:t>. In addition,</w:t>
      </w:r>
      <w:r>
        <w:rPr>
          <w:rFonts w:asciiTheme="minorHAnsi" w:hAnsiTheme="minorHAnsi" w:cstheme="minorHAnsi"/>
          <w:bCs/>
          <w:szCs w:val="24"/>
        </w:rPr>
        <w:t xml:space="preserve"> the need for transitioning courses to full rubric alignment </w:t>
      </w:r>
      <w:r w:rsidR="00980D2E">
        <w:rPr>
          <w:rFonts w:asciiTheme="minorHAnsi" w:hAnsiTheme="minorHAnsi" w:cstheme="minorHAnsi"/>
          <w:bCs/>
          <w:szCs w:val="24"/>
        </w:rPr>
        <w:t>justifies a</w:t>
      </w:r>
      <w:r>
        <w:rPr>
          <w:rFonts w:asciiTheme="minorHAnsi" w:hAnsiTheme="minorHAnsi" w:cstheme="minorHAnsi"/>
          <w:bCs/>
          <w:szCs w:val="24"/>
        </w:rPr>
        <w:t xml:space="preserve"> position </w:t>
      </w:r>
      <w:r w:rsidR="00980D2E">
        <w:rPr>
          <w:rFonts w:asciiTheme="minorHAnsi" w:hAnsiTheme="minorHAnsi" w:cstheme="minorHAnsi"/>
          <w:bCs/>
          <w:szCs w:val="24"/>
        </w:rPr>
        <w:t xml:space="preserve">that would </w:t>
      </w:r>
      <w:r>
        <w:rPr>
          <w:rFonts w:asciiTheme="minorHAnsi" w:hAnsiTheme="minorHAnsi" w:cstheme="minorHAnsi"/>
          <w:bCs/>
          <w:szCs w:val="24"/>
        </w:rPr>
        <w:t>provide that instructional design and support. We know that the</w:t>
      </w:r>
      <w:r w:rsidR="0044392E" w:rsidRPr="0044392E">
        <w:rPr>
          <w:rFonts w:asciiTheme="minorHAnsi" w:hAnsiTheme="minorHAnsi" w:cstheme="minorHAnsi"/>
          <w:bCs/>
          <w:szCs w:val="24"/>
        </w:rPr>
        <w:t xml:space="preserve"> College has worked hard on implementing its PC-POCR program. This is not only an important element in advancing equity, inclusion, accessibility, and student success, but it also is a required aspect of the College’s membership in the CVC-OEI Consortium. Currently, the college has just five courses aligned to the rubric. To get more involvement from faculty, </w:t>
      </w:r>
      <w:r>
        <w:rPr>
          <w:rFonts w:asciiTheme="minorHAnsi" w:hAnsiTheme="minorHAnsi" w:cstheme="minorHAnsi"/>
          <w:bCs/>
          <w:szCs w:val="24"/>
        </w:rPr>
        <w:t xml:space="preserve">they will need both instructional design support as well as </w:t>
      </w:r>
      <w:r w:rsidR="0044392E" w:rsidRPr="0044392E">
        <w:rPr>
          <w:rFonts w:asciiTheme="minorHAnsi" w:hAnsiTheme="minorHAnsi" w:cstheme="minorHAnsi"/>
          <w:bCs/>
          <w:szCs w:val="24"/>
        </w:rPr>
        <w:t>compensation for the work</w:t>
      </w:r>
      <w:r>
        <w:rPr>
          <w:rFonts w:asciiTheme="minorHAnsi" w:hAnsiTheme="minorHAnsi" w:cstheme="minorHAnsi"/>
          <w:bCs/>
          <w:szCs w:val="24"/>
        </w:rPr>
        <w:t xml:space="preserve"> that it will entail</w:t>
      </w:r>
      <w:r w:rsidR="0044392E" w:rsidRPr="0044392E">
        <w:rPr>
          <w:rFonts w:asciiTheme="minorHAnsi" w:hAnsiTheme="minorHAnsi" w:cstheme="minorHAnsi"/>
          <w:bCs/>
          <w:szCs w:val="24"/>
        </w:rPr>
        <w:t xml:space="preserve">. </w:t>
      </w:r>
      <w:r>
        <w:rPr>
          <w:rFonts w:asciiTheme="minorHAnsi" w:hAnsiTheme="minorHAnsi" w:cstheme="minorHAnsi"/>
          <w:bCs/>
          <w:szCs w:val="24"/>
        </w:rPr>
        <w:t>Here, again, is where a</w:t>
      </w:r>
      <w:r w:rsidR="0044392E" w:rsidRPr="0044392E">
        <w:rPr>
          <w:rFonts w:asciiTheme="minorHAnsi" w:hAnsiTheme="minorHAnsi" w:cstheme="minorHAnsi"/>
          <w:bCs/>
          <w:szCs w:val="24"/>
        </w:rPr>
        <w:t xml:space="preserve"> dedicated budget</w:t>
      </w:r>
      <w:r>
        <w:rPr>
          <w:rFonts w:asciiTheme="minorHAnsi" w:hAnsiTheme="minorHAnsi" w:cstheme="minorHAnsi"/>
          <w:bCs/>
          <w:szCs w:val="24"/>
        </w:rPr>
        <w:t xml:space="preserve"> would be helpful in moving this goal forward more quickly</w:t>
      </w:r>
      <w:r w:rsidR="0044392E" w:rsidRPr="0044392E">
        <w:rPr>
          <w:rFonts w:asciiTheme="minorHAnsi" w:hAnsiTheme="minorHAnsi" w:cstheme="minorHAnsi"/>
          <w:bCs/>
          <w:szCs w:val="24"/>
        </w:rPr>
        <w:t>.</w:t>
      </w:r>
    </w:p>
    <w:p w14:paraId="5EAFA7A9" w14:textId="55F742F2" w:rsidR="00295461" w:rsidRDefault="00295461" w:rsidP="00C1129A">
      <w:pPr>
        <w:rPr>
          <w:rFonts w:asciiTheme="minorHAnsi" w:hAnsiTheme="minorHAnsi" w:cstheme="minorHAnsi"/>
          <w:szCs w:val="24"/>
        </w:rPr>
      </w:pPr>
    </w:p>
    <w:p w14:paraId="4D512E30" w14:textId="77777777" w:rsidR="00CE6184" w:rsidRDefault="00CE6184" w:rsidP="00C1129A">
      <w:pPr>
        <w:rPr>
          <w:rFonts w:asciiTheme="minorHAnsi" w:hAnsiTheme="minorHAnsi" w:cstheme="minorHAnsi"/>
          <w:szCs w:val="24"/>
        </w:rPr>
        <w:sectPr w:rsidR="00CE6184">
          <w:headerReference w:type="default" r:id="rId8"/>
          <w:footerReference w:type="default" r:id="rId9"/>
          <w:pgSz w:w="12240" w:h="15840"/>
          <w:pgMar w:top="1440" w:right="1440" w:bottom="1440" w:left="1440" w:header="720" w:footer="720" w:gutter="0"/>
          <w:cols w:space="720"/>
          <w:docGrid w:linePitch="360"/>
        </w:sectPr>
      </w:pPr>
    </w:p>
    <w:p w14:paraId="09D0319B" w14:textId="613107DF" w:rsidR="00295461" w:rsidRDefault="00295461" w:rsidP="00C1129A">
      <w:pPr>
        <w:rPr>
          <w:rFonts w:asciiTheme="minorHAnsi" w:hAnsiTheme="minorHAnsi" w:cstheme="minorHAnsi"/>
          <w:szCs w:val="24"/>
        </w:rPr>
      </w:pPr>
    </w:p>
    <w:p w14:paraId="3107EDF9" w14:textId="2A7CE47B" w:rsidR="00CE6184" w:rsidRDefault="00CE6184" w:rsidP="00C1129A">
      <w:pPr>
        <w:rPr>
          <w:rFonts w:asciiTheme="minorHAnsi" w:hAnsiTheme="minorHAnsi" w:cstheme="minorHAnsi"/>
          <w:szCs w:val="24"/>
        </w:rPr>
      </w:pPr>
    </w:p>
    <w:p w14:paraId="21EE7974" w14:textId="090056C1" w:rsidR="00706A72" w:rsidRPr="00CF1500" w:rsidRDefault="00706A72" w:rsidP="00FC1351">
      <w:pPr>
        <w:rPr>
          <w:rFonts w:asciiTheme="minorHAnsi" w:hAnsiTheme="minorHAnsi" w:cstheme="minorHAnsi"/>
          <w:szCs w:val="24"/>
        </w:rPr>
      </w:pPr>
      <w:r w:rsidRPr="00CF1500">
        <w:rPr>
          <w:rFonts w:asciiTheme="minorHAnsi" w:hAnsiTheme="minorHAnsi" w:cstheme="minorHAnsi"/>
          <w:b/>
          <w:bCs/>
          <w:szCs w:val="24"/>
          <w:u w:val="single"/>
        </w:rPr>
        <w:t>Goals</w:t>
      </w:r>
      <w:r w:rsidRPr="00CF1500">
        <w:rPr>
          <w:rFonts w:asciiTheme="minorHAnsi" w:hAnsiTheme="minorHAnsi" w:cstheme="minorHAnsi"/>
          <w:szCs w:val="24"/>
        </w:rPr>
        <w:t xml:space="preserve"> </w:t>
      </w:r>
    </w:p>
    <w:p w14:paraId="54B61E8C" w14:textId="77777777" w:rsidR="00706A72" w:rsidRPr="00CF1500" w:rsidRDefault="00706A72" w:rsidP="00706A72">
      <w:pPr>
        <w:rPr>
          <w:rFonts w:asciiTheme="minorHAnsi" w:hAnsiTheme="minorHAnsi" w:cstheme="minorHAnsi"/>
          <w:szCs w:val="24"/>
        </w:rPr>
      </w:pPr>
    </w:p>
    <w:p w14:paraId="69BEBEAB" w14:textId="77777777" w:rsidR="00706A72" w:rsidRPr="00CF1500" w:rsidRDefault="00706A72" w:rsidP="00706A72">
      <w:pPr>
        <w:rPr>
          <w:rFonts w:asciiTheme="minorHAnsi" w:hAnsiTheme="minorHAnsi" w:cstheme="minorHAnsi"/>
          <w:szCs w:val="24"/>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25"/>
        <w:gridCol w:w="1553"/>
        <w:gridCol w:w="1850"/>
        <w:gridCol w:w="1879"/>
        <w:gridCol w:w="1801"/>
        <w:gridCol w:w="1555"/>
      </w:tblGrid>
      <w:tr w:rsidR="00706A72" w:rsidRPr="00CF1500" w14:paraId="7CFBCA48" w14:textId="77777777" w:rsidTr="00D548D2">
        <w:trPr>
          <w:cantSplit/>
          <w:tblHeader/>
        </w:trPr>
        <w:tc>
          <w:tcPr>
            <w:tcW w:w="2987" w:type="dxa"/>
          </w:tcPr>
          <w:p w14:paraId="55A58FD8" w14:textId="77777777" w:rsidR="00706A72" w:rsidRPr="00CF1500" w:rsidRDefault="00706A72" w:rsidP="00DA5CAC">
            <w:pPr>
              <w:jc w:val="center"/>
              <w:rPr>
                <w:rFonts w:asciiTheme="minorHAnsi" w:hAnsiTheme="minorHAnsi" w:cstheme="minorHAnsi"/>
                <w:szCs w:val="24"/>
              </w:rPr>
            </w:pPr>
            <w:r w:rsidRPr="00CF1500">
              <w:rPr>
                <w:rFonts w:asciiTheme="minorHAnsi" w:hAnsiTheme="minorHAnsi" w:cstheme="minorHAnsi"/>
                <w:szCs w:val="24"/>
              </w:rPr>
              <w:t>Goal(s)</w:t>
            </w:r>
          </w:p>
        </w:tc>
        <w:tc>
          <w:tcPr>
            <w:tcW w:w="1325" w:type="dxa"/>
          </w:tcPr>
          <w:p w14:paraId="4B8C369F" w14:textId="77777777" w:rsidR="00706A72" w:rsidRPr="00CF1500" w:rsidRDefault="00706A72" w:rsidP="00DA5CAC">
            <w:pPr>
              <w:jc w:val="center"/>
              <w:rPr>
                <w:rFonts w:asciiTheme="minorHAnsi" w:hAnsiTheme="minorHAnsi" w:cstheme="minorBidi"/>
                <w:color w:val="C00000"/>
              </w:rPr>
            </w:pPr>
            <w:r>
              <w:rPr>
                <w:rFonts w:asciiTheme="minorHAnsi" w:hAnsiTheme="minorHAnsi" w:cstheme="minorBidi"/>
              </w:rPr>
              <w:t>T</w:t>
            </w:r>
            <w:r w:rsidRPr="6069D765">
              <w:rPr>
                <w:rFonts w:asciiTheme="minorHAnsi" w:hAnsiTheme="minorHAnsi" w:cstheme="minorBidi"/>
              </w:rPr>
              <w:t>imeline for completion</w:t>
            </w:r>
          </w:p>
        </w:tc>
        <w:tc>
          <w:tcPr>
            <w:tcW w:w="1553" w:type="dxa"/>
          </w:tcPr>
          <w:p w14:paraId="5D1853D7" w14:textId="77777777" w:rsidR="00706A72" w:rsidRPr="00CF1500" w:rsidRDefault="00706A72" w:rsidP="00DA5CAC">
            <w:pPr>
              <w:jc w:val="center"/>
              <w:rPr>
                <w:rFonts w:asciiTheme="minorHAnsi" w:hAnsiTheme="minorHAnsi" w:cstheme="minorHAnsi"/>
                <w:szCs w:val="24"/>
              </w:rPr>
            </w:pPr>
            <w:r w:rsidRPr="00CF1500">
              <w:rPr>
                <w:rFonts w:asciiTheme="minorHAnsi" w:hAnsiTheme="minorHAnsi" w:cstheme="minorHAnsi"/>
                <w:szCs w:val="24"/>
              </w:rPr>
              <w:t>Needed resources</w:t>
            </w:r>
          </w:p>
        </w:tc>
        <w:tc>
          <w:tcPr>
            <w:tcW w:w="1850" w:type="dxa"/>
          </w:tcPr>
          <w:p w14:paraId="09555665" w14:textId="77777777" w:rsidR="00706A72" w:rsidRPr="00CF1500" w:rsidRDefault="00706A72" w:rsidP="00DA5CAC">
            <w:pPr>
              <w:jc w:val="center"/>
              <w:rPr>
                <w:rFonts w:asciiTheme="minorHAnsi" w:hAnsiTheme="minorHAnsi" w:cstheme="minorHAnsi"/>
                <w:szCs w:val="24"/>
              </w:rPr>
            </w:pPr>
            <w:r w:rsidRPr="00CF1500">
              <w:rPr>
                <w:rFonts w:asciiTheme="minorHAnsi" w:hAnsiTheme="minorHAnsi" w:cstheme="minorHAnsi"/>
                <w:szCs w:val="24"/>
              </w:rPr>
              <w:t>Person(s) Responsible</w:t>
            </w:r>
          </w:p>
        </w:tc>
        <w:tc>
          <w:tcPr>
            <w:tcW w:w="1879" w:type="dxa"/>
          </w:tcPr>
          <w:p w14:paraId="29E01AC3" w14:textId="77777777" w:rsidR="00706A72" w:rsidRPr="00CF1500" w:rsidRDefault="00706A72" w:rsidP="00DA5CAC">
            <w:pPr>
              <w:jc w:val="center"/>
              <w:rPr>
                <w:rFonts w:asciiTheme="minorHAnsi" w:hAnsiTheme="minorHAnsi" w:cstheme="minorHAnsi"/>
                <w:szCs w:val="24"/>
              </w:rPr>
            </w:pPr>
            <w:r w:rsidRPr="00CF1500">
              <w:rPr>
                <w:rFonts w:asciiTheme="minorHAnsi" w:hAnsiTheme="minorHAnsi" w:cstheme="minorHAnsi"/>
                <w:szCs w:val="24"/>
              </w:rPr>
              <w:t>Obstacles to completion (if any)</w:t>
            </w:r>
          </w:p>
        </w:tc>
        <w:tc>
          <w:tcPr>
            <w:tcW w:w="1801" w:type="dxa"/>
          </w:tcPr>
          <w:p w14:paraId="156F7BEA" w14:textId="77777777" w:rsidR="00706A72" w:rsidRPr="004B3A29" w:rsidRDefault="00706A72" w:rsidP="00DA5CAC">
            <w:pPr>
              <w:jc w:val="center"/>
              <w:rPr>
                <w:rFonts w:asciiTheme="minorHAnsi" w:hAnsiTheme="minorHAnsi" w:cstheme="minorHAnsi"/>
                <w:szCs w:val="24"/>
              </w:rPr>
            </w:pPr>
            <w:r w:rsidRPr="004B3A29">
              <w:rPr>
                <w:rFonts w:asciiTheme="minorHAnsi" w:hAnsiTheme="minorHAnsi" w:cstheme="minorHAnsi"/>
                <w:szCs w:val="24"/>
              </w:rPr>
              <w:t>Mission Statement</w:t>
            </w:r>
          </w:p>
        </w:tc>
        <w:tc>
          <w:tcPr>
            <w:tcW w:w="1555" w:type="dxa"/>
          </w:tcPr>
          <w:p w14:paraId="70F18803" w14:textId="77777777" w:rsidR="00706A72" w:rsidRPr="004B3A29" w:rsidRDefault="00706A72" w:rsidP="00DA5CAC">
            <w:pPr>
              <w:jc w:val="center"/>
              <w:rPr>
                <w:rFonts w:asciiTheme="minorHAnsi" w:hAnsiTheme="minorHAnsi" w:cstheme="minorHAnsi"/>
                <w:szCs w:val="24"/>
              </w:rPr>
            </w:pPr>
            <w:r>
              <w:rPr>
                <w:rFonts w:asciiTheme="minorHAnsi" w:hAnsiTheme="minorHAnsi" w:cstheme="minorHAnsi"/>
                <w:szCs w:val="24"/>
              </w:rPr>
              <w:t>Guided Pathways Pillars</w:t>
            </w:r>
          </w:p>
        </w:tc>
      </w:tr>
      <w:tr w:rsidR="00706A72" w:rsidRPr="00CF1500" w14:paraId="5BC1B734" w14:textId="77777777" w:rsidTr="00DA5CAC">
        <w:tc>
          <w:tcPr>
            <w:tcW w:w="2987" w:type="dxa"/>
          </w:tcPr>
          <w:p w14:paraId="33FF34A8" w14:textId="2935231A" w:rsidR="00706A72" w:rsidRDefault="00706A72" w:rsidP="00DA5CAC">
            <w:pPr>
              <w:rPr>
                <w:rFonts w:asciiTheme="minorHAnsi" w:hAnsiTheme="minorHAnsi" w:cstheme="minorHAnsi"/>
                <w:szCs w:val="24"/>
              </w:rPr>
            </w:pPr>
            <w:r w:rsidRPr="00CF1500">
              <w:rPr>
                <w:rFonts w:asciiTheme="minorHAnsi" w:hAnsiTheme="minorHAnsi" w:cstheme="minorHAnsi"/>
                <w:szCs w:val="24"/>
              </w:rPr>
              <w:t xml:space="preserve">1.  </w:t>
            </w:r>
            <w:r w:rsidR="00EF1B83">
              <w:rPr>
                <w:rFonts w:asciiTheme="minorHAnsi" w:hAnsiTheme="minorHAnsi" w:cstheme="minorHAnsi"/>
                <w:szCs w:val="24"/>
              </w:rPr>
              <w:t xml:space="preserve">Increase the number of fully-online courses aligned to the CVC-OEI online course design rubric, to 20% of the total unique courses offered in an average year. </w:t>
            </w:r>
          </w:p>
          <w:p w14:paraId="6093DDE8" w14:textId="77777777" w:rsidR="00706A72" w:rsidRPr="00CF1500" w:rsidRDefault="00706A72" w:rsidP="00DA5CAC">
            <w:pPr>
              <w:rPr>
                <w:rFonts w:asciiTheme="minorHAnsi" w:hAnsiTheme="minorHAnsi" w:cstheme="minorHAnsi"/>
                <w:szCs w:val="24"/>
              </w:rPr>
            </w:pPr>
          </w:p>
        </w:tc>
        <w:tc>
          <w:tcPr>
            <w:tcW w:w="1325" w:type="dxa"/>
          </w:tcPr>
          <w:p w14:paraId="23B4F50F" w14:textId="16C20778" w:rsidR="00706A72" w:rsidRPr="00CF1500" w:rsidRDefault="00EF1B83" w:rsidP="00DA5CAC">
            <w:pPr>
              <w:rPr>
                <w:rFonts w:asciiTheme="minorHAnsi" w:hAnsiTheme="minorHAnsi" w:cstheme="minorHAnsi"/>
                <w:szCs w:val="24"/>
              </w:rPr>
            </w:pPr>
            <w:r>
              <w:rPr>
                <w:rFonts w:asciiTheme="minorHAnsi" w:hAnsiTheme="minorHAnsi" w:cstheme="minorHAnsi"/>
                <w:szCs w:val="24"/>
              </w:rPr>
              <w:t>Fall 2024</w:t>
            </w:r>
          </w:p>
        </w:tc>
        <w:tc>
          <w:tcPr>
            <w:tcW w:w="1553" w:type="dxa"/>
          </w:tcPr>
          <w:p w14:paraId="702A09E0" w14:textId="2F08DE5C" w:rsidR="00706A72" w:rsidRPr="00CF1500" w:rsidRDefault="00EF1B83" w:rsidP="00DA5CAC">
            <w:pPr>
              <w:rPr>
                <w:rFonts w:asciiTheme="minorHAnsi" w:hAnsiTheme="minorHAnsi" w:cstheme="minorHAnsi"/>
                <w:szCs w:val="24"/>
              </w:rPr>
            </w:pPr>
            <w:r>
              <w:rPr>
                <w:rFonts w:asciiTheme="minorHAnsi" w:hAnsiTheme="minorHAnsi" w:cstheme="minorHAnsi"/>
                <w:szCs w:val="24"/>
              </w:rPr>
              <w:t>Funding for stipends and/or release time</w:t>
            </w:r>
          </w:p>
        </w:tc>
        <w:tc>
          <w:tcPr>
            <w:tcW w:w="1850" w:type="dxa"/>
          </w:tcPr>
          <w:p w14:paraId="17C9D6E1" w14:textId="7457728A" w:rsidR="00706A72" w:rsidRPr="00CF1500" w:rsidRDefault="00CE3C02" w:rsidP="00DA5CAC">
            <w:pPr>
              <w:rPr>
                <w:rFonts w:asciiTheme="minorHAnsi" w:hAnsiTheme="minorHAnsi" w:cstheme="minorHAnsi"/>
                <w:szCs w:val="24"/>
              </w:rPr>
            </w:pPr>
            <w:r>
              <w:rPr>
                <w:rFonts w:asciiTheme="minorHAnsi" w:hAnsiTheme="minorHAnsi" w:cstheme="minorHAnsi"/>
                <w:szCs w:val="24"/>
              </w:rPr>
              <w:t>DE Committee</w:t>
            </w:r>
          </w:p>
        </w:tc>
        <w:tc>
          <w:tcPr>
            <w:tcW w:w="1879" w:type="dxa"/>
          </w:tcPr>
          <w:p w14:paraId="35453CFF" w14:textId="6DC35A24" w:rsidR="00706A72" w:rsidRPr="00CF1500" w:rsidRDefault="00EF1B83" w:rsidP="00DA5CAC">
            <w:pPr>
              <w:rPr>
                <w:rFonts w:asciiTheme="minorHAnsi" w:hAnsiTheme="minorHAnsi" w:cstheme="minorHAnsi"/>
                <w:szCs w:val="24"/>
              </w:rPr>
            </w:pPr>
            <w:r>
              <w:rPr>
                <w:rFonts w:asciiTheme="minorHAnsi" w:hAnsiTheme="minorHAnsi" w:cstheme="minorHAnsi"/>
                <w:szCs w:val="24"/>
              </w:rPr>
              <w:t>Funding to compensate faculty and faculty reviewers.</w:t>
            </w:r>
          </w:p>
        </w:tc>
        <w:tc>
          <w:tcPr>
            <w:tcW w:w="1801" w:type="dxa"/>
          </w:tcPr>
          <w:p w14:paraId="3C41D283" w14:textId="51399236" w:rsidR="00706A72" w:rsidRPr="00AC1B12" w:rsidRDefault="00EF1B83" w:rsidP="00DA5CAC">
            <w:pPr>
              <w:rPr>
                <w:rFonts w:asciiTheme="minorHAnsi" w:hAnsiTheme="minorHAnsi" w:cstheme="minorHAnsi"/>
                <w:szCs w:val="24"/>
              </w:rPr>
            </w:pPr>
            <w:r w:rsidRPr="00AC1B12">
              <w:rPr>
                <w:rFonts w:asciiTheme="minorHAnsi" w:hAnsiTheme="minorHAnsi" w:cstheme="minorHAnsi"/>
                <w:szCs w:val="24"/>
              </w:rPr>
              <w:t>1</w:t>
            </w:r>
          </w:p>
        </w:tc>
        <w:tc>
          <w:tcPr>
            <w:tcW w:w="1555" w:type="dxa"/>
          </w:tcPr>
          <w:p w14:paraId="4435B731" w14:textId="143BB273" w:rsidR="00706A72" w:rsidRPr="00AC1B12" w:rsidRDefault="00EF1B83" w:rsidP="00DA5CAC">
            <w:pPr>
              <w:rPr>
                <w:rFonts w:asciiTheme="minorHAnsi" w:hAnsiTheme="minorHAnsi" w:cstheme="minorHAnsi"/>
                <w:szCs w:val="24"/>
              </w:rPr>
            </w:pPr>
            <w:r w:rsidRPr="00AC1B12">
              <w:rPr>
                <w:rFonts w:asciiTheme="minorHAnsi" w:hAnsiTheme="minorHAnsi" w:cstheme="minorHAnsi"/>
                <w:szCs w:val="24"/>
              </w:rPr>
              <w:t>4</w:t>
            </w:r>
          </w:p>
        </w:tc>
      </w:tr>
      <w:tr w:rsidR="00706A72" w14:paraId="2A9ACBF8" w14:textId="77777777" w:rsidTr="00DA5CAC">
        <w:tc>
          <w:tcPr>
            <w:tcW w:w="2987" w:type="dxa"/>
          </w:tcPr>
          <w:p w14:paraId="319E2F04" w14:textId="404E69B4" w:rsidR="00706A72" w:rsidRDefault="00706A72" w:rsidP="00DA5CAC">
            <w:pPr>
              <w:rPr>
                <w:szCs w:val="24"/>
              </w:rPr>
            </w:pPr>
            <w:r w:rsidRPr="6E8BC361">
              <w:rPr>
                <w:szCs w:val="24"/>
              </w:rPr>
              <w:t>2.</w:t>
            </w:r>
            <w:r w:rsidR="00B15D8F">
              <w:rPr>
                <w:szCs w:val="24"/>
              </w:rPr>
              <w:t xml:space="preserve"> </w:t>
            </w:r>
            <w:r w:rsidR="00355A52" w:rsidRPr="00355A52">
              <w:rPr>
                <w:rFonts w:asciiTheme="minorHAnsi" w:hAnsiTheme="minorHAnsi" w:cstheme="minorHAnsi"/>
                <w:szCs w:val="24"/>
              </w:rPr>
              <w:t xml:space="preserve">Survey online, hybrid, and </w:t>
            </w:r>
            <w:proofErr w:type="spellStart"/>
            <w:r w:rsidR="00355A52" w:rsidRPr="00355A52">
              <w:rPr>
                <w:rFonts w:asciiTheme="minorHAnsi" w:hAnsiTheme="minorHAnsi" w:cstheme="minorHAnsi"/>
                <w:szCs w:val="24"/>
              </w:rPr>
              <w:t>hyflex</w:t>
            </w:r>
            <w:proofErr w:type="spellEnd"/>
            <w:r w:rsidR="00355A52" w:rsidRPr="00355A52">
              <w:rPr>
                <w:rFonts w:asciiTheme="minorHAnsi" w:hAnsiTheme="minorHAnsi" w:cstheme="minorHAnsi"/>
                <w:szCs w:val="24"/>
              </w:rPr>
              <w:t xml:space="preserve"> students for SAO #2.</w:t>
            </w:r>
          </w:p>
          <w:p w14:paraId="3C09E765" w14:textId="77777777" w:rsidR="00706A72" w:rsidRDefault="00706A72" w:rsidP="00DA5CAC">
            <w:pPr>
              <w:rPr>
                <w:szCs w:val="24"/>
              </w:rPr>
            </w:pPr>
          </w:p>
        </w:tc>
        <w:tc>
          <w:tcPr>
            <w:tcW w:w="1325" w:type="dxa"/>
          </w:tcPr>
          <w:p w14:paraId="62FEDB9D" w14:textId="071196A2" w:rsidR="00706A72" w:rsidRPr="00355A52" w:rsidRDefault="00355A52" w:rsidP="00DA5CAC">
            <w:pPr>
              <w:rPr>
                <w:rFonts w:asciiTheme="minorHAnsi" w:hAnsiTheme="minorHAnsi" w:cstheme="minorHAnsi"/>
                <w:szCs w:val="24"/>
              </w:rPr>
            </w:pPr>
            <w:r>
              <w:rPr>
                <w:rFonts w:asciiTheme="minorHAnsi" w:hAnsiTheme="minorHAnsi" w:cstheme="minorHAnsi"/>
                <w:szCs w:val="24"/>
              </w:rPr>
              <w:t>Spring 2023</w:t>
            </w:r>
          </w:p>
        </w:tc>
        <w:tc>
          <w:tcPr>
            <w:tcW w:w="1553" w:type="dxa"/>
          </w:tcPr>
          <w:p w14:paraId="663C12A4" w14:textId="77777777" w:rsidR="00706A72" w:rsidRPr="00355A52" w:rsidRDefault="00706A72" w:rsidP="00DA5CAC">
            <w:pPr>
              <w:rPr>
                <w:rFonts w:asciiTheme="minorHAnsi" w:hAnsiTheme="minorHAnsi" w:cstheme="minorHAnsi"/>
                <w:szCs w:val="24"/>
              </w:rPr>
            </w:pPr>
          </w:p>
        </w:tc>
        <w:tc>
          <w:tcPr>
            <w:tcW w:w="1850" w:type="dxa"/>
          </w:tcPr>
          <w:p w14:paraId="29A3FA0B" w14:textId="1254DD52" w:rsidR="00706A72" w:rsidRPr="00355A52" w:rsidRDefault="00355A52" w:rsidP="00DA5CAC">
            <w:pPr>
              <w:rPr>
                <w:rFonts w:asciiTheme="minorHAnsi" w:hAnsiTheme="minorHAnsi" w:cstheme="minorHAnsi"/>
                <w:szCs w:val="24"/>
              </w:rPr>
            </w:pPr>
            <w:r w:rsidRPr="00355A52">
              <w:rPr>
                <w:rFonts w:asciiTheme="minorHAnsi" w:hAnsiTheme="minorHAnsi" w:cstheme="minorHAnsi"/>
                <w:szCs w:val="24"/>
              </w:rPr>
              <w:t xml:space="preserve">DE </w:t>
            </w:r>
            <w:r>
              <w:rPr>
                <w:rFonts w:asciiTheme="minorHAnsi" w:hAnsiTheme="minorHAnsi" w:cstheme="minorHAnsi"/>
                <w:szCs w:val="24"/>
              </w:rPr>
              <w:t>Coordinator</w:t>
            </w:r>
          </w:p>
        </w:tc>
        <w:tc>
          <w:tcPr>
            <w:tcW w:w="1879" w:type="dxa"/>
          </w:tcPr>
          <w:p w14:paraId="12BC3105" w14:textId="77777777" w:rsidR="00706A72" w:rsidRPr="00355A52" w:rsidRDefault="00706A72" w:rsidP="00DA5CAC">
            <w:pPr>
              <w:rPr>
                <w:rFonts w:asciiTheme="minorHAnsi" w:hAnsiTheme="minorHAnsi" w:cstheme="minorHAnsi"/>
                <w:szCs w:val="24"/>
              </w:rPr>
            </w:pPr>
          </w:p>
        </w:tc>
        <w:tc>
          <w:tcPr>
            <w:tcW w:w="1801" w:type="dxa"/>
          </w:tcPr>
          <w:p w14:paraId="58B1490F" w14:textId="39EE88DB" w:rsidR="00706A72" w:rsidRPr="00355A52" w:rsidRDefault="00AC1B12" w:rsidP="00DA5CAC">
            <w:pPr>
              <w:rPr>
                <w:rFonts w:asciiTheme="minorHAnsi" w:hAnsiTheme="minorHAnsi" w:cstheme="minorHAnsi"/>
                <w:szCs w:val="24"/>
              </w:rPr>
            </w:pPr>
            <w:r>
              <w:rPr>
                <w:rFonts w:asciiTheme="minorHAnsi" w:hAnsiTheme="minorHAnsi" w:cstheme="minorHAnsi"/>
                <w:szCs w:val="24"/>
              </w:rPr>
              <w:t>1</w:t>
            </w:r>
          </w:p>
        </w:tc>
        <w:tc>
          <w:tcPr>
            <w:tcW w:w="1555" w:type="dxa"/>
          </w:tcPr>
          <w:p w14:paraId="244C9FCA" w14:textId="0F051D4B" w:rsidR="00706A72" w:rsidRPr="00355A52" w:rsidRDefault="00AC1B12" w:rsidP="00DA5CAC">
            <w:pPr>
              <w:rPr>
                <w:rFonts w:asciiTheme="minorHAnsi" w:hAnsiTheme="minorHAnsi" w:cstheme="minorHAnsi"/>
                <w:szCs w:val="24"/>
              </w:rPr>
            </w:pPr>
            <w:r>
              <w:rPr>
                <w:rFonts w:asciiTheme="minorHAnsi" w:hAnsiTheme="minorHAnsi" w:cstheme="minorHAnsi"/>
                <w:szCs w:val="24"/>
              </w:rPr>
              <w:t>3</w:t>
            </w:r>
          </w:p>
        </w:tc>
      </w:tr>
    </w:tbl>
    <w:p w14:paraId="334219D2" w14:textId="77777777" w:rsidR="00706A72" w:rsidRPr="00CF1500" w:rsidRDefault="00706A72" w:rsidP="00706A72">
      <w:pPr>
        <w:rPr>
          <w:rFonts w:asciiTheme="minorHAnsi" w:hAnsiTheme="minorHAnsi" w:cstheme="minorHAnsi"/>
          <w:szCs w:val="24"/>
        </w:rPr>
      </w:pPr>
    </w:p>
    <w:p w14:paraId="09E55A79" w14:textId="77777777" w:rsidR="00706A72" w:rsidRPr="00CF1500" w:rsidRDefault="00706A72" w:rsidP="00706A72">
      <w:pPr>
        <w:rPr>
          <w:rFonts w:asciiTheme="minorHAnsi" w:hAnsiTheme="minorHAnsi" w:cstheme="minorHAnsi"/>
          <w:szCs w:val="24"/>
        </w:rPr>
      </w:pPr>
    </w:p>
    <w:p w14:paraId="3ECC7B85" w14:textId="77777777" w:rsidR="00706A72" w:rsidRDefault="00706A72" w:rsidP="00706A72">
      <w:pPr>
        <w:rPr>
          <w:rFonts w:asciiTheme="minorHAnsi" w:hAnsiTheme="minorHAnsi" w:cstheme="minorHAnsi"/>
          <w:szCs w:val="24"/>
        </w:rPr>
      </w:pPr>
    </w:p>
    <w:p w14:paraId="45AB738F" w14:textId="77777777" w:rsidR="00706A72" w:rsidRDefault="00706A72" w:rsidP="00706A72">
      <w:pPr>
        <w:rPr>
          <w:rFonts w:asciiTheme="minorHAnsi" w:hAnsiTheme="minorHAnsi" w:cstheme="minorHAnsi"/>
          <w:szCs w:val="24"/>
        </w:rPr>
      </w:pPr>
    </w:p>
    <w:p w14:paraId="5D7D1169" w14:textId="77777777" w:rsidR="00706A72" w:rsidRDefault="00706A72" w:rsidP="00706A72">
      <w:pPr>
        <w:rPr>
          <w:rFonts w:asciiTheme="minorHAnsi" w:hAnsiTheme="minorHAnsi" w:cstheme="minorHAnsi"/>
          <w:szCs w:val="24"/>
        </w:rPr>
      </w:pPr>
    </w:p>
    <w:p w14:paraId="53D72A74" w14:textId="77777777" w:rsidR="00877DE4" w:rsidRDefault="00877DE4">
      <w:pPr>
        <w:rPr>
          <w:rFonts w:asciiTheme="minorHAnsi" w:hAnsiTheme="minorHAnsi" w:cstheme="minorHAnsi"/>
          <w:szCs w:val="24"/>
        </w:rPr>
        <w:sectPr w:rsidR="00877DE4" w:rsidSect="00CE6184">
          <w:pgSz w:w="15840" w:h="12240" w:orient="landscape"/>
          <w:pgMar w:top="1440" w:right="1440" w:bottom="1440" w:left="1440" w:header="720" w:footer="720" w:gutter="0"/>
          <w:cols w:space="720"/>
          <w:docGrid w:linePitch="360"/>
        </w:sectPr>
      </w:pPr>
    </w:p>
    <w:p w14:paraId="059CDD60" w14:textId="77777777" w:rsidR="00BB0232" w:rsidRPr="00CF1500" w:rsidRDefault="00BB0232" w:rsidP="00BB0232">
      <w:pPr>
        <w:rPr>
          <w:rFonts w:asciiTheme="minorHAnsi" w:hAnsiTheme="minorHAnsi" w:cstheme="minorHAnsi"/>
          <w:b/>
          <w:szCs w:val="24"/>
          <w:u w:val="single"/>
        </w:rPr>
      </w:pPr>
      <w:r w:rsidRPr="00CF1500">
        <w:rPr>
          <w:rFonts w:asciiTheme="minorHAnsi" w:hAnsiTheme="minorHAnsi" w:cstheme="minorHAnsi"/>
          <w:b/>
          <w:szCs w:val="24"/>
          <w:u w:val="single"/>
        </w:rPr>
        <w:lastRenderedPageBreak/>
        <w:t>Staffing:</w:t>
      </w:r>
    </w:p>
    <w:p w14:paraId="6DE556CE" w14:textId="77777777" w:rsidR="00BB0232" w:rsidRPr="00CF1500" w:rsidRDefault="00BB0232">
      <w:pPr>
        <w:rPr>
          <w:rFonts w:asciiTheme="minorHAnsi" w:hAnsiTheme="minorHAnsi" w:cstheme="minorHAnsi"/>
          <w:szCs w:val="24"/>
        </w:rPr>
      </w:pPr>
    </w:p>
    <w:p w14:paraId="1240201D" w14:textId="77777777" w:rsidR="00BB0232" w:rsidRPr="00CF1500" w:rsidRDefault="00BB0232" w:rsidP="00BB0232">
      <w:pPr>
        <w:rPr>
          <w:rFonts w:asciiTheme="minorHAnsi" w:hAnsiTheme="minorHAnsi" w:cstheme="minorHAnsi"/>
          <w:b/>
          <w:bCs/>
          <w:i/>
          <w:szCs w:val="24"/>
        </w:rPr>
      </w:pPr>
      <w:r w:rsidRPr="00CF1500">
        <w:rPr>
          <w:rFonts w:asciiTheme="minorHAnsi" w:hAnsiTheme="minorHAnsi" w:cstheme="minorHAnsi"/>
          <w:b/>
          <w:bCs/>
          <w:i/>
          <w:szCs w:val="24"/>
        </w:rPr>
        <w:t>Current Staffing Levels</w:t>
      </w:r>
    </w:p>
    <w:p w14:paraId="3694751C" w14:textId="77777777" w:rsidR="00BB0232" w:rsidRPr="00CF1500" w:rsidRDefault="00BB0232">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416"/>
        <w:gridCol w:w="2112"/>
        <w:gridCol w:w="2337"/>
      </w:tblGrid>
      <w:tr w:rsidR="00BB0232" w:rsidRPr="00CF1500" w14:paraId="5032C4A1" w14:textId="77777777" w:rsidTr="00157140">
        <w:tc>
          <w:tcPr>
            <w:tcW w:w="4793" w:type="dxa"/>
            <w:gridSpan w:val="2"/>
          </w:tcPr>
          <w:p w14:paraId="785D87F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Full-time</w:t>
            </w:r>
          </w:p>
        </w:tc>
        <w:tc>
          <w:tcPr>
            <w:tcW w:w="4449" w:type="dxa"/>
            <w:gridSpan w:val="2"/>
          </w:tcPr>
          <w:p w14:paraId="3736E66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Part-time</w:t>
            </w:r>
          </w:p>
        </w:tc>
      </w:tr>
      <w:tr w:rsidR="00BB0232" w:rsidRPr="00CF1500" w14:paraId="37ECACB6" w14:textId="77777777" w:rsidTr="00BB0232">
        <w:tc>
          <w:tcPr>
            <w:tcW w:w="2377" w:type="dxa"/>
          </w:tcPr>
          <w:p w14:paraId="46AE36F2"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Faculty</w:t>
            </w:r>
          </w:p>
        </w:tc>
        <w:tc>
          <w:tcPr>
            <w:tcW w:w="2416" w:type="dxa"/>
          </w:tcPr>
          <w:p w14:paraId="247EAF51" w14:textId="38DAE767" w:rsidR="00BB0232" w:rsidRPr="00CF1500" w:rsidRDefault="00B15D8F" w:rsidP="00A45528">
            <w:pPr>
              <w:keepNext/>
              <w:keepLines/>
              <w:rPr>
                <w:rFonts w:asciiTheme="minorHAnsi" w:hAnsiTheme="minorHAnsi" w:cstheme="minorHAnsi"/>
                <w:szCs w:val="24"/>
              </w:rPr>
            </w:pPr>
            <w:r>
              <w:rPr>
                <w:rFonts w:asciiTheme="minorHAnsi" w:hAnsiTheme="minorHAnsi" w:cstheme="minorHAnsi"/>
                <w:szCs w:val="24"/>
              </w:rPr>
              <w:t>0</w:t>
            </w:r>
          </w:p>
        </w:tc>
        <w:tc>
          <w:tcPr>
            <w:tcW w:w="2112" w:type="dxa"/>
          </w:tcPr>
          <w:p w14:paraId="2B188241"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Faculty</w:t>
            </w:r>
          </w:p>
        </w:tc>
        <w:tc>
          <w:tcPr>
            <w:tcW w:w="2337" w:type="dxa"/>
          </w:tcPr>
          <w:p w14:paraId="6649CA8F" w14:textId="69499CA5" w:rsidR="00BB0232" w:rsidRPr="00CF1500" w:rsidRDefault="00B15D8F" w:rsidP="00A45528">
            <w:pPr>
              <w:keepNext/>
              <w:keepLines/>
              <w:rPr>
                <w:rFonts w:asciiTheme="minorHAnsi" w:hAnsiTheme="minorHAnsi" w:cstheme="minorHAnsi"/>
                <w:szCs w:val="24"/>
              </w:rPr>
            </w:pPr>
            <w:r>
              <w:rPr>
                <w:rFonts w:asciiTheme="minorHAnsi" w:hAnsiTheme="minorHAnsi" w:cstheme="minorHAnsi"/>
                <w:szCs w:val="24"/>
              </w:rPr>
              <w:t>0</w:t>
            </w:r>
          </w:p>
        </w:tc>
      </w:tr>
      <w:tr w:rsidR="00BB0232" w:rsidRPr="00CF1500" w14:paraId="2905AE5E" w14:textId="77777777" w:rsidTr="00BB0232">
        <w:tc>
          <w:tcPr>
            <w:tcW w:w="2377" w:type="dxa"/>
          </w:tcPr>
          <w:p w14:paraId="0DAA9704"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Temporary</w:t>
            </w:r>
          </w:p>
        </w:tc>
        <w:tc>
          <w:tcPr>
            <w:tcW w:w="2416" w:type="dxa"/>
          </w:tcPr>
          <w:p w14:paraId="64702036" w14:textId="40EC3708" w:rsidR="00BB0232" w:rsidRPr="00B15D8F" w:rsidRDefault="00B15D8F" w:rsidP="00A45528">
            <w:pPr>
              <w:keepNext/>
              <w:keepLines/>
              <w:rPr>
                <w:rFonts w:asciiTheme="minorHAnsi" w:hAnsiTheme="minorHAnsi" w:cstheme="minorHAnsi"/>
                <w:szCs w:val="24"/>
              </w:rPr>
            </w:pPr>
            <w:r w:rsidRPr="00B15D8F">
              <w:rPr>
                <w:rFonts w:asciiTheme="minorHAnsi" w:hAnsiTheme="minorHAnsi" w:cstheme="minorHAnsi"/>
                <w:szCs w:val="24"/>
              </w:rPr>
              <w:t>0</w:t>
            </w:r>
          </w:p>
        </w:tc>
        <w:tc>
          <w:tcPr>
            <w:tcW w:w="2112" w:type="dxa"/>
          </w:tcPr>
          <w:p w14:paraId="3C909474"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Temporary</w:t>
            </w:r>
          </w:p>
        </w:tc>
        <w:tc>
          <w:tcPr>
            <w:tcW w:w="2337" w:type="dxa"/>
          </w:tcPr>
          <w:p w14:paraId="119C0202" w14:textId="480B6864" w:rsidR="00BB0232" w:rsidRPr="00B15D8F" w:rsidRDefault="00B15D8F" w:rsidP="00A45528">
            <w:pPr>
              <w:keepNext/>
              <w:keepLines/>
              <w:rPr>
                <w:rFonts w:asciiTheme="minorHAnsi" w:hAnsiTheme="minorHAnsi" w:cstheme="minorHAnsi"/>
                <w:szCs w:val="24"/>
              </w:rPr>
            </w:pPr>
            <w:r w:rsidRPr="00B15D8F">
              <w:rPr>
                <w:rFonts w:asciiTheme="minorHAnsi" w:hAnsiTheme="minorHAnsi" w:cstheme="minorHAnsi"/>
                <w:szCs w:val="24"/>
              </w:rPr>
              <w:t>0</w:t>
            </w:r>
          </w:p>
        </w:tc>
      </w:tr>
      <w:tr w:rsidR="00BB0232" w:rsidRPr="00CF1500" w14:paraId="20A23C01" w14:textId="77777777" w:rsidTr="00BB0232">
        <w:tc>
          <w:tcPr>
            <w:tcW w:w="2377" w:type="dxa"/>
          </w:tcPr>
          <w:p w14:paraId="59FF02FF"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Classified</w:t>
            </w:r>
          </w:p>
        </w:tc>
        <w:tc>
          <w:tcPr>
            <w:tcW w:w="2416" w:type="dxa"/>
          </w:tcPr>
          <w:p w14:paraId="2722C8FB" w14:textId="1163B31C" w:rsidR="00BB0232" w:rsidRPr="00CF1500" w:rsidRDefault="00B15D8F" w:rsidP="00A45528">
            <w:pPr>
              <w:keepNext/>
              <w:keepLines/>
              <w:rPr>
                <w:rFonts w:asciiTheme="minorHAnsi" w:hAnsiTheme="minorHAnsi" w:cstheme="minorHAnsi"/>
                <w:szCs w:val="24"/>
              </w:rPr>
            </w:pPr>
            <w:r>
              <w:rPr>
                <w:rFonts w:asciiTheme="minorHAnsi" w:hAnsiTheme="minorHAnsi" w:cstheme="minorHAnsi"/>
                <w:szCs w:val="24"/>
              </w:rPr>
              <w:t>1</w:t>
            </w:r>
          </w:p>
        </w:tc>
        <w:tc>
          <w:tcPr>
            <w:tcW w:w="2112" w:type="dxa"/>
          </w:tcPr>
          <w:p w14:paraId="7C84FE93"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Classified</w:t>
            </w:r>
          </w:p>
        </w:tc>
        <w:tc>
          <w:tcPr>
            <w:tcW w:w="2337" w:type="dxa"/>
          </w:tcPr>
          <w:p w14:paraId="152752DA" w14:textId="78B0A73B" w:rsidR="00BB0232" w:rsidRPr="00CF1500" w:rsidRDefault="00B15D8F" w:rsidP="00A45528">
            <w:pPr>
              <w:keepNext/>
              <w:keepLines/>
              <w:rPr>
                <w:rFonts w:asciiTheme="minorHAnsi" w:hAnsiTheme="minorHAnsi" w:cstheme="minorHAnsi"/>
                <w:szCs w:val="24"/>
              </w:rPr>
            </w:pPr>
            <w:r>
              <w:rPr>
                <w:rFonts w:asciiTheme="minorHAnsi" w:hAnsiTheme="minorHAnsi" w:cstheme="minorHAnsi"/>
                <w:szCs w:val="24"/>
              </w:rPr>
              <w:t>0</w:t>
            </w:r>
          </w:p>
        </w:tc>
      </w:tr>
      <w:tr w:rsidR="00BB0232" w:rsidRPr="00CF1500" w14:paraId="71515A19" w14:textId="77777777" w:rsidTr="00BB0232">
        <w:tc>
          <w:tcPr>
            <w:tcW w:w="2377" w:type="dxa"/>
          </w:tcPr>
          <w:p w14:paraId="0AE4BECB"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Management</w:t>
            </w:r>
          </w:p>
        </w:tc>
        <w:tc>
          <w:tcPr>
            <w:tcW w:w="2416" w:type="dxa"/>
          </w:tcPr>
          <w:p w14:paraId="04782FB7" w14:textId="4107F4DD" w:rsidR="00BB0232" w:rsidRPr="00CF1500" w:rsidRDefault="00B15D8F" w:rsidP="00A45528">
            <w:pPr>
              <w:keepNext/>
              <w:keepLines/>
              <w:rPr>
                <w:rFonts w:asciiTheme="minorHAnsi" w:hAnsiTheme="minorHAnsi" w:cstheme="minorHAnsi"/>
                <w:szCs w:val="24"/>
              </w:rPr>
            </w:pPr>
            <w:r>
              <w:rPr>
                <w:rFonts w:asciiTheme="minorHAnsi" w:hAnsiTheme="minorHAnsi" w:cstheme="minorHAnsi"/>
                <w:szCs w:val="24"/>
              </w:rPr>
              <w:t>0</w:t>
            </w:r>
          </w:p>
        </w:tc>
        <w:tc>
          <w:tcPr>
            <w:tcW w:w="2112" w:type="dxa"/>
          </w:tcPr>
          <w:p w14:paraId="11CB3B47"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Management</w:t>
            </w:r>
          </w:p>
        </w:tc>
        <w:tc>
          <w:tcPr>
            <w:tcW w:w="2337" w:type="dxa"/>
          </w:tcPr>
          <w:p w14:paraId="3CADC452" w14:textId="2C0C79A5" w:rsidR="00BB0232" w:rsidRPr="00CF1500" w:rsidRDefault="00B15D8F" w:rsidP="00A45528">
            <w:pPr>
              <w:keepNext/>
              <w:keepLines/>
              <w:rPr>
                <w:rFonts w:asciiTheme="minorHAnsi" w:hAnsiTheme="minorHAnsi" w:cstheme="minorHAnsi"/>
                <w:szCs w:val="24"/>
              </w:rPr>
            </w:pPr>
            <w:r>
              <w:rPr>
                <w:rFonts w:asciiTheme="minorHAnsi" w:hAnsiTheme="minorHAnsi" w:cstheme="minorHAnsi"/>
                <w:szCs w:val="24"/>
              </w:rPr>
              <w:t>0</w:t>
            </w:r>
          </w:p>
        </w:tc>
      </w:tr>
    </w:tbl>
    <w:p w14:paraId="58FA68E4" w14:textId="77777777" w:rsidR="00BB0232" w:rsidRPr="00CF1500" w:rsidRDefault="00BB0232">
      <w:pPr>
        <w:rPr>
          <w:rFonts w:asciiTheme="minorHAnsi" w:hAnsiTheme="minorHAnsi" w:cstheme="minorHAnsi"/>
          <w:szCs w:val="24"/>
        </w:rPr>
      </w:pPr>
    </w:p>
    <w:p w14:paraId="1996DDC1" w14:textId="77777777" w:rsidR="00D1738F" w:rsidRPr="00CF1500" w:rsidRDefault="00D1738F">
      <w:pPr>
        <w:rPr>
          <w:rFonts w:asciiTheme="minorHAnsi" w:hAnsiTheme="minorHAnsi" w:cstheme="minorHAnsi"/>
          <w:szCs w:val="24"/>
        </w:rPr>
      </w:pPr>
    </w:p>
    <w:p w14:paraId="4BC5F04E" w14:textId="77777777" w:rsidR="00D1738F" w:rsidRPr="00CF1500" w:rsidRDefault="00D1738F">
      <w:pPr>
        <w:rPr>
          <w:rFonts w:asciiTheme="minorHAnsi" w:hAnsiTheme="minorHAnsi" w:cstheme="minorHAnsi"/>
          <w:szCs w:val="24"/>
        </w:rPr>
      </w:pPr>
    </w:p>
    <w:p w14:paraId="4E9299FB" w14:textId="1FA9BE82" w:rsidR="00D1738F" w:rsidRPr="00FC1351" w:rsidRDefault="00D1738F">
      <w:pPr>
        <w:rPr>
          <w:rFonts w:asciiTheme="minorHAnsi" w:hAnsiTheme="minorHAnsi" w:cstheme="minorHAnsi"/>
          <w:b/>
          <w:bCs/>
          <w:i/>
          <w:szCs w:val="24"/>
        </w:rPr>
      </w:pPr>
      <w:r w:rsidRPr="00CF1500">
        <w:rPr>
          <w:rFonts w:asciiTheme="minorHAnsi" w:hAnsiTheme="minorHAnsi" w:cstheme="minorHAnsi"/>
          <w:b/>
          <w:bCs/>
          <w:i/>
          <w:szCs w:val="24"/>
        </w:rPr>
        <w:t>Request for New/Replacement Staff</w:t>
      </w:r>
    </w:p>
    <w:p w14:paraId="692A1829" w14:textId="77777777" w:rsidR="00D1738F" w:rsidRPr="00CF1500" w:rsidRDefault="00D1738F">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80"/>
        <w:gridCol w:w="2933"/>
        <w:gridCol w:w="1621"/>
        <w:gridCol w:w="1409"/>
        <w:gridCol w:w="1599"/>
      </w:tblGrid>
      <w:tr w:rsidR="00D1738F" w:rsidRPr="00CF1500" w14:paraId="0EA328B3" w14:textId="77777777" w:rsidTr="0012168F">
        <w:trPr>
          <w:cantSplit/>
          <w:tblHeader/>
        </w:trPr>
        <w:tc>
          <w:tcPr>
            <w:tcW w:w="1680" w:type="dxa"/>
          </w:tcPr>
          <w:p w14:paraId="0EEDBEE7" w14:textId="77777777" w:rsidR="00D1738F" w:rsidRPr="00CF1500" w:rsidRDefault="00D1738F" w:rsidP="00A45528">
            <w:pPr>
              <w:rPr>
                <w:rFonts w:asciiTheme="minorHAnsi" w:hAnsiTheme="minorHAnsi" w:cstheme="minorHAnsi"/>
                <w:szCs w:val="24"/>
              </w:rPr>
            </w:pPr>
          </w:p>
        </w:tc>
        <w:tc>
          <w:tcPr>
            <w:tcW w:w="2933" w:type="dxa"/>
          </w:tcPr>
          <w:p w14:paraId="51C16DDF" w14:textId="77777777" w:rsidR="00D1738F" w:rsidRPr="00CF1500" w:rsidRDefault="00D1738F" w:rsidP="00A45528">
            <w:pPr>
              <w:keepNext/>
              <w:keepLines/>
              <w:rPr>
                <w:rFonts w:asciiTheme="minorHAnsi" w:hAnsiTheme="minorHAnsi" w:cstheme="minorHAnsi"/>
                <w:szCs w:val="24"/>
              </w:rPr>
            </w:pPr>
          </w:p>
          <w:p w14:paraId="04A0E892"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Title of Position</w:t>
            </w:r>
          </w:p>
        </w:tc>
        <w:tc>
          <w:tcPr>
            <w:tcW w:w="1621" w:type="dxa"/>
          </w:tcPr>
          <w:p w14:paraId="2C06D360"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Classification</w:t>
            </w:r>
          </w:p>
          <w:p w14:paraId="1CE7D568"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(Faculty, Classified, or Management)</w:t>
            </w:r>
          </w:p>
        </w:tc>
        <w:tc>
          <w:tcPr>
            <w:tcW w:w="1409" w:type="dxa"/>
            <w:shd w:val="clear" w:color="auto" w:fill="auto"/>
          </w:tcPr>
          <w:p w14:paraId="04F2ADDC"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Full or Part</w:t>
            </w:r>
          </w:p>
          <w:p w14:paraId="6D047170"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Time</w:t>
            </w:r>
          </w:p>
        </w:tc>
        <w:tc>
          <w:tcPr>
            <w:tcW w:w="1599" w:type="dxa"/>
            <w:shd w:val="clear" w:color="auto" w:fill="auto"/>
          </w:tcPr>
          <w:p w14:paraId="5E80CF72"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New or Replacement</w:t>
            </w:r>
          </w:p>
        </w:tc>
      </w:tr>
      <w:tr w:rsidR="00D1738F" w:rsidRPr="00CF1500" w14:paraId="16569DD3" w14:textId="77777777" w:rsidTr="0012168F">
        <w:tc>
          <w:tcPr>
            <w:tcW w:w="1680" w:type="dxa"/>
          </w:tcPr>
          <w:p w14:paraId="245D1E2A" w14:textId="77777777" w:rsidR="00D1738F" w:rsidRPr="00CF1500" w:rsidRDefault="00D1738F" w:rsidP="00A45528">
            <w:pPr>
              <w:rPr>
                <w:rFonts w:asciiTheme="minorHAnsi" w:hAnsiTheme="minorHAnsi" w:cstheme="minorHAnsi"/>
                <w:szCs w:val="24"/>
              </w:rPr>
            </w:pPr>
            <w:r w:rsidRPr="00CF1500">
              <w:rPr>
                <w:rFonts w:asciiTheme="minorHAnsi" w:hAnsiTheme="minorHAnsi" w:cstheme="minorHAnsi"/>
                <w:szCs w:val="24"/>
              </w:rPr>
              <w:t>Position 1</w:t>
            </w:r>
          </w:p>
        </w:tc>
        <w:tc>
          <w:tcPr>
            <w:tcW w:w="2933" w:type="dxa"/>
          </w:tcPr>
          <w:p w14:paraId="235B0182" w14:textId="7265AD0C" w:rsidR="00D1738F" w:rsidRPr="00CF1500" w:rsidRDefault="009A4D7F" w:rsidP="00A45528">
            <w:pPr>
              <w:keepNext/>
              <w:keepLines/>
              <w:rPr>
                <w:rFonts w:asciiTheme="minorHAnsi" w:hAnsiTheme="minorHAnsi" w:cstheme="minorHAnsi"/>
                <w:szCs w:val="24"/>
              </w:rPr>
            </w:pPr>
            <w:r w:rsidRPr="009A4D7F">
              <w:rPr>
                <w:rFonts w:asciiTheme="minorHAnsi" w:hAnsiTheme="minorHAnsi" w:cstheme="minorHAnsi"/>
                <w:szCs w:val="24"/>
              </w:rPr>
              <w:t>Director of Distance Education</w:t>
            </w:r>
          </w:p>
        </w:tc>
        <w:tc>
          <w:tcPr>
            <w:tcW w:w="1621" w:type="dxa"/>
          </w:tcPr>
          <w:p w14:paraId="7555A04E" w14:textId="56DD24A5" w:rsidR="00D1738F" w:rsidRPr="00CF1500" w:rsidRDefault="009A4D7F" w:rsidP="00A45528">
            <w:pPr>
              <w:keepNext/>
              <w:keepLines/>
              <w:rPr>
                <w:rFonts w:asciiTheme="minorHAnsi" w:hAnsiTheme="minorHAnsi" w:cstheme="minorHAnsi"/>
                <w:szCs w:val="24"/>
              </w:rPr>
            </w:pPr>
            <w:r>
              <w:rPr>
                <w:rFonts w:asciiTheme="minorHAnsi" w:hAnsiTheme="minorHAnsi" w:cstheme="minorHAnsi"/>
                <w:szCs w:val="24"/>
              </w:rPr>
              <w:t>Management</w:t>
            </w:r>
          </w:p>
        </w:tc>
        <w:tc>
          <w:tcPr>
            <w:tcW w:w="1409" w:type="dxa"/>
            <w:shd w:val="clear" w:color="auto" w:fill="auto"/>
          </w:tcPr>
          <w:p w14:paraId="70F3C67F" w14:textId="5008A539" w:rsidR="00D1738F" w:rsidRPr="00CF1500" w:rsidRDefault="009A4D7F" w:rsidP="00A45528">
            <w:pPr>
              <w:keepNext/>
              <w:keepLines/>
              <w:rPr>
                <w:rFonts w:asciiTheme="minorHAnsi" w:hAnsiTheme="minorHAnsi" w:cstheme="minorHAnsi"/>
                <w:szCs w:val="24"/>
              </w:rPr>
            </w:pPr>
            <w:r>
              <w:rPr>
                <w:rFonts w:asciiTheme="minorHAnsi" w:hAnsiTheme="minorHAnsi" w:cstheme="minorHAnsi"/>
                <w:szCs w:val="24"/>
              </w:rPr>
              <w:t>Full-time</w:t>
            </w:r>
          </w:p>
        </w:tc>
        <w:tc>
          <w:tcPr>
            <w:tcW w:w="1599" w:type="dxa"/>
            <w:shd w:val="clear" w:color="auto" w:fill="auto"/>
          </w:tcPr>
          <w:p w14:paraId="5312E135" w14:textId="04F78BB5" w:rsidR="00D1738F" w:rsidRPr="00CF1500" w:rsidRDefault="009A4D7F" w:rsidP="00A45528">
            <w:pPr>
              <w:keepNext/>
              <w:keepLines/>
              <w:rPr>
                <w:rFonts w:asciiTheme="minorHAnsi" w:hAnsiTheme="minorHAnsi" w:cstheme="minorHAnsi"/>
                <w:szCs w:val="24"/>
              </w:rPr>
            </w:pPr>
            <w:r>
              <w:rPr>
                <w:rFonts w:asciiTheme="minorHAnsi" w:hAnsiTheme="minorHAnsi" w:cstheme="minorHAnsi"/>
                <w:szCs w:val="24"/>
              </w:rPr>
              <w:t>New</w:t>
            </w:r>
          </w:p>
        </w:tc>
      </w:tr>
      <w:tr w:rsidR="00D1738F" w:rsidRPr="00CF1500" w14:paraId="6AD37F61" w14:textId="77777777" w:rsidTr="0012168F">
        <w:tc>
          <w:tcPr>
            <w:tcW w:w="1680" w:type="dxa"/>
          </w:tcPr>
          <w:p w14:paraId="13F16CE4" w14:textId="77777777" w:rsidR="00D1738F" w:rsidRPr="00CF1500" w:rsidRDefault="00D1738F" w:rsidP="00A45528">
            <w:pPr>
              <w:rPr>
                <w:rFonts w:asciiTheme="minorHAnsi" w:hAnsiTheme="minorHAnsi" w:cstheme="minorHAnsi"/>
                <w:szCs w:val="24"/>
              </w:rPr>
            </w:pPr>
            <w:r w:rsidRPr="00CF1500">
              <w:rPr>
                <w:rFonts w:asciiTheme="minorHAnsi" w:hAnsiTheme="minorHAnsi" w:cstheme="minorHAnsi"/>
                <w:szCs w:val="24"/>
              </w:rPr>
              <w:t>Position 2</w:t>
            </w:r>
          </w:p>
        </w:tc>
        <w:tc>
          <w:tcPr>
            <w:tcW w:w="2933" w:type="dxa"/>
          </w:tcPr>
          <w:p w14:paraId="2FEB1403" w14:textId="440D63DA" w:rsidR="00D1738F" w:rsidRPr="00CF1500" w:rsidRDefault="009A4D7F" w:rsidP="00A45528">
            <w:pPr>
              <w:keepNext/>
              <w:keepLines/>
              <w:rPr>
                <w:rFonts w:asciiTheme="minorHAnsi" w:hAnsiTheme="minorHAnsi" w:cstheme="minorHAnsi"/>
                <w:szCs w:val="24"/>
              </w:rPr>
            </w:pPr>
            <w:r>
              <w:rPr>
                <w:rFonts w:asciiTheme="minorHAnsi" w:hAnsiTheme="minorHAnsi" w:cstheme="minorHAnsi"/>
                <w:szCs w:val="24"/>
              </w:rPr>
              <w:t>Instructional Designer</w:t>
            </w:r>
          </w:p>
        </w:tc>
        <w:tc>
          <w:tcPr>
            <w:tcW w:w="1621" w:type="dxa"/>
          </w:tcPr>
          <w:p w14:paraId="686B7EDE" w14:textId="122268C6" w:rsidR="00D1738F" w:rsidRPr="00CF1500" w:rsidRDefault="009A4D7F" w:rsidP="00A45528">
            <w:pPr>
              <w:keepNext/>
              <w:keepLines/>
              <w:rPr>
                <w:rFonts w:asciiTheme="minorHAnsi" w:hAnsiTheme="minorHAnsi" w:cstheme="minorHAnsi"/>
                <w:szCs w:val="24"/>
              </w:rPr>
            </w:pPr>
            <w:r>
              <w:rPr>
                <w:rFonts w:asciiTheme="minorHAnsi" w:hAnsiTheme="minorHAnsi" w:cstheme="minorHAnsi"/>
                <w:szCs w:val="24"/>
              </w:rPr>
              <w:t>Faculty</w:t>
            </w:r>
            <w:r w:rsidR="00491285">
              <w:rPr>
                <w:rFonts w:asciiTheme="minorHAnsi" w:hAnsiTheme="minorHAnsi" w:cstheme="minorHAnsi"/>
                <w:szCs w:val="24"/>
              </w:rPr>
              <w:t xml:space="preserve"> (release time &amp; additional contact days)</w:t>
            </w:r>
          </w:p>
        </w:tc>
        <w:tc>
          <w:tcPr>
            <w:tcW w:w="1409" w:type="dxa"/>
            <w:shd w:val="clear" w:color="auto" w:fill="auto"/>
          </w:tcPr>
          <w:p w14:paraId="7EEF0B4C" w14:textId="6B7E491D" w:rsidR="00D1738F" w:rsidRPr="00CF1500" w:rsidRDefault="009A4D7F" w:rsidP="00A45528">
            <w:pPr>
              <w:keepNext/>
              <w:keepLines/>
              <w:rPr>
                <w:rFonts w:asciiTheme="minorHAnsi" w:hAnsiTheme="minorHAnsi" w:cstheme="minorHAnsi"/>
                <w:szCs w:val="24"/>
              </w:rPr>
            </w:pPr>
            <w:r>
              <w:rPr>
                <w:rFonts w:asciiTheme="minorHAnsi" w:hAnsiTheme="minorHAnsi" w:cstheme="minorHAnsi"/>
                <w:szCs w:val="24"/>
              </w:rPr>
              <w:t>Part-time</w:t>
            </w:r>
          </w:p>
        </w:tc>
        <w:tc>
          <w:tcPr>
            <w:tcW w:w="1599" w:type="dxa"/>
            <w:shd w:val="clear" w:color="auto" w:fill="auto"/>
          </w:tcPr>
          <w:p w14:paraId="33915E18" w14:textId="2F37D509" w:rsidR="00D1738F" w:rsidRPr="00CF1500" w:rsidRDefault="009A4D7F" w:rsidP="00A45528">
            <w:pPr>
              <w:keepNext/>
              <w:keepLines/>
              <w:rPr>
                <w:rFonts w:asciiTheme="minorHAnsi" w:hAnsiTheme="minorHAnsi" w:cstheme="minorHAnsi"/>
                <w:szCs w:val="24"/>
              </w:rPr>
            </w:pPr>
            <w:r>
              <w:rPr>
                <w:rFonts w:asciiTheme="minorHAnsi" w:hAnsiTheme="minorHAnsi" w:cstheme="minorHAnsi"/>
                <w:szCs w:val="24"/>
              </w:rPr>
              <w:t>New</w:t>
            </w:r>
          </w:p>
        </w:tc>
      </w:tr>
    </w:tbl>
    <w:p w14:paraId="241961CA" w14:textId="77777777" w:rsidR="00D1738F" w:rsidRPr="00CF1500" w:rsidRDefault="00D1738F">
      <w:pPr>
        <w:rPr>
          <w:rFonts w:asciiTheme="minorHAnsi" w:hAnsiTheme="minorHAnsi" w:cstheme="minorHAnsi"/>
          <w:szCs w:val="24"/>
        </w:rPr>
      </w:pPr>
    </w:p>
    <w:p w14:paraId="12799406" w14:textId="013B311D" w:rsidR="00D1738F" w:rsidRDefault="00D1738F">
      <w:pPr>
        <w:rPr>
          <w:rFonts w:asciiTheme="minorHAnsi" w:hAnsiTheme="minorHAnsi" w:cstheme="minorHAnsi"/>
          <w:b/>
          <w:szCs w:val="24"/>
        </w:rPr>
      </w:pPr>
      <w:r w:rsidRPr="00FC1351">
        <w:rPr>
          <w:rFonts w:asciiTheme="minorHAnsi" w:hAnsiTheme="minorHAnsi" w:cstheme="minorHAnsi"/>
          <w:b/>
          <w:szCs w:val="24"/>
        </w:rPr>
        <w:t>Justification:</w:t>
      </w:r>
    </w:p>
    <w:p w14:paraId="56D7D3D7" w14:textId="77777777" w:rsidR="001F0A13" w:rsidRPr="00FC1351" w:rsidRDefault="001F0A13">
      <w:pPr>
        <w:rPr>
          <w:rFonts w:asciiTheme="minorHAnsi" w:hAnsiTheme="minorHAnsi" w:cstheme="minorHAnsi"/>
          <w:b/>
          <w:szCs w:val="24"/>
        </w:rPr>
      </w:pPr>
    </w:p>
    <w:p w14:paraId="5D306B5E" w14:textId="598A0A67" w:rsidR="00D1738F" w:rsidRPr="00CF1500" w:rsidRDefault="009A4D7F">
      <w:pPr>
        <w:rPr>
          <w:rFonts w:asciiTheme="minorHAnsi" w:hAnsiTheme="minorHAnsi" w:cstheme="minorHAnsi"/>
          <w:szCs w:val="24"/>
        </w:rPr>
      </w:pPr>
      <w:r w:rsidRPr="00FC1351">
        <w:rPr>
          <w:rFonts w:asciiTheme="minorHAnsi" w:hAnsiTheme="minorHAnsi" w:cstheme="minorHAnsi"/>
          <w:b/>
          <w:szCs w:val="24"/>
        </w:rPr>
        <w:t>Director of Distance Education (Management):</w:t>
      </w:r>
      <w:r>
        <w:rPr>
          <w:rFonts w:asciiTheme="minorHAnsi" w:hAnsiTheme="minorHAnsi" w:cstheme="minorHAnsi"/>
          <w:szCs w:val="24"/>
        </w:rPr>
        <w:t xml:space="preserve"> </w:t>
      </w:r>
      <w:r w:rsidR="00331602" w:rsidRPr="00331602">
        <w:rPr>
          <w:rFonts w:asciiTheme="minorHAnsi" w:hAnsiTheme="minorHAnsi" w:cstheme="minorHAnsi"/>
          <w:szCs w:val="24"/>
        </w:rPr>
        <w:t xml:space="preserve">As the College has continued to expand its </w:t>
      </w:r>
      <w:r w:rsidR="00331602">
        <w:rPr>
          <w:rFonts w:asciiTheme="minorHAnsi" w:hAnsiTheme="minorHAnsi" w:cstheme="minorHAnsi"/>
          <w:szCs w:val="24"/>
        </w:rPr>
        <w:t xml:space="preserve">online, </w:t>
      </w:r>
      <w:r w:rsidR="00331602" w:rsidRPr="00331602">
        <w:rPr>
          <w:rFonts w:asciiTheme="minorHAnsi" w:hAnsiTheme="minorHAnsi" w:cstheme="minorHAnsi"/>
          <w:szCs w:val="24"/>
        </w:rPr>
        <w:t>hybrid</w:t>
      </w:r>
      <w:r w:rsidR="00331602">
        <w:rPr>
          <w:rFonts w:asciiTheme="minorHAnsi" w:hAnsiTheme="minorHAnsi" w:cstheme="minorHAnsi"/>
          <w:szCs w:val="24"/>
        </w:rPr>
        <w:t xml:space="preserve">, and </w:t>
      </w:r>
      <w:proofErr w:type="spellStart"/>
      <w:r w:rsidR="00331602">
        <w:rPr>
          <w:rFonts w:asciiTheme="minorHAnsi" w:hAnsiTheme="minorHAnsi" w:cstheme="minorHAnsi"/>
          <w:szCs w:val="24"/>
        </w:rPr>
        <w:t>hyflex</w:t>
      </w:r>
      <w:proofErr w:type="spellEnd"/>
      <w:r w:rsidR="00331602" w:rsidRPr="00331602">
        <w:rPr>
          <w:rFonts w:asciiTheme="minorHAnsi" w:hAnsiTheme="minorHAnsi" w:cstheme="minorHAnsi"/>
          <w:szCs w:val="24"/>
        </w:rPr>
        <w:t xml:space="preserve"> course offerings</w:t>
      </w:r>
      <w:r w:rsidR="00331602">
        <w:rPr>
          <w:rFonts w:asciiTheme="minorHAnsi" w:hAnsiTheme="minorHAnsi" w:cstheme="minorHAnsi"/>
          <w:szCs w:val="24"/>
        </w:rPr>
        <w:t xml:space="preserve"> there is a growing need to focus on long-term, strategic goals for the DE Program. To effectively plan and manage the future of DE at the college requires a person with managerial influences at the institutional level. </w:t>
      </w:r>
      <w:r>
        <w:rPr>
          <w:rFonts w:asciiTheme="minorHAnsi" w:hAnsiTheme="minorHAnsi" w:cstheme="minorHAnsi"/>
          <w:szCs w:val="24"/>
        </w:rPr>
        <w:t>The current lack of</w:t>
      </w:r>
      <w:r w:rsidRPr="009A4D7F">
        <w:rPr>
          <w:rFonts w:asciiTheme="minorHAnsi" w:hAnsiTheme="minorHAnsi" w:cstheme="minorHAnsi"/>
          <w:szCs w:val="24"/>
        </w:rPr>
        <w:t xml:space="preserve"> a </w:t>
      </w:r>
      <w:r>
        <w:rPr>
          <w:rFonts w:asciiTheme="minorHAnsi" w:hAnsiTheme="minorHAnsi" w:cstheme="minorHAnsi"/>
          <w:szCs w:val="24"/>
        </w:rPr>
        <w:t>managerial position within the DE Program causes bottlenecks and roadblocks to effectively implement and expand the program. This management position would allow the DE Program to</w:t>
      </w:r>
      <w:r w:rsidRPr="009A4D7F">
        <w:rPr>
          <w:rFonts w:asciiTheme="minorHAnsi" w:hAnsiTheme="minorHAnsi" w:cstheme="minorHAnsi"/>
          <w:szCs w:val="24"/>
        </w:rPr>
        <w:t xml:space="preserve"> develop and implement a strategic plan for the growth, management, and evaluation of </w:t>
      </w:r>
      <w:r>
        <w:rPr>
          <w:rFonts w:asciiTheme="minorHAnsi" w:hAnsiTheme="minorHAnsi" w:cstheme="minorHAnsi"/>
          <w:szCs w:val="24"/>
        </w:rPr>
        <w:t>DE</w:t>
      </w:r>
      <w:r w:rsidRPr="009A4D7F">
        <w:rPr>
          <w:rFonts w:asciiTheme="minorHAnsi" w:hAnsiTheme="minorHAnsi" w:cstheme="minorHAnsi"/>
          <w:szCs w:val="24"/>
        </w:rPr>
        <w:t xml:space="preserve">; assist in coordinating the offering of online and hybrid courses in accordance with state and federal guidelines; assist in establishing local policies pertaining to distance education and ensure they are being followed; provide leadership in promoting effective instructional practices in online and hybrid courses; serve as the Distance Education Coordinator, a liaison to the state Chancellor’s Office; act as key point of contact for the </w:t>
      </w:r>
      <w:r>
        <w:rPr>
          <w:rFonts w:asciiTheme="minorHAnsi" w:hAnsiTheme="minorHAnsi" w:cstheme="minorHAnsi"/>
          <w:szCs w:val="24"/>
        </w:rPr>
        <w:t>CVC-OEI</w:t>
      </w:r>
      <w:r w:rsidRPr="009A4D7F">
        <w:rPr>
          <w:rFonts w:asciiTheme="minorHAnsi" w:hAnsiTheme="minorHAnsi" w:cstheme="minorHAnsi"/>
          <w:szCs w:val="24"/>
        </w:rPr>
        <w:t xml:space="preserve">; </w:t>
      </w:r>
      <w:r w:rsidR="008054FB">
        <w:rPr>
          <w:rFonts w:asciiTheme="minorHAnsi" w:hAnsiTheme="minorHAnsi" w:cstheme="minorHAnsi"/>
          <w:szCs w:val="24"/>
        </w:rPr>
        <w:t xml:space="preserve">manage the College’s Canvas instance; </w:t>
      </w:r>
      <w:r w:rsidRPr="009A4D7F">
        <w:rPr>
          <w:rFonts w:asciiTheme="minorHAnsi" w:hAnsiTheme="minorHAnsi" w:cstheme="minorHAnsi"/>
          <w:szCs w:val="24"/>
        </w:rPr>
        <w:t xml:space="preserve">serve on various committees to promote and integrate </w:t>
      </w:r>
      <w:r w:rsidR="000E4CED">
        <w:rPr>
          <w:rFonts w:asciiTheme="minorHAnsi" w:hAnsiTheme="minorHAnsi" w:cstheme="minorHAnsi"/>
          <w:szCs w:val="24"/>
        </w:rPr>
        <w:t>DE</w:t>
      </w:r>
      <w:r w:rsidRPr="009A4D7F">
        <w:rPr>
          <w:rFonts w:asciiTheme="minorHAnsi" w:hAnsiTheme="minorHAnsi" w:cstheme="minorHAnsi"/>
          <w:szCs w:val="24"/>
        </w:rPr>
        <w:t xml:space="preserve"> throughout all areas of the college; work collaboratively with students, faculty, staff, and the community to ensure that the College’s DE program is meeting constituent’s </w:t>
      </w:r>
      <w:r w:rsidRPr="009A4D7F">
        <w:rPr>
          <w:rFonts w:asciiTheme="minorHAnsi" w:hAnsiTheme="minorHAnsi" w:cstheme="minorHAnsi"/>
          <w:szCs w:val="24"/>
        </w:rPr>
        <w:lastRenderedPageBreak/>
        <w:t xml:space="preserve">needs; work with IT staff to identify, integrate, effectively use, and monitor products and services related to </w:t>
      </w:r>
      <w:r w:rsidR="000E4CED">
        <w:rPr>
          <w:rFonts w:asciiTheme="minorHAnsi" w:hAnsiTheme="minorHAnsi" w:cstheme="minorHAnsi"/>
          <w:szCs w:val="24"/>
        </w:rPr>
        <w:t>DE</w:t>
      </w:r>
      <w:r w:rsidRPr="009A4D7F">
        <w:rPr>
          <w:rFonts w:asciiTheme="minorHAnsi" w:hAnsiTheme="minorHAnsi" w:cstheme="minorHAnsi"/>
          <w:szCs w:val="24"/>
        </w:rPr>
        <w:t>; identify and apply for grant opportunities as discovered; and develop and monitor the budget for the DE Program and associated grants;</w:t>
      </w:r>
    </w:p>
    <w:p w14:paraId="2593D00A" w14:textId="77777777" w:rsidR="00435F33" w:rsidRPr="00CF1500" w:rsidRDefault="00435F33">
      <w:pPr>
        <w:rPr>
          <w:rFonts w:asciiTheme="minorHAnsi" w:hAnsiTheme="minorHAnsi" w:cstheme="minorHAnsi"/>
          <w:szCs w:val="24"/>
        </w:rPr>
      </w:pPr>
    </w:p>
    <w:p w14:paraId="32A0CFC6" w14:textId="1E7430D3" w:rsidR="00435F33" w:rsidRPr="00CF1500" w:rsidRDefault="00331602">
      <w:pPr>
        <w:rPr>
          <w:rFonts w:asciiTheme="minorHAnsi" w:hAnsiTheme="minorHAnsi" w:cstheme="minorHAnsi"/>
          <w:szCs w:val="24"/>
        </w:rPr>
      </w:pPr>
      <w:r w:rsidRPr="00FC1351">
        <w:rPr>
          <w:rFonts w:asciiTheme="minorHAnsi" w:hAnsiTheme="minorHAnsi" w:cstheme="minorHAnsi"/>
          <w:b/>
          <w:szCs w:val="24"/>
        </w:rPr>
        <w:t xml:space="preserve">Instructional Designer (Faculty, </w:t>
      </w:r>
      <w:r w:rsidR="00491285" w:rsidRPr="00FC1351">
        <w:rPr>
          <w:rFonts w:asciiTheme="minorHAnsi" w:hAnsiTheme="minorHAnsi" w:cstheme="minorHAnsi"/>
          <w:b/>
          <w:szCs w:val="24"/>
        </w:rPr>
        <w:t>release time &amp; additional contact days</w:t>
      </w:r>
      <w:r w:rsidRPr="00FC1351">
        <w:rPr>
          <w:rFonts w:asciiTheme="minorHAnsi" w:hAnsiTheme="minorHAnsi" w:cstheme="minorHAnsi"/>
          <w:b/>
          <w:szCs w:val="24"/>
        </w:rPr>
        <w:t>):</w:t>
      </w:r>
      <w:r w:rsidRPr="00331602">
        <w:rPr>
          <w:rFonts w:asciiTheme="minorHAnsi" w:hAnsiTheme="minorHAnsi" w:cstheme="minorHAnsi"/>
          <w:szCs w:val="24"/>
        </w:rPr>
        <w:t xml:space="preserve"> </w:t>
      </w:r>
      <w:r>
        <w:rPr>
          <w:rFonts w:asciiTheme="minorHAnsi" w:hAnsiTheme="minorHAnsi" w:cstheme="minorHAnsi"/>
          <w:szCs w:val="24"/>
        </w:rPr>
        <w:t xml:space="preserve">With the </w:t>
      </w:r>
      <w:r w:rsidR="00491285">
        <w:rPr>
          <w:rFonts w:asciiTheme="minorHAnsi" w:hAnsiTheme="minorHAnsi" w:cstheme="minorHAnsi"/>
          <w:szCs w:val="24"/>
        </w:rPr>
        <w:t xml:space="preserve">Director of </w:t>
      </w:r>
      <w:r>
        <w:rPr>
          <w:rFonts w:asciiTheme="minorHAnsi" w:hAnsiTheme="minorHAnsi" w:cstheme="minorHAnsi"/>
          <w:szCs w:val="24"/>
        </w:rPr>
        <w:t>DE position taking over the responsibilities of the DE Coordinator</w:t>
      </w:r>
      <w:r w:rsidR="008054FB">
        <w:rPr>
          <w:rFonts w:asciiTheme="minorHAnsi" w:hAnsiTheme="minorHAnsi" w:cstheme="minorHAnsi"/>
          <w:szCs w:val="24"/>
        </w:rPr>
        <w:t>, Canvas Administrator,</w:t>
      </w:r>
      <w:r>
        <w:rPr>
          <w:rFonts w:asciiTheme="minorHAnsi" w:hAnsiTheme="minorHAnsi" w:cstheme="minorHAnsi"/>
          <w:szCs w:val="24"/>
        </w:rPr>
        <w:t xml:space="preserve"> and the CVC-OEI lead, this is the perfect opportunity to allow a single position to focus on instructional design and faculty support. Currently the EMDS </w:t>
      </w:r>
      <w:r w:rsidR="008054FB">
        <w:rPr>
          <w:rFonts w:asciiTheme="minorHAnsi" w:hAnsiTheme="minorHAnsi" w:cstheme="minorHAnsi"/>
          <w:szCs w:val="24"/>
        </w:rPr>
        <w:t>performs all of these functions, but with the recent growth in DE at the college, this position is being challenged to keep up with the workload.</w:t>
      </w:r>
      <w:r>
        <w:rPr>
          <w:rFonts w:asciiTheme="minorHAnsi" w:hAnsiTheme="minorHAnsi" w:cstheme="minorHAnsi"/>
          <w:szCs w:val="24"/>
        </w:rPr>
        <w:t xml:space="preserve"> </w:t>
      </w:r>
      <w:r w:rsidR="008054FB">
        <w:rPr>
          <w:rFonts w:asciiTheme="minorHAnsi" w:hAnsiTheme="minorHAnsi" w:cstheme="minorHAnsi"/>
          <w:szCs w:val="24"/>
        </w:rPr>
        <w:t xml:space="preserve">With the increasing focus on accessibility, equity, and student success there is </w:t>
      </w:r>
      <w:r w:rsidRPr="00331602">
        <w:rPr>
          <w:rFonts w:asciiTheme="minorHAnsi" w:hAnsiTheme="minorHAnsi" w:cstheme="minorHAnsi"/>
          <w:szCs w:val="24"/>
        </w:rPr>
        <w:t>a real need for more instructional design and development support. The Instructional Designer (Faculty) will provide individual and group services for faculty in the support of the effective use of the college LMS and other high-quality online learning tools; Research emerging best-practices, trends, products, and services related to distance education;</w:t>
      </w:r>
      <w:r w:rsidR="008054FB">
        <w:rPr>
          <w:rFonts w:asciiTheme="minorHAnsi" w:hAnsiTheme="minorHAnsi" w:cstheme="minorHAnsi"/>
          <w:szCs w:val="24"/>
        </w:rPr>
        <w:t xml:space="preserve"> provide assistance with meeting rubric guidelines;</w:t>
      </w:r>
      <w:r w:rsidRPr="00331602">
        <w:rPr>
          <w:rFonts w:asciiTheme="minorHAnsi" w:hAnsiTheme="minorHAnsi" w:cstheme="minorHAnsi"/>
          <w:szCs w:val="24"/>
        </w:rPr>
        <w:t xml:space="preserve"> provide assistance with creating and incorporating media resources into courses; assist with ensuring courses meet accessibility requirements; ensure courses meet all district, college, state, and federal requirements; teach courses and workshops that help faculty integrate best practices in online and hybrid course pedagogy; assist in ensuring courses meet all local, state, and federal policies; and serve on various committees to ensure faculty distance education needs are being met.</w:t>
      </w:r>
      <w:r w:rsidR="00491285">
        <w:rPr>
          <w:rFonts w:asciiTheme="minorHAnsi" w:hAnsiTheme="minorHAnsi" w:cstheme="minorHAnsi"/>
          <w:szCs w:val="24"/>
        </w:rPr>
        <w:t xml:space="preserve"> This position would be filled by a faculty using release time and additional contact days.</w:t>
      </w:r>
    </w:p>
    <w:p w14:paraId="5E4FA4FC" w14:textId="77777777" w:rsidR="00435F33" w:rsidRPr="00CF1500" w:rsidRDefault="00435F33">
      <w:pPr>
        <w:rPr>
          <w:rFonts w:asciiTheme="minorHAnsi" w:hAnsiTheme="minorHAnsi" w:cstheme="minorHAnsi"/>
          <w:szCs w:val="24"/>
        </w:rPr>
      </w:pPr>
    </w:p>
    <w:p w14:paraId="30795162" w14:textId="77777777" w:rsidR="00435F33" w:rsidRPr="00CF1500" w:rsidRDefault="00435F33">
      <w:pPr>
        <w:rPr>
          <w:rFonts w:asciiTheme="minorHAnsi" w:hAnsiTheme="minorHAnsi" w:cstheme="minorHAnsi"/>
          <w:szCs w:val="24"/>
        </w:rPr>
      </w:pPr>
    </w:p>
    <w:p w14:paraId="3933DD6A" w14:textId="77777777" w:rsidR="00435F33" w:rsidRPr="00CF1500" w:rsidRDefault="00435F33">
      <w:pPr>
        <w:rPr>
          <w:rFonts w:asciiTheme="minorHAnsi" w:hAnsiTheme="minorHAnsi" w:cstheme="minorHAnsi"/>
          <w:szCs w:val="24"/>
        </w:rPr>
      </w:pPr>
    </w:p>
    <w:p w14:paraId="15C209EC" w14:textId="77777777" w:rsidR="00435F33" w:rsidRPr="00CF1500" w:rsidRDefault="00435F33">
      <w:pPr>
        <w:rPr>
          <w:rFonts w:asciiTheme="minorHAnsi" w:hAnsiTheme="minorHAnsi" w:cstheme="minorHAnsi"/>
          <w:szCs w:val="24"/>
        </w:rPr>
      </w:pPr>
    </w:p>
    <w:p w14:paraId="5003511D" w14:textId="77777777" w:rsidR="00435F33" w:rsidRPr="00CF1500" w:rsidRDefault="00435F33">
      <w:pPr>
        <w:spacing w:after="160" w:line="259" w:lineRule="auto"/>
        <w:rPr>
          <w:rFonts w:asciiTheme="minorHAnsi" w:hAnsiTheme="minorHAnsi" w:cstheme="minorHAnsi"/>
          <w:szCs w:val="24"/>
        </w:rPr>
      </w:pPr>
      <w:r w:rsidRPr="00CF1500">
        <w:rPr>
          <w:rFonts w:asciiTheme="minorHAnsi" w:hAnsiTheme="minorHAnsi" w:cstheme="minorHAnsi"/>
          <w:szCs w:val="24"/>
        </w:rPr>
        <w:br w:type="page"/>
      </w:r>
    </w:p>
    <w:p w14:paraId="2A4BB016" w14:textId="77777777" w:rsidR="00435F33" w:rsidRPr="00CF1500" w:rsidRDefault="00435F33">
      <w:pPr>
        <w:rPr>
          <w:rFonts w:asciiTheme="minorHAnsi" w:hAnsiTheme="minorHAnsi" w:cstheme="minorHAnsi"/>
          <w:szCs w:val="24"/>
        </w:rPr>
      </w:pPr>
    </w:p>
    <w:p w14:paraId="778A35C8" w14:textId="30E6C2B0" w:rsidR="00435F33" w:rsidRPr="00CF1500" w:rsidRDefault="00435F33">
      <w:pPr>
        <w:rPr>
          <w:rFonts w:asciiTheme="minorHAnsi" w:hAnsiTheme="minorHAnsi" w:cstheme="minorHAnsi"/>
          <w:szCs w:val="24"/>
        </w:rPr>
      </w:pPr>
      <w:r w:rsidRPr="00CF1500">
        <w:rPr>
          <w:rFonts w:asciiTheme="minorHAnsi" w:hAnsiTheme="minorHAnsi" w:cstheme="minorHAnsi"/>
          <w:b/>
          <w:szCs w:val="24"/>
          <w:u w:val="single"/>
        </w:rPr>
        <w:t>Resource Requests</w:t>
      </w:r>
      <w:bookmarkStart w:id="0" w:name="_GoBack"/>
      <w:bookmarkEnd w:id="0"/>
    </w:p>
    <w:p w14:paraId="0C3E3704" w14:textId="77777777" w:rsidR="00435F33" w:rsidRPr="00CF1500" w:rsidRDefault="00435F33">
      <w:pPr>
        <w:rPr>
          <w:rFonts w:asciiTheme="minorHAnsi" w:hAnsiTheme="minorHAnsi" w:cstheme="minorHAnsi"/>
          <w:szCs w:val="24"/>
        </w:rPr>
      </w:pPr>
    </w:p>
    <w:p w14:paraId="49D14395"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TECHNOLOGY REQUEST</w:t>
      </w:r>
    </w:p>
    <w:p w14:paraId="21DEBF16" w14:textId="77777777" w:rsidR="00435F33" w:rsidRPr="00CF1500" w:rsidRDefault="00435F33" w:rsidP="00435F3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435"/>
      </w:tblGrid>
      <w:tr w:rsidR="00435F33" w:rsidRPr="00CF1500" w14:paraId="12F8F57A" w14:textId="77777777" w:rsidTr="00FC1351">
        <w:trPr>
          <w:cantSplit/>
          <w:trHeight w:val="432"/>
          <w:tblHeader/>
        </w:trPr>
        <w:tc>
          <w:tcPr>
            <w:tcW w:w="1915" w:type="dxa"/>
          </w:tcPr>
          <w:p w14:paraId="7955678F" w14:textId="77777777" w:rsidR="00435F33" w:rsidRPr="00CF1500" w:rsidRDefault="00435F33" w:rsidP="00A45528">
            <w:pPr>
              <w:rPr>
                <w:rFonts w:asciiTheme="minorHAnsi" w:hAnsiTheme="minorHAnsi" w:cstheme="minorHAnsi"/>
                <w:szCs w:val="24"/>
                <w:u w:val="single"/>
              </w:rPr>
            </w:pPr>
          </w:p>
          <w:p w14:paraId="5C72DE78"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Technology Need</w:t>
            </w:r>
          </w:p>
        </w:tc>
        <w:tc>
          <w:tcPr>
            <w:tcW w:w="7435" w:type="dxa"/>
          </w:tcPr>
          <w:p w14:paraId="3DCD95CF"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1C4ABDD6" w14:textId="77777777" w:rsidTr="00FC1351">
        <w:trPr>
          <w:trHeight w:val="432"/>
        </w:trPr>
        <w:tc>
          <w:tcPr>
            <w:tcW w:w="1915" w:type="dxa"/>
          </w:tcPr>
          <w:p w14:paraId="73EE0389"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0D0AA425" w14:textId="77777777" w:rsidR="00435F33" w:rsidRPr="00CF1500" w:rsidRDefault="00435F33" w:rsidP="00A45528">
            <w:pPr>
              <w:rPr>
                <w:rFonts w:asciiTheme="minorHAnsi" w:hAnsiTheme="minorHAnsi" w:cstheme="minorHAnsi"/>
                <w:szCs w:val="24"/>
              </w:rPr>
            </w:pPr>
          </w:p>
        </w:tc>
        <w:tc>
          <w:tcPr>
            <w:tcW w:w="7435" w:type="dxa"/>
          </w:tcPr>
          <w:p w14:paraId="6C47DF34" w14:textId="2D28B60B" w:rsidR="00435F33" w:rsidRPr="00CF1500" w:rsidRDefault="00FC1351" w:rsidP="00A45528">
            <w:pPr>
              <w:rPr>
                <w:rFonts w:asciiTheme="minorHAnsi" w:hAnsiTheme="minorHAnsi" w:cstheme="minorHAnsi"/>
                <w:szCs w:val="24"/>
              </w:rPr>
            </w:pPr>
            <w:r>
              <w:rPr>
                <w:rFonts w:asciiTheme="minorHAnsi" w:hAnsiTheme="minorHAnsi" w:cstheme="minorHAnsi"/>
                <w:szCs w:val="24"/>
              </w:rPr>
              <w:t>None</w:t>
            </w:r>
          </w:p>
        </w:tc>
      </w:tr>
    </w:tbl>
    <w:p w14:paraId="35662D0C" w14:textId="77777777" w:rsidR="00435F33" w:rsidRPr="00CF1500" w:rsidRDefault="00435F33" w:rsidP="00435F33">
      <w:pPr>
        <w:rPr>
          <w:rFonts w:asciiTheme="minorHAnsi" w:hAnsiTheme="minorHAnsi" w:cstheme="minorHAnsi"/>
          <w:szCs w:val="24"/>
        </w:rPr>
      </w:pPr>
    </w:p>
    <w:p w14:paraId="2BDAED4B" w14:textId="77777777" w:rsidR="00435F33" w:rsidRPr="00CF1500" w:rsidRDefault="00435F33" w:rsidP="00435F33">
      <w:pPr>
        <w:rPr>
          <w:rFonts w:asciiTheme="minorHAnsi" w:hAnsiTheme="minorHAnsi" w:cstheme="minorHAnsi"/>
          <w:szCs w:val="24"/>
        </w:rPr>
      </w:pPr>
    </w:p>
    <w:p w14:paraId="08CE181D" w14:textId="77777777" w:rsidR="00435F33" w:rsidRPr="00CF1500" w:rsidRDefault="00435F33" w:rsidP="00435F33">
      <w:pPr>
        <w:rPr>
          <w:rFonts w:asciiTheme="minorHAnsi" w:hAnsiTheme="minorHAnsi" w:cstheme="minorHAnsi"/>
          <w:szCs w:val="24"/>
        </w:rPr>
      </w:pPr>
    </w:p>
    <w:p w14:paraId="657FB70C"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FACILITIES REQUEST</w:t>
      </w:r>
    </w:p>
    <w:p w14:paraId="22831B26"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435F33" w:rsidRPr="00CF1500" w14:paraId="7118C1D1" w14:textId="77777777" w:rsidTr="00FC1351">
        <w:trPr>
          <w:cantSplit/>
          <w:trHeight w:val="432"/>
          <w:tblHeader/>
        </w:trPr>
        <w:tc>
          <w:tcPr>
            <w:tcW w:w="1885" w:type="dxa"/>
          </w:tcPr>
          <w:p w14:paraId="1AB53495" w14:textId="77777777" w:rsidR="00435F33" w:rsidRPr="00CF1500" w:rsidRDefault="00435F33" w:rsidP="00A45528">
            <w:pPr>
              <w:rPr>
                <w:rFonts w:asciiTheme="minorHAnsi" w:hAnsiTheme="minorHAnsi" w:cstheme="minorHAnsi"/>
                <w:szCs w:val="24"/>
                <w:u w:val="single"/>
              </w:rPr>
            </w:pPr>
          </w:p>
          <w:p w14:paraId="34AEFF50"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Facilities Need</w:t>
            </w:r>
          </w:p>
        </w:tc>
        <w:tc>
          <w:tcPr>
            <w:tcW w:w="7465" w:type="dxa"/>
          </w:tcPr>
          <w:p w14:paraId="388568F8"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3C74CCE5" w14:textId="77777777" w:rsidTr="00FC1351">
        <w:trPr>
          <w:trHeight w:val="432"/>
        </w:trPr>
        <w:tc>
          <w:tcPr>
            <w:tcW w:w="1885" w:type="dxa"/>
          </w:tcPr>
          <w:p w14:paraId="5DD052F4"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1C0B475D" w14:textId="77777777" w:rsidR="00435F33" w:rsidRPr="00CF1500" w:rsidRDefault="00435F33" w:rsidP="00A45528">
            <w:pPr>
              <w:rPr>
                <w:rFonts w:asciiTheme="minorHAnsi" w:hAnsiTheme="minorHAnsi" w:cstheme="minorHAnsi"/>
                <w:szCs w:val="24"/>
              </w:rPr>
            </w:pPr>
          </w:p>
        </w:tc>
        <w:tc>
          <w:tcPr>
            <w:tcW w:w="7465" w:type="dxa"/>
          </w:tcPr>
          <w:p w14:paraId="77BD83C3" w14:textId="43B9ABB6" w:rsidR="00435F33" w:rsidRPr="00CF1500" w:rsidRDefault="00FC1351" w:rsidP="00A45528">
            <w:pPr>
              <w:rPr>
                <w:rFonts w:asciiTheme="minorHAnsi" w:hAnsiTheme="minorHAnsi" w:cstheme="minorHAnsi"/>
                <w:szCs w:val="24"/>
              </w:rPr>
            </w:pPr>
            <w:r>
              <w:rPr>
                <w:rFonts w:asciiTheme="minorHAnsi" w:hAnsiTheme="minorHAnsi" w:cstheme="minorHAnsi"/>
                <w:szCs w:val="24"/>
              </w:rPr>
              <w:t>None</w:t>
            </w:r>
          </w:p>
        </w:tc>
      </w:tr>
    </w:tbl>
    <w:p w14:paraId="769C807C" w14:textId="77777777" w:rsidR="00435F33" w:rsidRPr="00CF1500" w:rsidRDefault="00435F33" w:rsidP="00435F33">
      <w:pPr>
        <w:rPr>
          <w:rFonts w:asciiTheme="minorHAnsi" w:hAnsiTheme="minorHAnsi" w:cstheme="minorHAnsi"/>
          <w:szCs w:val="24"/>
        </w:rPr>
      </w:pPr>
    </w:p>
    <w:p w14:paraId="6CFA05D0" w14:textId="77777777" w:rsidR="00435F33" w:rsidRPr="00CF1500" w:rsidRDefault="00435F33" w:rsidP="00435F33">
      <w:pPr>
        <w:rPr>
          <w:rFonts w:asciiTheme="minorHAnsi" w:hAnsiTheme="minorHAnsi" w:cstheme="minorHAnsi"/>
          <w:szCs w:val="24"/>
        </w:rPr>
      </w:pPr>
    </w:p>
    <w:p w14:paraId="4EBDE4A3" w14:textId="77777777" w:rsidR="00435F33" w:rsidRPr="00CF1500" w:rsidRDefault="00435F33" w:rsidP="00435F33">
      <w:pPr>
        <w:rPr>
          <w:rFonts w:asciiTheme="minorHAnsi" w:hAnsiTheme="minorHAnsi" w:cstheme="minorHAnsi"/>
          <w:szCs w:val="24"/>
        </w:rPr>
      </w:pPr>
    </w:p>
    <w:p w14:paraId="224A65D8"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SAFETY &amp; SECURITY REQUEST</w:t>
      </w:r>
    </w:p>
    <w:p w14:paraId="619FF219"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471"/>
      </w:tblGrid>
      <w:tr w:rsidR="00435F33" w:rsidRPr="00CF1500" w14:paraId="0326BDB7" w14:textId="77777777" w:rsidTr="00FC1351">
        <w:trPr>
          <w:cantSplit/>
          <w:trHeight w:val="432"/>
          <w:tblHeader/>
        </w:trPr>
        <w:tc>
          <w:tcPr>
            <w:tcW w:w="1879" w:type="dxa"/>
          </w:tcPr>
          <w:p w14:paraId="501795F4" w14:textId="77777777" w:rsidR="00435F33" w:rsidRPr="00CF1500" w:rsidRDefault="00435F33" w:rsidP="00A45528">
            <w:pPr>
              <w:rPr>
                <w:rFonts w:asciiTheme="minorHAnsi" w:hAnsiTheme="minorHAnsi" w:cstheme="minorHAnsi"/>
                <w:szCs w:val="24"/>
                <w:u w:val="single"/>
              </w:rPr>
            </w:pPr>
          </w:p>
          <w:p w14:paraId="33E0888F"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Safety &amp; Security Need</w:t>
            </w:r>
          </w:p>
        </w:tc>
        <w:tc>
          <w:tcPr>
            <w:tcW w:w="7471" w:type="dxa"/>
          </w:tcPr>
          <w:p w14:paraId="47E3A466"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6C4492EA" w14:textId="77777777" w:rsidTr="00FC1351">
        <w:trPr>
          <w:trHeight w:val="432"/>
        </w:trPr>
        <w:tc>
          <w:tcPr>
            <w:tcW w:w="1879" w:type="dxa"/>
          </w:tcPr>
          <w:p w14:paraId="0048D519"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0523DBBB" w14:textId="77777777" w:rsidR="00435F33" w:rsidRPr="00CF1500" w:rsidRDefault="00435F33" w:rsidP="00A45528">
            <w:pPr>
              <w:rPr>
                <w:rFonts w:asciiTheme="minorHAnsi" w:hAnsiTheme="minorHAnsi" w:cstheme="minorHAnsi"/>
                <w:szCs w:val="24"/>
              </w:rPr>
            </w:pPr>
          </w:p>
        </w:tc>
        <w:tc>
          <w:tcPr>
            <w:tcW w:w="7471" w:type="dxa"/>
          </w:tcPr>
          <w:p w14:paraId="4BB14F86" w14:textId="334A2711" w:rsidR="00435F33" w:rsidRPr="00CF1500" w:rsidRDefault="00FC1351" w:rsidP="00A45528">
            <w:pPr>
              <w:rPr>
                <w:rFonts w:asciiTheme="minorHAnsi" w:hAnsiTheme="minorHAnsi" w:cstheme="minorHAnsi"/>
                <w:szCs w:val="24"/>
              </w:rPr>
            </w:pPr>
            <w:r>
              <w:rPr>
                <w:rFonts w:asciiTheme="minorHAnsi" w:hAnsiTheme="minorHAnsi" w:cstheme="minorHAnsi"/>
                <w:szCs w:val="24"/>
              </w:rPr>
              <w:t>None</w:t>
            </w:r>
          </w:p>
        </w:tc>
      </w:tr>
    </w:tbl>
    <w:p w14:paraId="35D99BB5" w14:textId="77777777" w:rsidR="00435F33" w:rsidRPr="00CF1500" w:rsidRDefault="00435F33" w:rsidP="00435F33">
      <w:pPr>
        <w:rPr>
          <w:rFonts w:asciiTheme="minorHAnsi" w:hAnsiTheme="minorHAnsi" w:cstheme="minorHAnsi"/>
          <w:szCs w:val="24"/>
        </w:rPr>
      </w:pPr>
    </w:p>
    <w:p w14:paraId="78374897" w14:textId="77777777" w:rsidR="00435F33" w:rsidRPr="00CF1500" w:rsidRDefault="00435F33" w:rsidP="00435F33">
      <w:pPr>
        <w:rPr>
          <w:rFonts w:asciiTheme="minorHAnsi" w:hAnsiTheme="minorHAnsi" w:cstheme="minorHAnsi"/>
          <w:szCs w:val="24"/>
        </w:rPr>
      </w:pPr>
    </w:p>
    <w:p w14:paraId="7BE8C0E3" w14:textId="3EC97E6F" w:rsidR="00FC1351" w:rsidRDefault="00FC1351">
      <w:pPr>
        <w:spacing w:after="160" w:line="259" w:lineRule="auto"/>
        <w:rPr>
          <w:rFonts w:asciiTheme="minorHAnsi" w:hAnsiTheme="minorHAnsi" w:cstheme="minorHAnsi"/>
          <w:szCs w:val="24"/>
        </w:rPr>
      </w:pPr>
      <w:r>
        <w:rPr>
          <w:rFonts w:asciiTheme="minorHAnsi" w:hAnsiTheme="minorHAnsi" w:cstheme="minorHAnsi"/>
          <w:szCs w:val="24"/>
        </w:rPr>
        <w:br w:type="page"/>
      </w:r>
    </w:p>
    <w:p w14:paraId="53043832" w14:textId="77777777" w:rsidR="00435F33" w:rsidRPr="00CF1500" w:rsidRDefault="00435F33" w:rsidP="00435F33">
      <w:pPr>
        <w:rPr>
          <w:rFonts w:asciiTheme="minorHAnsi" w:hAnsiTheme="minorHAnsi" w:cstheme="minorHAnsi"/>
          <w:szCs w:val="24"/>
        </w:rPr>
      </w:pPr>
    </w:p>
    <w:p w14:paraId="2B3CC45E"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PROFESSIONAL DEVELOPMENT REQUEST</w:t>
      </w:r>
    </w:p>
    <w:p w14:paraId="7F3B6E71"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412"/>
      </w:tblGrid>
      <w:tr w:rsidR="00435F33" w:rsidRPr="00CF1500" w14:paraId="7FBDD91F" w14:textId="77777777" w:rsidTr="00F24EBA">
        <w:trPr>
          <w:cantSplit/>
          <w:trHeight w:val="432"/>
          <w:tblHeader/>
        </w:trPr>
        <w:tc>
          <w:tcPr>
            <w:tcW w:w="1998" w:type="dxa"/>
          </w:tcPr>
          <w:p w14:paraId="2608D406" w14:textId="77777777" w:rsidR="00435F33" w:rsidRPr="00CF1500" w:rsidRDefault="00435F33" w:rsidP="00A45528">
            <w:pPr>
              <w:rPr>
                <w:rFonts w:asciiTheme="minorHAnsi" w:hAnsiTheme="minorHAnsi" w:cstheme="minorHAnsi"/>
                <w:szCs w:val="24"/>
                <w:u w:val="single"/>
              </w:rPr>
            </w:pPr>
          </w:p>
          <w:p w14:paraId="3BBA9E1B"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Professional Development Need</w:t>
            </w:r>
          </w:p>
        </w:tc>
        <w:tc>
          <w:tcPr>
            <w:tcW w:w="8298" w:type="dxa"/>
          </w:tcPr>
          <w:p w14:paraId="015046EE"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224521BE" w14:textId="77777777" w:rsidTr="00A45528">
        <w:trPr>
          <w:trHeight w:val="432"/>
        </w:trPr>
        <w:tc>
          <w:tcPr>
            <w:tcW w:w="1998" w:type="dxa"/>
          </w:tcPr>
          <w:p w14:paraId="69E2B49B" w14:textId="737409B6" w:rsidR="00435F33" w:rsidRPr="00CF1500" w:rsidRDefault="00013EA0" w:rsidP="00A45528">
            <w:pPr>
              <w:rPr>
                <w:rFonts w:asciiTheme="minorHAnsi" w:hAnsiTheme="minorHAnsi" w:cstheme="minorHAnsi"/>
                <w:szCs w:val="24"/>
              </w:rPr>
            </w:pPr>
            <w:r>
              <w:rPr>
                <w:rFonts w:asciiTheme="minorHAnsi" w:hAnsiTheme="minorHAnsi" w:cstheme="minorHAnsi"/>
                <w:szCs w:val="24"/>
              </w:rPr>
              <w:t xml:space="preserve">Attendance for up to 3 people </w:t>
            </w:r>
            <w:r w:rsidR="002E2182">
              <w:rPr>
                <w:rFonts w:asciiTheme="minorHAnsi" w:hAnsiTheme="minorHAnsi" w:cstheme="minorHAnsi"/>
                <w:szCs w:val="24"/>
              </w:rPr>
              <w:t xml:space="preserve">each year </w:t>
            </w:r>
            <w:r w:rsidR="00B1570C">
              <w:rPr>
                <w:rFonts w:asciiTheme="minorHAnsi" w:hAnsiTheme="minorHAnsi" w:cstheme="minorHAnsi"/>
                <w:szCs w:val="24"/>
              </w:rPr>
              <w:t>to attend</w:t>
            </w:r>
            <w:r>
              <w:rPr>
                <w:rFonts w:asciiTheme="minorHAnsi" w:hAnsiTheme="minorHAnsi" w:cstheme="minorHAnsi"/>
                <w:szCs w:val="24"/>
              </w:rPr>
              <w:t xml:space="preserve"> the annual Online Teaching Conference</w:t>
            </w:r>
          </w:p>
        </w:tc>
        <w:tc>
          <w:tcPr>
            <w:tcW w:w="8298" w:type="dxa"/>
          </w:tcPr>
          <w:p w14:paraId="3937870F" w14:textId="30F4C306" w:rsidR="00435F33" w:rsidRPr="00CF1500" w:rsidRDefault="00013EA0" w:rsidP="00A45528">
            <w:pPr>
              <w:rPr>
                <w:rFonts w:asciiTheme="minorHAnsi" w:hAnsiTheme="minorHAnsi" w:cstheme="minorHAnsi"/>
                <w:szCs w:val="24"/>
              </w:rPr>
            </w:pPr>
            <w:r>
              <w:rPr>
                <w:rFonts w:asciiTheme="minorHAnsi" w:hAnsiTheme="minorHAnsi" w:cstheme="minorHAnsi"/>
                <w:szCs w:val="24"/>
              </w:rPr>
              <w:t>Being the primary conference for DE faculty and staff</w:t>
            </w:r>
            <w:r w:rsidR="00A834E6">
              <w:rPr>
                <w:rFonts w:asciiTheme="minorHAnsi" w:hAnsiTheme="minorHAnsi" w:cstheme="minorHAnsi"/>
                <w:szCs w:val="24"/>
              </w:rPr>
              <w:t xml:space="preserve"> in the CCCs</w:t>
            </w:r>
            <w:r>
              <w:rPr>
                <w:rFonts w:asciiTheme="minorHAnsi" w:hAnsiTheme="minorHAnsi" w:cstheme="minorHAnsi"/>
                <w:szCs w:val="24"/>
              </w:rPr>
              <w:t>, this</w:t>
            </w:r>
            <w:r w:rsidR="00B1570C">
              <w:rPr>
                <w:rFonts w:asciiTheme="minorHAnsi" w:hAnsiTheme="minorHAnsi" w:cstheme="minorHAnsi"/>
                <w:szCs w:val="24"/>
              </w:rPr>
              <w:t xml:space="preserve"> event exposes some of the best ideas and </w:t>
            </w:r>
            <w:r>
              <w:rPr>
                <w:rFonts w:asciiTheme="minorHAnsi" w:hAnsiTheme="minorHAnsi" w:cstheme="minorHAnsi"/>
                <w:szCs w:val="24"/>
              </w:rPr>
              <w:t xml:space="preserve">information </w:t>
            </w:r>
            <w:r w:rsidR="00B1570C">
              <w:rPr>
                <w:rFonts w:asciiTheme="minorHAnsi" w:hAnsiTheme="minorHAnsi" w:cstheme="minorHAnsi"/>
                <w:szCs w:val="24"/>
              </w:rPr>
              <w:t>pertaining to</w:t>
            </w:r>
            <w:r w:rsidR="00A834E6">
              <w:rPr>
                <w:rFonts w:asciiTheme="minorHAnsi" w:hAnsiTheme="minorHAnsi" w:cstheme="minorHAnsi"/>
                <w:szCs w:val="24"/>
              </w:rPr>
              <w:t xml:space="preserve"> DE at California’s Community Colleges. Faculty have expressed interest to attend in the past, but were unable to d</w:t>
            </w:r>
            <w:r w:rsidR="00B1570C">
              <w:rPr>
                <w:rFonts w:asciiTheme="minorHAnsi" w:hAnsiTheme="minorHAnsi" w:cstheme="minorHAnsi"/>
                <w:szCs w:val="24"/>
              </w:rPr>
              <w:t>o so because of a</w:t>
            </w:r>
            <w:r w:rsidR="00A834E6">
              <w:rPr>
                <w:rFonts w:asciiTheme="minorHAnsi" w:hAnsiTheme="minorHAnsi" w:cstheme="minorHAnsi"/>
                <w:szCs w:val="24"/>
              </w:rPr>
              <w:t xml:space="preserve"> lack of funds.</w:t>
            </w:r>
          </w:p>
        </w:tc>
      </w:tr>
      <w:tr w:rsidR="00435F33" w:rsidRPr="00CF1500" w14:paraId="29441A91" w14:textId="77777777" w:rsidTr="00A45528">
        <w:trPr>
          <w:trHeight w:val="432"/>
        </w:trPr>
        <w:tc>
          <w:tcPr>
            <w:tcW w:w="1998" w:type="dxa"/>
          </w:tcPr>
          <w:p w14:paraId="512C40F3" w14:textId="07627609" w:rsidR="00435F33" w:rsidRPr="00CF1500" w:rsidRDefault="002E2182" w:rsidP="00A45528">
            <w:pPr>
              <w:rPr>
                <w:rFonts w:asciiTheme="minorHAnsi" w:hAnsiTheme="minorHAnsi" w:cstheme="minorHAnsi"/>
                <w:szCs w:val="24"/>
              </w:rPr>
            </w:pPr>
            <w:r>
              <w:rPr>
                <w:rFonts w:asciiTheme="minorHAnsi" w:hAnsiTheme="minorHAnsi" w:cstheme="minorHAnsi"/>
                <w:szCs w:val="24"/>
              </w:rPr>
              <w:t>Registration for up to 6 people each year to take fee-based courses focused on DE concerns.</w:t>
            </w:r>
          </w:p>
          <w:p w14:paraId="29C49CB2" w14:textId="77777777" w:rsidR="00435F33" w:rsidRPr="00CF1500" w:rsidRDefault="00435F33" w:rsidP="00A45528">
            <w:pPr>
              <w:rPr>
                <w:rFonts w:asciiTheme="minorHAnsi" w:hAnsiTheme="minorHAnsi" w:cstheme="minorHAnsi"/>
                <w:szCs w:val="24"/>
              </w:rPr>
            </w:pPr>
          </w:p>
        </w:tc>
        <w:tc>
          <w:tcPr>
            <w:tcW w:w="8298" w:type="dxa"/>
          </w:tcPr>
          <w:p w14:paraId="76BC1A26" w14:textId="0DC53B35" w:rsidR="00435F33" w:rsidRPr="00CF1500" w:rsidRDefault="002E2182" w:rsidP="00A45528">
            <w:pPr>
              <w:rPr>
                <w:rFonts w:asciiTheme="minorHAnsi" w:hAnsiTheme="minorHAnsi" w:cstheme="minorHAnsi"/>
                <w:szCs w:val="24"/>
              </w:rPr>
            </w:pPr>
            <w:r>
              <w:rPr>
                <w:rFonts w:asciiTheme="minorHAnsi" w:hAnsiTheme="minorHAnsi" w:cstheme="minorHAnsi"/>
                <w:szCs w:val="24"/>
              </w:rPr>
              <w:t xml:space="preserve">The college has had good success in the past with a train the trainer model of support for some elements of its DE Program. Allowing more participation in DE Professional Development courses will allow the College to expand on this successful model.  </w:t>
            </w:r>
          </w:p>
        </w:tc>
      </w:tr>
    </w:tbl>
    <w:p w14:paraId="34BC02C5" w14:textId="77777777" w:rsidR="00435F33" w:rsidRPr="00CF1500" w:rsidRDefault="00435F33">
      <w:pPr>
        <w:rPr>
          <w:rFonts w:asciiTheme="minorHAnsi" w:hAnsiTheme="minorHAnsi" w:cstheme="minorHAnsi"/>
          <w:szCs w:val="24"/>
        </w:rPr>
      </w:pPr>
    </w:p>
    <w:p w14:paraId="2BC30E18" w14:textId="77777777" w:rsidR="00435F33" w:rsidRPr="00CF1500" w:rsidRDefault="00435F33">
      <w:pPr>
        <w:rPr>
          <w:rFonts w:asciiTheme="minorHAnsi" w:hAnsiTheme="minorHAnsi" w:cstheme="minorHAnsi"/>
          <w:szCs w:val="24"/>
        </w:rPr>
      </w:pPr>
    </w:p>
    <w:p w14:paraId="75006FFA" w14:textId="77777777" w:rsidR="00435F33" w:rsidRPr="00CF1500" w:rsidRDefault="00435F33">
      <w:pPr>
        <w:rPr>
          <w:rFonts w:asciiTheme="minorHAnsi" w:hAnsiTheme="minorHAnsi" w:cstheme="minorHAnsi"/>
          <w:szCs w:val="24"/>
        </w:rPr>
      </w:pPr>
    </w:p>
    <w:p w14:paraId="11FB9BA1" w14:textId="63ECC821" w:rsidR="00435F33" w:rsidRPr="00CF1500" w:rsidRDefault="00435F33" w:rsidP="00AD4C19">
      <w:pPr>
        <w:rPr>
          <w:rFonts w:asciiTheme="minorHAnsi" w:hAnsiTheme="minorHAnsi" w:cstheme="minorHAnsi"/>
          <w:szCs w:val="24"/>
        </w:rPr>
      </w:pPr>
      <w:r w:rsidRPr="00CF1500">
        <w:rPr>
          <w:rFonts w:asciiTheme="minorHAnsi" w:hAnsiTheme="minorHAnsi" w:cstheme="minorHAnsi"/>
          <w:szCs w:val="24"/>
        </w:rPr>
        <w:br w:type="page"/>
      </w:r>
      <w:r w:rsidRPr="00CF1500">
        <w:rPr>
          <w:rFonts w:asciiTheme="minorHAnsi" w:hAnsiTheme="minorHAnsi" w:cstheme="minorHAnsi"/>
          <w:b/>
          <w:szCs w:val="24"/>
          <w:u w:val="single"/>
        </w:rPr>
        <w:lastRenderedPageBreak/>
        <w:t>Budget</w:t>
      </w:r>
    </w:p>
    <w:p w14:paraId="7C8E3757" w14:textId="77777777" w:rsidR="00435F33" w:rsidRPr="00CF1500" w:rsidRDefault="00435F33" w:rsidP="00435F33">
      <w:pPr>
        <w:rPr>
          <w:rFonts w:asciiTheme="minorHAnsi" w:hAnsiTheme="minorHAnsi" w:cstheme="minorHAnsi"/>
          <w:szCs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42"/>
        <w:gridCol w:w="2215"/>
        <w:gridCol w:w="2179"/>
        <w:gridCol w:w="2510"/>
      </w:tblGrid>
      <w:tr w:rsidR="00435F33" w:rsidRPr="00CF1500" w14:paraId="6B07D885" w14:textId="77777777" w:rsidTr="00F24EBA">
        <w:trPr>
          <w:cantSplit/>
          <w:tblHeader/>
        </w:trPr>
        <w:tc>
          <w:tcPr>
            <w:tcW w:w="2610" w:type="dxa"/>
            <w:shd w:val="clear" w:color="auto" w:fill="auto"/>
          </w:tcPr>
          <w:p w14:paraId="76EE0C39" w14:textId="77777777" w:rsidR="00435F33" w:rsidRPr="00CF1500" w:rsidRDefault="00435F33" w:rsidP="00A45528">
            <w:pPr>
              <w:pStyle w:val="Heading6"/>
              <w:keepNext w:val="0"/>
              <w:jc w:val="center"/>
              <w:rPr>
                <w:rFonts w:asciiTheme="minorHAnsi" w:hAnsiTheme="minorHAnsi" w:cstheme="minorHAnsi"/>
                <w:szCs w:val="24"/>
              </w:rPr>
            </w:pPr>
          </w:p>
        </w:tc>
        <w:tc>
          <w:tcPr>
            <w:tcW w:w="2430" w:type="dxa"/>
            <w:shd w:val="clear" w:color="auto" w:fill="auto"/>
          </w:tcPr>
          <w:p w14:paraId="2557DE38" w14:textId="77777777" w:rsidR="00435F33" w:rsidRPr="00CF1500" w:rsidRDefault="00435F33" w:rsidP="00CF1500">
            <w:pPr>
              <w:pStyle w:val="Heading6"/>
              <w:jc w:val="center"/>
              <w:rPr>
                <w:rFonts w:asciiTheme="minorHAnsi" w:hAnsiTheme="minorHAnsi" w:cstheme="minorHAnsi"/>
                <w:color w:val="auto"/>
                <w:szCs w:val="24"/>
              </w:rPr>
            </w:pPr>
            <w:r w:rsidRPr="00CF1500">
              <w:rPr>
                <w:rFonts w:asciiTheme="minorHAnsi" w:hAnsiTheme="minorHAnsi" w:cstheme="minorHAnsi"/>
                <w:color w:val="auto"/>
                <w:szCs w:val="24"/>
              </w:rPr>
              <w:t>Current Budget</w:t>
            </w:r>
          </w:p>
        </w:tc>
        <w:tc>
          <w:tcPr>
            <w:tcW w:w="2380" w:type="dxa"/>
            <w:shd w:val="clear" w:color="auto" w:fill="auto"/>
          </w:tcPr>
          <w:p w14:paraId="36F4D965" w14:textId="77777777" w:rsidR="00435F33" w:rsidRPr="00CF1500" w:rsidRDefault="00435F33" w:rsidP="00CF1500">
            <w:pPr>
              <w:jc w:val="center"/>
              <w:rPr>
                <w:rFonts w:asciiTheme="minorHAnsi" w:hAnsiTheme="minorHAnsi" w:cstheme="minorHAnsi"/>
                <w:color w:val="C00000"/>
                <w:szCs w:val="24"/>
              </w:rPr>
            </w:pPr>
            <w:r w:rsidRPr="00CF1500">
              <w:rPr>
                <w:rFonts w:asciiTheme="minorHAnsi" w:hAnsiTheme="minorHAnsi" w:cstheme="minorHAnsi"/>
                <w:szCs w:val="24"/>
              </w:rPr>
              <w:t>Amount of Change</w:t>
            </w:r>
          </w:p>
        </w:tc>
        <w:tc>
          <w:tcPr>
            <w:tcW w:w="2768" w:type="dxa"/>
            <w:shd w:val="clear" w:color="auto" w:fill="auto"/>
          </w:tcPr>
          <w:p w14:paraId="6A44C35E" w14:textId="77777777" w:rsidR="00435F33" w:rsidRPr="00CF1500" w:rsidRDefault="00435F33" w:rsidP="00CF1500">
            <w:pPr>
              <w:jc w:val="center"/>
              <w:rPr>
                <w:rFonts w:asciiTheme="minorHAnsi" w:hAnsiTheme="minorHAnsi" w:cstheme="minorHAnsi"/>
                <w:szCs w:val="24"/>
              </w:rPr>
            </w:pPr>
            <w:r w:rsidRPr="00CF1500">
              <w:rPr>
                <w:rFonts w:asciiTheme="minorHAnsi" w:hAnsiTheme="minorHAnsi" w:cstheme="minorHAnsi"/>
                <w:szCs w:val="24"/>
              </w:rPr>
              <w:t>Revised Total</w:t>
            </w:r>
          </w:p>
        </w:tc>
      </w:tr>
      <w:tr w:rsidR="00435F33" w:rsidRPr="00CF1500" w14:paraId="54202155" w14:textId="77777777" w:rsidTr="00A45528">
        <w:trPr>
          <w:trHeight w:val="369"/>
        </w:trPr>
        <w:tc>
          <w:tcPr>
            <w:tcW w:w="2610" w:type="dxa"/>
            <w:shd w:val="clear" w:color="auto" w:fill="auto"/>
          </w:tcPr>
          <w:p w14:paraId="270A4B52"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 xml:space="preserve">2000 </w:t>
            </w:r>
            <w:r w:rsidRPr="003C5C8C">
              <w:rPr>
                <w:rFonts w:asciiTheme="minorHAnsi" w:hAnsiTheme="minorHAnsi" w:cstheme="minorHAnsi"/>
                <w:sz w:val="16"/>
                <w:szCs w:val="16"/>
              </w:rPr>
              <w:t>(Student Workers Only)</w:t>
            </w:r>
          </w:p>
        </w:tc>
        <w:tc>
          <w:tcPr>
            <w:tcW w:w="2430" w:type="dxa"/>
            <w:shd w:val="clear" w:color="auto" w:fill="auto"/>
          </w:tcPr>
          <w:p w14:paraId="50F85CEF" w14:textId="032D98E0" w:rsidR="00435F33" w:rsidRPr="00CF1500" w:rsidRDefault="00450A02" w:rsidP="00A45528">
            <w:pPr>
              <w:rPr>
                <w:rFonts w:asciiTheme="minorHAnsi" w:hAnsiTheme="minorHAnsi" w:cstheme="minorHAnsi"/>
                <w:szCs w:val="24"/>
              </w:rPr>
            </w:pPr>
            <w:r>
              <w:rPr>
                <w:rFonts w:asciiTheme="minorHAnsi" w:hAnsiTheme="minorHAnsi" w:cstheme="minorHAnsi"/>
                <w:szCs w:val="24"/>
              </w:rPr>
              <w:t>$0</w:t>
            </w:r>
          </w:p>
        </w:tc>
        <w:tc>
          <w:tcPr>
            <w:tcW w:w="2380" w:type="dxa"/>
          </w:tcPr>
          <w:p w14:paraId="631215FD" w14:textId="77777777" w:rsidR="00435F33" w:rsidRPr="00CF1500" w:rsidRDefault="00435F33" w:rsidP="00A45528">
            <w:pPr>
              <w:rPr>
                <w:rFonts w:asciiTheme="minorHAnsi" w:hAnsiTheme="minorHAnsi" w:cstheme="minorHAnsi"/>
                <w:szCs w:val="24"/>
              </w:rPr>
            </w:pPr>
          </w:p>
        </w:tc>
        <w:tc>
          <w:tcPr>
            <w:tcW w:w="2768" w:type="dxa"/>
          </w:tcPr>
          <w:p w14:paraId="47E26A98" w14:textId="6B0CB25D" w:rsidR="00435F33" w:rsidRPr="00CF1500" w:rsidRDefault="00450A02" w:rsidP="00A45528">
            <w:pPr>
              <w:rPr>
                <w:rFonts w:asciiTheme="minorHAnsi" w:hAnsiTheme="minorHAnsi" w:cstheme="minorHAnsi"/>
                <w:szCs w:val="24"/>
              </w:rPr>
            </w:pPr>
            <w:r>
              <w:rPr>
                <w:rFonts w:asciiTheme="minorHAnsi" w:hAnsiTheme="minorHAnsi" w:cstheme="minorHAnsi"/>
                <w:szCs w:val="24"/>
              </w:rPr>
              <w:t>$0</w:t>
            </w:r>
          </w:p>
        </w:tc>
      </w:tr>
      <w:tr w:rsidR="00435F33" w:rsidRPr="00CF1500" w14:paraId="576A3ED3" w14:textId="77777777" w:rsidTr="00A45528">
        <w:trPr>
          <w:trHeight w:val="369"/>
        </w:trPr>
        <w:tc>
          <w:tcPr>
            <w:tcW w:w="2610" w:type="dxa"/>
            <w:shd w:val="clear" w:color="auto" w:fill="auto"/>
          </w:tcPr>
          <w:p w14:paraId="6FABAB18"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4000</w:t>
            </w:r>
          </w:p>
        </w:tc>
        <w:tc>
          <w:tcPr>
            <w:tcW w:w="2430" w:type="dxa"/>
            <w:shd w:val="clear" w:color="auto" w:fill="auto"/>
          </w:tcPr>
          <w:p w14:paraId="27CFA32B" w14:textId="486FFAF0" w:rsidR="00435F33" w:rsidRPr="00CF1500" w:rsidRDefault="00450A02" w:rsidP="00A45528">
            <w:pPr>
              <w:rPr>
                <w:rFonts w:asciiTheme="minorHAnsi" w:hAnsiTheme="minorHAnsi" w:cstheme="minorHAnsi"/>
                <w:szCs w:val="24"/>
              </w:rPr>
            </w:pPr>
            <w:r>
              <w:rPr>
                <w:rFonts w:asciiTheme="minorHAnsi" w:hAnsiTheme="minorHAnsi" w:cstheme="minorHAnsi"/>
                <w:szCs w:val="24"/>
              </w:rPr>
              <w:t>$0</w:t>
            </w:r>
          </w:p>
        </w:tc>
        <w:tc>
          <w:tcPr>
            <w:tcW w:w="2380" w:type="dxa"/>
          </w:tcPr>
          <w:p w14:paraId="63B36E61" w14:textId="3C20D5C3" w:rsidR="00435F33" w:rsidRPr="00CF1500" w:rsidRDefault="00450A02" w:rsidP="00A45528">
            <w:pPr>
              <w:rPr>
                <w:rFonts w:asciiTheme="minorHAnsi" w:hAnsiTheme="minorHAnsi" w:cstheme="minorHAnsi"/>
                <w:szCs w:val="24"/>
              </w:rPr>
            </w:pPr>
            <w:r>
              <w:rPr>
                <w:rFonts w:asciiTheme="minorHAnsi" w:hAnsiTheme="minorHAnsi" w:cstheme="minorHAnsi"/>
                <w:szCs w:val="24"/>
              </w:rPr>
              <w:t>$500</w:t>
            </w:r>
          </w:p>
        </w:tc>
        <w:tc>
          <w:tcPr>
            <w:tcW w:w="2768" w:type="dxa"/>
          </w:tcPr>
          <w:p w14:paraId="759E5D32" w14:textId="77637AE6" w:rsidR="00435F33" w:rsidRPr="00CF1500" w:rsidRDefault="00450A02" w:rsidP="00A45528">
            <w:pPr>
              <w:rPr>
                <w:rFonts w:asciiTheme="minorHAnsi" w:hAnsiTheme="minorHAnsi" w:cstheme="minorHAnsi"/>
                <w:szCs w:val="24"/>
              </w:rPr>
            </w:pPr>
            <w:r>
              <w:rPr>
                <w:rFonts w:asciiTheme="minorHAnsi" w:hAnsiTheme="minorHAnsi" w:cstheme="minorHAnsi"/>
                <w:szCs w:val="24"/>
              </w:rPr>
              <w:t>$500</w:t>
            </w:r>
          </w:p>
        </w:tc>
      </w:tr>
      <w:tr w:rsidR="00435F33" w:rsidRPr="00CF1500" w14:paraId="00241B11" w14:textId="77777777" w:rsidTr="00A45528">
        <w:trPr>
          <w:trHeight w:val="369"/>
        </w:trPr>
        <w:tc>
          <w:tcPr>
            <w:tcW w:w="2610" w:type="dxa"/>
            <w:shd w:val="clear" w:color="auto" w:fill="auto"/>
          </w:tcPr>
          <w:p w14:paraId="21F901A4"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5000</w:t>
            </w:r>
          </w:p>
        </w:tc>
        <w:tc>
          <w:tcPr>
            <w:tcW w:w="2430" w:type="dxa"/>
            <w:shd w:val="clear" w:color="auto" w:fill="auto"/>
          </w:tcPr>
          <w:p w14:paraId="68C0B403" w14:textId="2D3E9B93" w:rsidR="00435F33" w:rsidRPr="00CF1500" w:rsidRDefault="00450A02" w:rsidP="00A45528">
            <w:pPr>
              <w:rPr>
                <w:rFonts w:asciiTheme="minorHAnsi" w:hAnsiTheme="minorHAnsi" w:cstheme="minorHAnsi"/>
                <w:szCs w:val="24"/>
              </w:rPr>
            </w:pPr>
            <w:r>
              <w:rPr>
                <w:rFonts w:asciiTheme="minorHAnsi" w:hAnsiTheme="minorHAnsi" w:cstheme="minorHAnsi"/>
                <w:szCs w:val="24"/>
              </w:rPr>
              <w:t>$0</w:t>
            </w:r>
          </w:p>
        </w:tc>
        <w:tc>
          <w:tcPr>
            <w:tcW w:w="2380" w:type="dxa"/>
          </w:tcPr>
          <w:p w14:paraId="43C6C336" w14:textId="62798651" w:rsidR="00435F33" w:rsidRPr="00CF1500" w:rsidRDefault="00450A02" w:rsidP="00A45528">
            <w:pPr>
              <w:rPr>
                <w:rFonts w:asciiTheme="minorHAnsi" w:hAnsiTheme="minorHAnsi" w:cstheme="minorHAnsi"/>
                <w:szCs w:val="24"/>
              </w:rPr>
            </w:pPr>
            <w:r>
              <w:rPr>
                <w:rFonts w:asciiTheme="minorHAnsi" w:hAnsiTheme="minorHAnsi" w:cstheme="minorHAnsi"/>
                <w:szCs w:val="24"/>
              </w:rPr>
              <w:t>$</w:t>
            </w:r>
            <w:r w:rsidR="00B82E68">
              <w:rPr>
                <w:rFonts w:asciiTheme="minorHAnsi" w:hAnsiTheme="minorHAnsi" w:cstheme="minorHAnsi"/>
                <w:szCs w:val="24"/>
              </w:rPr>
              <w:t>30</w:t>
            </w:r>
            <w:r w:rsidR="00E87E7E">
              <w:rPr>
                <w:rFonts w:asciiTheme="minorHAnsi" w:hAnsiTheme="minorHAnsi" w:cstheme="minorHAnsi"/>
                <w:szCs w:val="24"/>
              </w:rPr>
              <w:t>,000</w:t>
            </w:r>
          </w:p>
        </w:tc>
        <w:tc>
          <w:tcPr>
            <w:tcW w:w="2768" w:type="dxa"/>
          </w:tcPr>
          <w:p w14:paraId="3B3BCC94" w14:textId="2E875117" w:rsidR="00435F33" w:rsidRPr="00CF1500" w:rsidRDefault="00450A02" w:rsidP="00A45528">
            <w:pPr>
              <w:rPr>
                <w:rFonts w:asciiTheme="minorHAnsi" w:hAnsiTheme="minorHAnsi" w:cstheme="minorHAnsi"/>
                <w:szCs w:val="24"/>
              </w:rPr>
            </w:pPr>
            <w:r>
              <w:rPr>
                <w:rFonts w:asciiTheme="minorHAnsi" w:hAnsiTheme="minorHAnsi" w:cstheme="minorHAnsi"/>
                <w:szCs w:val="24"/>
              </w:rPr>
              <w:t>$</w:t>
            </w:r>
            <w:r w:rsidR="00B82E68">
              <w:rPr>
                <w:rFonts w:asciiTheme="minorHAnsi" w:hAnsiTheme="minorHAnsi" w:cstheme="minorHAnsi"/>
                <w:szCs w:val="24"/>
              </w:rPr>
              <w:t>30</w:t>
            </w:r>
            <w:r w:rsidR="00E87E7E">
              <w:rPr>
                <w:rFonts w:asciiTheme="minorHAnsi" w:hAnsiTheme="minorHAnsi" w:cstheme="minorHAnsi"/>
                <w:szCs w:val="24"/>
              </w:rPr>
              <w:t>,000</w:t>
            </w:r>
          </w:p>
        </w:tc>
      </w:tr>
      <w:tr w:rsidR="00435F33" w:rsidRPr="00CF1500" w14:paraId="79E8FD49" w14:textId="77777777" w:rsidTr="00A45528">
        <w:trPr>
          <w:trHeight w:val="369"/>
        </w:trPr>
        <w:tc>
          <w:tcPr>
            <w:tcW w:w="2610" w:type="dxa"/>
            <w:shd w:val="clear" w:color="auto" w:fill="auto"/>
          </w:tcPr>
          <w:p w14:paraId="042F11BA"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Other</w:t>
            </w:r>
          </w:p>
        </w:tc>
        <w:tc>
          <w:tcPr>
            <w:tcW w:w="2430" w:type="dxa"/>
            <w:shd w:val="clear" w:color="auto" w:fill="auto"/>
          </w:tcPr>
          <w:p w14:paraId="1CC7C90B" w14:textId="7EC2FF70" w:rsidR="00435F33" w:rsidRPr="00CF1500" w:rsidRDefault="00C1271B" w:rsidP="00A45528">
            <w:pPr>
              <w:rPr>
                <w:rFonts w:asciiTheme="minorHAnsi" w:hAnsiTheme="minorHAnsi" w:cstheme="minorHAnsi"/>
                <w:szCs w:val="24"/>
              </w:rPr>
            </w:pPr>
            <w:r>
              <w:rPr>
                <w:rFonts w:asciiTheme="minorHAnsi" w:hAnsiTheme="minorHAnsi" w:cstheme="minorHAnsi"/>
                <w:szCs w:val="24"/>
              </w:rPr>
              <w:t>$0</w:t>
            </w:r>
          </w:p>
        </w:tc>
        <w:tc>
          <w:tcPr>
            <w:tcW w:w="2380" w:type="dxa"/>
          </w:tcPr>
          <w:p w14:paraId="37785CE3" w14:textId="31027356" w:rsidR="00435F33" w:rsidRPr="00CF1500" w:rsidRDefault="00C1271B" w:rsidP="00A45528">
            <w:pPr>
              <w:rPr>
                <w:rFonts w:asciiTheme="minorHAnsi" w:hAnsiTheme="minorHAnsi" w:cstheme="minorHAnsi"/>
                <w:szCs w:val="24"/>
              </w:rPr>
            </w:pPr>
            <w:r>
              <w:rPr>
                <w:rFonts w:asciiTheme="minorHAnsi" w:hAnsiTheme="minorHAnsi" w:cstheme="minorHAnsi"/>
                <w:szCs w:val="24"/>
              </w:rPr>
              <w:t>$20,000</w:t>
            </w:r>
          </w:p>
        </w:tc>
        <w:tc>
          <w:tcPr>
            <w:tcW w:w="2768" w:type="dxa"/>
          </w:tcPr>
          <w:p w14:paraId="1F90325E" w14:textId="6F837692" w:rsidR="00435F33" w:rsidRPr="00CF1500" w:rsidRDefault="00C1271B" w:rsidP="00A45528">
            <w:pPr>
              <w:rPr>
                <w:rFonts w:asciiTheme="minorHAnsi" w:hAnsiTheme="minorHAnsi" w:cstheme="minorHAnsi"/>
                <w:szCs w:val="24"/>
              </w:rPr>
            </w:pPr>
            <w:r>
              <w:rPr>
                <w:rFonts w:asciiTheme="minorHAnsi" w:hAnsiTheme="minorHAnsi" w:cstheme="minorHAnsi"/>
                <w:szCs w:val="24"/>
              </w:rPr>
              <w:t>$20,000</w:t>
            </w:r>
          </w:p>
        </w:tc>
      </w:tr>
    </w:tbl>
    <w:p w14:paraId="7A49E21C" w14:textId="77777777" w:rsidR="00435F33" w:rsidRPr="00CF1500" w:rsidRDefault="00435F33">
      <w:pPr>
        <w:rPr>
          <w:rFonts w:asciiTheme="minorHAnsi" w:hAnsiTheme="minorHAnsi" w:cstheme="minorHAnsi"/>
          <w:szCs w:val="24"/>
        </w:rPr>
      </w:pPr>
    </w:p>
    <w:p w14:paraId="7F745177" w14:textId="77777777" w:rsidR="00435F33" w:rsidRPr="00CF1500" w:rsidRDefault="00435F33">
      <w:pPr>
        <w:rPr>
          <w:rFonts w:asciiTheme="minorHAnsi" w:hAnsiTheme="minorHAnsi" w:cstheme="minorHAnsi"/>
          <w:szCs w:val="24"/>
        </w:rPr>
      </w:pPr>
    </w:p>
    <w:p w14:paraId="6ADE64C2" w14:textId="0DC67E65" w:rsidR="00435F33" w:rsidRPr="00FC1351" w:rsidRDefault="00435F33">
      <w:pPr>
        <w:rPr>
          <w:rFonts w:asciiTheme="minorHAnsi" w:hAnsiTheme="minorHAnsi" w:cstheme="minorHAnsi"/>
          <w:b/>
          <w:szCs w:val="24"/>
        </w:rPr>
      </w:pPr>
      <w:r w:rsidRPr="00FC1351">
        <w:rPr>
          <w:rFonts w:asciiTheme="minorHAnsi" w:hAnsiTheme="minorHAnsi" w:cstheme="minorHAnsi"/>
          <w:b/>
          <w:szCs w:val="24"/>
        </w:rPr>
        <w:t xml:space="preserve">Justification: </w:t>
      </w:r>
    </w:p>
    <w:p w14:paraId="694D3868" w14:textId="3D36B06C" w:rsidR="00435F33" w:rsidRDefault="00AD4C19">
      <w:pPr>
        <w:rPr>
          <w:rFonts w:asciiTheme="minorHAnsi" w:hAnsiTheme="minorHAnsi" w:cstheme="minorHAnsi"/>
          <w:szCs w:val="24"/>
        </w:rPr>
      </w:pPr>
      <w:r w:rsidRPr="00AD4C19">
        <w:rPr>
          <w:rFonts w:asciiTheme="minorHAnsi" w:hAnsiTheme="minorHAnsi" w:cstheme="minorHAnsi"/>
          <w:szCs w:val="24"/>
        </w:rPr>
        <w:t xml:space="preserve">In the past, Distance Education has not had a budget. Therefore, when funds were needed for a DE project, valuable time was spent in searching for a funding source. Due to this situation, many projects have never gotten past the initial concept phase because funding has been an issue. </w:t>
      </w:r>
      <w:r w:rsidR="002764BD">
        <w:rPr>
          <w:rFonts w:asciiTheme="minorHAnsi" w:hAnsiTheme="minorHAnsi" w:cstheme="minorHAnsi"/>
          <w:szCs w:val="24"/>
        </w:rPr>
        <w:t xml:space="preserve">Also, when the pandemic hit and everything went online the state Chancellor’s Office funded many of the technology tools that the College relied on. Going forward, the College will need to pay for those </w:t>
      </w:r>
      <w:r w:rsidR="00B5138D">
        <w:rPr>
          <w:rFonts w:asciiTheme="minorHAnsi" w:hAnsiTheme="minorHAnsi" w:cstheme="minorHAnsi"/>
          <w:szCs w:val="24"/>
        </w:rPr>
        <w:t xml:space="preserve">services and resources that have been vital for our online students’ success. </w:t>
      </w:r>
      <w:r w:rsidRPr="00AD4C19">
        <w:rPr>
          <w:rFonts w:asciiTheme="minorHAnsi" w:hAnsiTheme="minorHAnsi" w:cstheme="minorHAnsi"/>
          <w:szCs w:val="24"/>
        </w:rPr>
        <w:t>To have a healthy and effective DE program, it is necessary that the college commit financial resources to the program. Having an actual budget in place will mean that the DE program will be able to plan for future growth and improvements, and implement those plans.</w:t>
      </w:r>
    </w:p>
    <w:p w14:paraId="5D6D1292" w14:textId="3C6E6553" w:rsidR="00AD4C19" w:rsidRDefault="00AD4C19">
      <w:pPr>
        <w:rPr>
          <w:rFonts w:asciiTheme="minorHAnsi" w:hAnsiTheme="minorHAnsi" w:cstheme="minorHAnsi"/>
          <w:szCs w:val="24"/>
        </w:rPr>
      </w:pPr>
    </w:p>
    <w:p w14:paraId="2C368B92" w14:textId="15B6B883" w:rsidR="00C1271B" w:rsidRPr="00C1271B" w:rsidRDefault="00C1271B" w:rsidP="00C1271B">
      <w:pPr>
        <w:rPr>
          <w:rFonts w:asciiTheme="minorHAnsi" w:hAnsiTheme="minorHAnsi" w:cstheme="minorHAnsi"/>
          <w:szCs w:val="24"/>
        </w:rPr>
      </w:pPr>
      <w:r w:rsidRPr="00FC1351">
        <w:rPr>
          <w:rFonts w:asciiTheme="minorHAnsi" w:hAnsiTheme="minorHAnsi" w:cstheme="minorHAnsi"/>
          <w:b/>
          <w:szCs w:val="24"/>
        </w:rPr>
        <w:t>4000</w:t>
      </w:r>
      <w:r w:rsidRPr="00C1271B">
        <w:rPr>
          <w:rFonts w:asciiTheme="minorHAnsi" w:hAnsiTheme="minorHAnsi" w:cstheme="minorHAnsi"/>
          <w:szCs w:val="24"/>
        </w:rPr>
        <w:t xml:space="preserve"> - $</w:t>
      </w:r>
      <w:r>
        <w:rPr>
          <w:rFonts w:asciiTheme="minorHAnsi" w:hAnsiTheme="minorHAnsi" w:cstheme="minorHAnsi"/>
          <w:szCs w:val="24"/>
        </w:rPr>
        <w:t>500</w:t>
      </w:r>
      <w:r w:rsidRPr="00C1271B">
        <w:rPr>
          <w:rFonts w:asciiTheme="minorHAnsi" w:hAnsiTheme="minorHAnsi" w:cstheme="minorHAnsi"/>
          <w:szCs w:val="24"/>
        </w:rPr>
        <w:t xml:space="preserve"> for office supplies</w:t>
      </w:r>
      <w:r>
        <w:rPr>
          <w:rFonts w:asciiTheme="minorHAnsi" w:hAnsiTheme="minorHAnsi" w:cstheme="minorHAnsi"/>
          <w:szCs w:val="24"/>
        </w:rPr>
        <w:t xml:space="preserve"> and </w:t>
      </w:r>
      <w:r w:rsidRPr="00C1271B">
        <w:rPr>
          <w:rFonts w:asciiTheme="minorHAnsi" w:hAnsiTheme="minorHAnsi" w:cstheme="minorHAnsi"/>
          <w:szCs w:val="24"/>
        </w:rPr>
        <w:t xml:space="preserve">food for </w:t>
      </w:r>
      <w:r>
        <w:rPr>
          <w:rFonts w:asciiTheme="minorHAnsi" w:hAnsiTheme="minorHAnsi" w:cstheme="minorHAnsi"/>
          <w:szCs w:val="24"/>
        </w:rPr>
        <w:t>faculty</w:t>
      </w:r>
      <w:r w:rsidRPr="00C1271B">
        <w:rPr>
          <w:rFonts w:asciiTheme="minorHAnsi" w:hAnsiTheme="minorHAnsi" w:cstheme="minorHAnsi"/>
          <w:szCs w:val="24"/>
        </w:rPr>
        <w:t xml:space="preserve"> workshop</w:t>
      </w:r>
      <w:r>
        <w:rPr>
          <w:rFonts w:asciiTheme="minorHAnsi" w:hAnsiTheme="minorHAnsi" w:cstheme="minorHAnsi"/>
          <w:szCs w:val="24"/>
        </w:rPr>
        <w:t>s</w:t>
      </w:r>
      <w:r w:rsidRPr="00C1271B">
        <w:rPr>
          <w:rFonts w:asciiTheme="minorHAnsi" w:hAnsiTheme="minorHAnsi" w:cstheme="minorHAnsi"/>
          <w:szCs w:val="24"/>
        </w:rPr>
        <w:t>.</w:t>
      </w:r>
    </w:p>
    <w:p w14:paraId="7FD9476C" w14:textId="77777777" w:rsidR="00C1271B" w:rsidRPr="00C1271B" w:rsidRDefault="00C1271B" w:rsidP="00AD4C19">
      <w:pPr>
        <w:rPr>
          <w:rFonts w:asciiTheme="minorHAnsi" w:hAnsiTheme="minorHAnsi" w:cstheme="minorHAnsi"/>
          <w:szCs w:val="24"/>
        </w:rPr>
      </w:pPr>
    </w:p>
    <w:p w14:paraId="7F3AD930" w14:textId="230F3963" w:rsidR="00AD4C19" w:rsidRDefault="00AD4C19" w:rsidP="00AD4C19">
      <w:pPr>
        <w:rPr>
          <w:rFonts w:asciiTheme="minorHAnsi" w:hAnsiTheme="minorHAnsi" w:cstheme="minorHAnsi"/>
          <w:szCs w:val="24"/>
        </w:rPr>
      </w:pPr>
      <w:r w:rsidRPr="00FC1351">
        <w:rPr>
          <w:rFonts w:asciiTheme="minorHAnsi" w:hAnsiTheme="minorHAnsi" w:cstheme="minorHAnsi"/>
          <w:b/>
          <w:szCs w:val="24"/>
        </w:rPr>
        <w:t>5000</w:t>
      </w:r>
      <w:r w:rsidRPr="00C1271B">
        <w:rPr>
          <w:rFonts w:asciiTheme="minorHAnsi" w:hAnsiTheme="minorHAnsi" w:cstheme="minorHAnsi"/>
          <w:szCs w:val="24"/>
        </w:rPr>
        <w:t xml:space="preserve"> - $</w:t>
      </w:r>
      <w:r w:rsidR="00E87E7E">
        <w:rPr>
          <w:rFonts w:asciiTheme="minorHAnsi" w:hAnsiTheme="minorHAnsi" w:cstheme="minorHAnsi"/>
          <w:szCs w:val="24"/>
        </w:rPr>
        <w:t>5</w:t>
      </w:r>
      <w:r w:rsidRPr="00C1271B">
        <w:rPr>
          <w:rFonts w:asciiTheme="minorHAnsi" w:hAnsiTheme="minorHAnsi" w:cstheme="minorHAnsi"/>
          <w:szCs w:val="24"/>
        </w:rPr>
        <w:t>,0</w:t>
      </w:r>
      <w:r w:rsidR="00E87E7E">
        <w:rPr>
          <w:rFonts w:asciiTheme="minorHAnsi" w:hAnsiTheme="minorHAnsi" w:cstheme="minorHAnsi"/>
          <w:szCs w:val="24"/>
        </w:rPr>
        <w:t>00</w:t>
      </w:r>
      <w:r w:rsidRPr="00C1271B">
        <w:rPr>
          <w:rFonts w:asciiTheme="minorHAnsi" w:hAnsiTheme="minorHAnsi" w:cstheme="minorHAnsi"/>
          <w:szCs w:val="24"/>
        </w:rPr>
        <w:t xml:space="preserve"> </w:t>
      </w:r>
      <w:r w:rsidR="00450A02" w:rsidRPr="00C1271B">
        <w:rPr>
          <w:rFonts w:asciiTheme="minorHAnsi" w:hAnsiTheme="minorHAnsi" w:cstheme="minorHAnsi"/>
          <w:szCs w:val="24"/>
        </w:rPr>
        <w:t xml:space="preserve">annually </w:t>
      </w:r>
      <w:r w:rsidRPr="00C1271B">
        <w:rPr>
          <w:rFonts w:asciiTheme="minorHAnsi" w:hAnsiTheme="minorHAnsi" w:cstheme="minorHAnsi"/>
          <w:szCs w:val="24"/>
        </w:rPr>
        <w:t>for training</w:t>
      </w:r>
      <w:r w:rsidR="00450A02" w:rsidRPr="00C1271B">
        <w:rPr>
          <w:rFonts w:asciiTheme="minorHAnsi" w:hAnsiTheme="minorHAnsi" w:cstheme="minorHAnsi"/>
          <w:szCs w:val="24"/>
        </w:rPr>
        <w:t xml:space="preserve"> and</w:t>
      </w:r>
      <w:r w:rsidRPr="00C1271B">
        <w:rPr>
          <w:rFonts w:asciiTheme="minorHAnsi" w:hAnsiTheme="minorHAnsi" w:cstheme="minorHAnsi"/>
          <w:szCs w:val="24"/>
        </w:rPr>
        <w:t xml:space="preserve"> conferences</w:t>
      </w:r>
      <w:r w:rsidR="00E87E7E">
        <w:rPr>
          <w:rFonts w:asciiTheme="minorHAnsi" w:hAnsiTheme="minorHAnsi" w:cstheme="minorHAnsi"/>
          <w:szCs w:val="24"/>
        </w:rPr>
        <w:t>, including training for peer online course reviewers</w:t>
      </w:r>
      <w:r w:rsidR="00450A02" w:rsidRPr="00C1271B">
        <w:rPr>
          <w:rFonts w:asciiTheme="minorHAnsi" w:hAnsiTheme="minorHAnsi" w:cstheme="minorHAnsi"/>
          <w:szCs w:val="24"/>
        </w:rPr>
        <w:t xml:space="preserve">. </w:t>
      </w:r>
      <w:r w:rsidRPr="00C1271B">
        <w:rPr>
          <w:rFonts w:asciiTheme="minorHAnsi" w:hAnsiTheme="minorHAnsi" w:cstheme="minorHAnsi"/>
          <w:szCs w:val="24"/>
        </w:rPr>
        <w:t xml:space="preserve"> </w:t>
      </w:r>
      <w:r w:rsidR="00450A02" w:rsidRPr="00C1271B">
        <w:rPr>
          <w:rFonts w:asciiTheme="minorHAnsi" w:hAnsiTheme="minorHAnsi" w:cstheme="minorHAnsi"/>
          <w:szCs w:val="24"/>
        </w:rPr>
        <w:t>$</w:t>
      </w:r>
      <w:r w:rsidR="00B82E68">
        <w:rPr>
          <w:rFonts w:asciiTheme="minorHAnsi" w:hAnsiTheme="minorHAnsi" w:cstheme="minorHAnsi"/>
          <w:szCs w:val="24"/>
        </w:rPr>
        <w:t>25</w:t>
      </w:r>
      <w:r w:rsidR="00450A02" w:rsidRPr="00C1271B">
        <w:rPr>
          <w:rFonts w:asciiTheme="minorHAnsi" w:hAnsiTheme="minorHAnsi" w:cstheme="minorHAnsi"/>
          <w:szCs w:val="24"/>
        </w:rPr>
        <w:t xml:space="preserve">,000 annually for </w:t>
      </w:r>
      <w:r w:rsidRPr="00C1271B">
        <w:rPr>
          <w:rFonts w:asciiTheme="minorHAnsi" w:hAnsiTheme="minorHAnsi" w:cstheme="minorHAnsi"/>
          <w:szCs w:val="24"/>
        </w:rPr>
        <w:t xml:space="preserve">software licenses, and technology services (e.g. </w:t>
      </w:r>
      <w:r w:rsidR="00B82E68">
        <w:rPr>
          <w:rFonts w:asciiTheme="minorHAnsi" w:hAnsiTheme="minorHAnsi" w:cstheme="minorHAnsi"/>
          <w:szCs w:val="24"/>
        </w:rPr>
        <w:t>Canvas Studio</w:t>
      </w:r>
      <w:r w:rsidR="00450A02" w:rsidRPr="00C1271B">
        <w:rPr>
          <w:rFonts w:asciiTheme="minorHAnsi" w:hAnsiTheme="minorHAnsi" w:cstheme="minorHAnsi"/>
          <w:szCs w:val="24"/>
        </w:rPr>
        <w:t>, Proctorio</w:t>
      </w:r>
      <w:r w:rsidRPr="00C1271B">
        <w:rPr>
          <w:rFonts w:asciiTheme="minorHAnsi" w:hAnsiTheme="minorHAnsi" w:cstheme="minorHAnsi"/>
          <w:szCs w:val="24"/>
        </w:rPr>
        <w:t>,</w:t>
      </w:r>
      <w:r w:rsidR="00B82E68">
        <w:rPr>
          <w:rFonts w:asciiTheme="minorHAnsi" w:hAnsiTheme="minorHAnsi" w:cstheme="minorHAnsi"/>
          <w:szCs w:val="24"/>
        </w:rPr>
        <w:t xml:space="preserve"> NetTutor,</w:t>
      </w:r>
      <w:r w:rsidRPr="00C1271B">
        <w:rPr>
          <w:rFonts w:asciiTheme="minorHAnsi" w:hAnsiTheme="minorHAnsi" w:cstheme="minorHAnsi"/>
          <w:szCs w:val="24"/>
        </w:rPr>
        <w:t xml:space="preserve"> etc.)</w:t>
      </w:r>
    </w:p>
    <w:p w14:paraId="4966ABE4" w14:textId="02DD1AE8" w:rsidR="00C1271B" w:rsidRDefault="00C1271B" w:rsidP="00AD4C19">
      <w:pPr>
        <w:rPr>
          <w:rFonts w:asciiTheme="minorHAnsi" w:hAnsiTheme="minorHAnsi" w:cstheme="minorHAnsi"/>
          <w:szCs w:val="24"/>
        </w:rPr>
      </w:pPr>
    </w:p>
    <w:p w14:paraId="775DD7EC" w14:textId="0A97A197" w:rsidR="00C1271B" w:rsidRPr="00C1271B" w:rsidRDefault="00C1271B" w:rsidP="00AD4C19">
      <w:pPr>
        <w:rPr>
          <w:rFonts w:asciiTheme="minorHAnsi" w:hAnsiTheme="minorHAnsi" w:cstheme="minorHAnsi"/>
          <w:szCs w:val="24"/>
        </w:rPr>
      </w:pPr>
      <w:r w:rsidRPr="00FC1351">
        <w:rPr>
          <w:rFonts w:asciiTheme="minorHAnsi" w:hAnsiTheme="minorHAnsi" w:cstheme="minorHAnsi"/>
          <w:b/>
          <w:szCs w:val="24"/>
        </w:rPr>
        <w:t xml:space="preserve">Other </w:t>
      </w:r>
      <w:r>
        <w:rPr>
          <w:rFonts w:asciiTheme="minorHAnsi" w:hAnsiTheme="minorHAnsi" w:cstheme="minorHAnsi"/>
          <w:szCs w:val="24"/>
        </w:rPr>
        <w:t>- $20,000 to cover the cost of compensating faculty for work on aligning online courses to the CVC-OEI course design rubric.</w:t>
      </w:r>
    </w:p>
    <w:p w14:paraId="00656706" w14:textId="2C017BB7" w:rsidR="00874FA5" w:rsidRDefault="00874FA5">
      <w:pPr>
        <w:spacing w:after="160" w:line="259" w:lineRule="auto"/>
        <w:rPr>
          <w:rFonts w:asciiTheme="minorHAnsi" w:hAnsiTheme="minorHAnsi" w:cstheme="minorHAnsi"/>
          <w:szCs w:val="24"/>
        </w:rPr>
      </w:pPr>
      <w:r>
        <w:rPr>
          <w:rFonts w:asciiTheme="minorHAnsi" w:hAnsiTheme="minorHAnsi" w:cstheme="minorHAnsi"/>
          <w:szCs w:val="24"/>
        </w:rPr>
        <w:br w:type="page"/>
      </w:r>
    </w:p>
    <w:p w14:paraId="732D30F3" w14:textId="77777777" w:rsidR="001F0A13" w:rsidRDefault="001F0A13">
      <w:pPr>
        <w:rPr>
          <w:rFonts w:asciiTheme="minorHAnsi" w:hAnsiTheme="minorHAnsi" w:cstheme="minorHAnsi"/>
          <w:b/>
          <w:szCs w:val="24"/>
        </w:rPr>
      </w:pPr>
    </w:p>
    <w:p w14:paraId="4FF3F3F8" w14:textId="1D702AF8" w:rsidR="00B5138D" w:rsidRPr="001F0A13" w:rsidRDefault="00874FA5">
      <w:pPr>
        <w:rPr>
          <w:rFonts w:asciiTheme="minorHAnsi" w:hAnsiTheme="minorHAnsi" w:cstheme="minorHAnsi"/>
          <w:b/>
          <w:szCs w:val="24"/>
        </w:rPr>
      </w:pPr>
      <w:r w:rsidRPr="001F0A13">
        <w:rPr>
          <w:rFonts w:asciiTheme="minorHAnsi" w:hAnsiTheme="minorHAnsi" w:cstheme="minorHAnsi"/>
          <w:b/>
          <w:szCs w:val="24"/>
        </w:rPr>
        <w:t>ENDNOTES:</w:t>
      </w:r>
    </w:p>
    <w:p w14:paraId="50A3CA35" w14:textId="75E253B1" w:rsidR="005007BB" w:rsidRPr="00935082" w:rsidRDefault="005007BB" w:rsidP="005007BB">
      <w:pPr>
        <w:rPr>
          <w:rFonts w:asciiTheme="minorHAnsi" w:hAnsiTheme="minorHAnsi" w:cstheme="minorHAnsi"/>
          <w:szCs w:val="24"/>
        </w:rPr>
      </w:pPr>
      <w:r>
        <w:rPr>
          <w:rFonts w:asciiTheme="minorHAnsi" w:hAnsiTheme="minorHAnsi" w:cstheme="minorHAnsi"/>
          <w:b/>
          <w:bCs/>
          <w:szCs w:val="24"/>
        </w:rPr>
        <w:t>1</w:t>
      </w:r>
      <w:r w:rsidRPr="00935082">
        <w:rPr>
          <w:rFonts w:asciiTheme="minorHAnsi" w:hAnsiTheme="minorHAnsi" w:cstheme="minorHAnsi"/>
          <w:szCs w:val="24"/>
        </w:rPr>
        <w:t xml:space="preserve"> </w:t>
      </w:r>
      <w:r w:rsidR="00874FA5">
        <w:rPr>
          <w:rFonts w:asciiTheme="minorHAnsi" w:hAnsiTheme="minorHAnsi" w:cstheme="minorHAnsi"/>
          <w:szCs w:val="24"/>
        </w:rPr>
        <w:t>D</w:t>
      </w:r>
      <w:r w:rsidRPr="00935082">
        <w:rPr>
          <w:rFonts w:asciiTheme="minorHAnsi" w:hAnsiTheme="minorHAnsi" w:cstheme="minorHAnsi"/>
          <w:szCs w:val="24"/>
        </w:rPr>
        <w:t xml:space="preserve">ata </w:t>
      </w:r>
      <w:r w:rsidR="00874FA5">
        <w:rPr>
          <w:rFonts w:asciiTheme="minorHAnsi" w:hAnsiTheme="minorHAnsi" w:cstheme="minorHAnsi"/>
          <w:szCs w:val="24"/>
        </w:rPr>
        <w:t xml:space="preserve">is </w:t>
      </w:r>
      <w:r w:rsidRPr="00935082">
        <w:rPr>
          <w:rFonts w:asciiTheme="minorHAnsi" w:hAnsiTheme="minorHAnsi" w:cstheme="minorHAnsi"/>
          <w:szCs w:val="24"/>
        </w:rPr>
        <w:t>based on records kept by the E</w:t>
      </w:r>
      <w:r w:rsidR="000B3800">
        <w:rPr>
          <w:rFonts w:asciiTheme="minorHAnsi" w:hAnsiTheme="minorHAnsi" w:cstheme="minorHAnsi"/>
          <w:szCs w:val="24"/>
        </w:rPr>
        <w:t xml:space="preserve">ducational </w:t>
      </w:r>
      <w:r w:rsidRPr="00935082">
        <w:rPr>
          <w:rFonts w:asciiTheme="minorHAnsi" w:hAnsiTheme="minorHAnsi" w:cstheme="minorHAnsi"/>
          <w:szCs w:val="24"/>
        </w:rPr>
        <w:t>M</w:t>
      </w:r>
      <w:r w:rsidR="000B3800">
        <w:rPr>
          <w:rFonts w:asciiTheme="minorHAnsi" w:hAnsiTheme="minorHAnsi" w:cstheme="minorHAnsi"/>
          <w:szCs w:val="24"/>
        </w:rPr>
        <w:t xml:space="preserve">edia </w:t>
      </w:r>
      <w:r w:rsidRPr="00935082">
        <w:rPr>
          <w:rFonts w:asciiTheme="minorHAnsi" w:hAnsiTheme="minorHAnsi" w:cstheme="minorHAnsi"/>
          <w:szCs w:val="24"/>
        </w:rPr>
        <w:t>D</w:t>
      </w:r>
      <w:r w:rsidR="000B3800">
        <w:rPr>
          <w:rFonts w:asciiTheme="minorHAnsi" w:hAnsiTheme="minorHAnsi" w:cstheme="minorHAnsi"/>
          <w:szCs w:val="24"/>
        </w:rPr>
        <w:t xml:space="preserve">esign </w:t>
      </w:r>
      <w:r w:rsidRPr="00935082">
        <w:rPr>
          <w:rFonts w:asciiTheme="minorHAnsi" w:hAnsiTheme="minorHAnsi" w:cstheme="minorHAnsi"/>
          <w:szCs w:val="24"/>
        </w:rPr>
        <w:t>S</w:t>
      </w:r>
      <w:r w:rsidR="000B3800">
        <w:rPr>
          <w:rFonts w:asciiTheme="minorHAnsi" w:hAnsiTheme="minorHAnsi" w:cstheme="minorHAnsi"/>
          <w:szCs w:val="24"/>
        </w:rPr>
        <w:t>pecialist (EMDS)</w:t>
      </w:r>
      <w:r w:rsidRPr="00935082">
        <w:rPr>
          <w:rFonts w:asciiTheme="minorHAnsi" w:hAnsiTheme="minorHAnsi" w:cstheme="minorHAnsi"/>
          <w:szCs w:val="24"/>
        </w:rPr>
        <w:t xml:space="preserve"> for each semester.</w:t>
      </w:r>
    </w:p>
    <w:p w14:paraId="0CCCF59E" w14:textId="0B8C495D" w:rsidR="005007BB" w:rsidRPr="00935082" w:rsidRDefault="005007BB" w:rsidP="005007BB">
      <w:pPr>
        <w:rPr>
          <w:rFonts w:asciiTheme="minorHAnsi" w:hAnsiTheme="minorHAnsi" w:cstheme="minorHAnsi"/>
          <w:szCs w:val="24"/>
        </w:rPr>
      </w:pPr>
      <w:r>
        <w:rPr>
          <w:rFonts w:asciiTheme="minorHAnsi" w:hAnsiTheme="minorHAnsi" w:cstheme="minorHAnsi"/>
          <w:b/>
          <w:bCs/>
          <w:szCs w:val="24"/>
        </w:rPr>
        <w:t>2</w:t>
      </w:r>
      <w:r w:rsidRPr="00935082">
        <w:rPr>
          <w:rFonts w:asciiTheme="minorHAnsi" w:hAnsiTheme="minorHAnsi" w:cstheme="minorHAnsi"/>
          <w:szCs w:val="24"/>
        </w:rPr>
        <w:t xml:space="preserve"> </w:t>
      </w:r>
      <w:r w:rsidR="00874FA5">
        <w:rPr>
          <w:rFonts w:asciiTheme="minorHAnsi" w:hAnsiTheme="minorHAnsi" w:cstheme="minorHAnsi"/>
          <w:szCs w:val="24"/>
        </w:rPr>
        <w:t>D</w:t>
      </w:r>
      <w:r w:rsidRPr="00935082">
        <w:rPr>
          <w:rFonts w:asciiTheme="minorHAnsi" w:hAnsiTheme="minorHAnsi" w:cstheme="minorHAnsi"/>
          <w:szCs w:val="24"/>
        </w:rPr>
        <w:t xml:space="preserve">ata </w:t>
      </w:r>
      <w:r w:rsidR="00874FA5">
        <w:rPr>
          <w:rFonts w:asciiTheme="minorHAnsi" w:hAnsiTheme="minorHAnsi" w:cstheme="minorHAnsi"/>
          <w:szCs w:val="24"/>
        </w:rPr>
        <w:t>is</w:t>
      </w:r>
      <w:r w:rsidRPr="00935082">
        <w:rPr>
          <w:rFonts w:asciiTheme="minorHAnsi" w:hAnsiTheme="minorHAnsi" w:cstheme="minorHAnsi"/>
          <w:szCs w:val="24"/>
        </w:rPr>
        <w:t xml:space="preserve"> based on the SB 129 report compiled by the KCCD and sent to the state Chancellor’s Office in September 2021.</w:t>
      </w:r>
    </w:p>
    <w:p w14:paraId="064EC5DA" w14:textId="4BB0D234" w:rsidR="00935082" w:rsidRDefault="005007BB">
      <w:pPr>
        <w:rPr>
          <w:rFonts w:asciiTheme="minorHAnsi" w:hAnsiTheme="minorHAnsi" w:cstheme="minorHAnsi"/>
          <w:szCs w:val="24"/>
        </w:rPr>
      </w:pPr>
      <w:r>
        <w:rPr>
          <w:rFonts w:asciiTheme="minorHAnsi" w:hAnsiTheme="minorHAnsi" w:cstheme="minorHAnsi"/>
          <w:b/>
          <w:bCs/>
          <w:szCs w:val="24"/>
        </w:rPr>
        <w:t>3</w:t>
      </w:r>
      <w:r w:rsidRPr="00935082">
        <w:rPr>
          <w:rFonts w:asciiTheme="minorHAnsi" w:hAnsiTheme="minorHAnsi" w:cstheme="minorHAnsi"/>
          <w:szCs w:val="24"/>
        </w:rPr>
        <w:t xml:space="preserve"> </w:t>
      </w:r>
      <w:r w:rsidR="00874FA5">
        <w:rPr>
          <w:rFonts w:asciiTheme="minorHAnsi" w:hAnsiTheme="minorHAnsi" w:cstheme="minorHAnsi"/>
          <w:szCs w:val="24"/>
        </w:rPr>
        <w:t>Data</w:t>
      </w:r>
      <w:r w:rsidRPr="00935082">
        <w:rPr>
          <w:rFonts w:asciiTheme="minorHAnsi" w:hAnsiTheme="minorHAnsi" w:cstheme="minorHAnsi"/>
          <w:szCs w:val="24"/>
        </w:rPr>
        <w:t xml:space="preserve"> was retrieved through the </w:t>
      </w:r>
      <w:hyperlink r:id="rId10" w:anchor="nav-historical-institutional-data-dashboards" w:history="1">
        <w:r w:rsidRPr="00935082">
          <w:rPr>
            <w:rStyle w:val="Hyperlink"/>
            <w:rFonts w:asciiTheme="minorHAnsi" w:hAnsiTheme="minorHAnsi" w:cstheme="minorHAnsi"/>
            <w:szCs w:val="24"/>
          </w:rPr>
          <w:t>KCCD Tableau historical institutional dashboards</w:t>
        </w:r>
      </w:hyperlink>
    </w:p>
    <w:p w14:paraId="1925DBFF" w14:textId="3040725E" w:rsidR="00935082" w:rsidRPr="00935082" w:rsidRDefault="005007BB" w:rsidP="00935082">
      <w:pPr>
        <w:rPr>
          <w:rFonts w:asciiTheme="minorHAnsi" w:hAnsiTheme="minorHAnsi" w:cstheme="minorHAnsi"/>
          <w:szCs w:val="24"/>
        </w:rPr>
      </w:pPr>
      <w:r>
        <w:rPr>
          <w:rFonts w:asciiTheme="minorHAnsi" w:hAnsiTheme="minorHAnsi" w:cstheme="minorHAnsi"/>
          <w:b/>
          <w:bCs/>
          <w:szCs w:val="24"/>
        </w:rPr>
        <w:t>4</w:t>
      </w:r>
      <w:r w:rsidR="00935082" w:rsidRPr="00935082">
        <w:rPr>
          <w:rFonts w:asciiTheme="minorHAnsi" w:hAnsiTheme="minorHAnsi" w:cstheme="minorHAnsi"/>
          <w:szCs w:val="24"/>
        </w:rPr>
        <w:t xml:space="preserve"> </w:t>
      </w:r>
      <w:r w:rsidR="00874FA5">
        <w:rPr>
          <w:rFonts w:asciiTheme="minorHAnsi" w:hAnsiTheme="minorHAnsi" w:cstheme="minorHAnsi"/>
          <w:szCs w:val="24"/>
        </w:rPr>
        <w:t>Data</w:t>
      </w:r>
      <w:r w:rsidR="00935082" w:rsidRPr="00935082">
        <w:rPr>
          <w:rFonts w:asciiTheme="minorHAnsi" w:hAnsiTheme="minorHAnsi" w:cstheme="minorHAnsi"/>
          <w:szCs w:val="24"/>
        </w:rPr>
        <w:t xml:space="preserve"> is based on the enrollment report as of 9/27/2021 and the Canvas “Unused Courses” report on 9/30/2021</w:t>
      </w:r>
    </w:p>
    <w:p w14:paraId="5C757511" w14:textId="7F26EDFB" w:rsidR="00935082" w:rsidRPr="00935082" w:rsidRDefault="005007BB" w:rsidP="00935082">
      <w:pPr>
        <w:rPr>
          <w:rFonts w:asciiTheme="minorHAnsi" w:hAnsiTheme="minorHAnsi" w:cstheme="minorHAnsi"/>
          <w:szCs w:val="24"/>
        </w:rPr>
      </w:pPr>
      <w:r>
        <w:rPr>
          <w:rFonts w:asciiTheme="minorHAnsi" w:hAnsiTheme="minorHAnsi" w:cstheme="minorHAnsi"/>
          <w:b/>
          <w:bCs/>
          <w:szCs w:val="24"/>
        </w:rPr>
        <w:t>5</w:t>
      </w:r>
      <w:r w:rsidR="00935082" w:rsidRPr="00935082">
        <w:rPr>
          <w:rFonts w:asciiTheme="minorHAnsi" w:hAnsiTheme="minorHAnsi" w:cstheme="minorHAnsi"/>
          <w:szCs w:val="24"/>
        </w:rPr>
        <w:t xml:space="preserve"> </w:t>
      </w:r>
      <w:r w:rsidR="00874FA5">
        <w:rPr>
          <w:rFonts w:asciiTheme="minorHAnsi" w:hAnsiTheme="minorHAnsi" w:cstheme="minorHAnsi"/>
          <w:szCs w:val="24"/>
        </w:rPr>
        <w:t>Data</w:t>
      </w:r>
      <w:r w:rsidR="00935082" w:rsidRPr="00935082">
        <w:rPr>
          <w:rFonts w:asciiTheme="minorHAnsi" w:hAnsiTheme="minorHAnsi" w:cstheme="minorHAnsi"/>
          <w:szCs w:val="24"/>
        </w:rPr>
        <w:t xml:space="preserve"> is based on support ticket reports found on the Canvas Support Administrator’s Dashboard</w:t>
      </w:r>
    </w:p>
    <w:p w14:paraId="1C7E612D" w14:textId="77777777" w:rsidR="005007BB" w:rsidRPr="00CF1500" w:rsidRDefault="005007BB">
      <w:pPr>
        <w:rPr>
          <w:rFonts w:asciiTheme="minorHAnsi" w:hAnsiTheme="minorHAnsi" w:cstheme="minorHAnsi"/>
          <w:szCs w:val="24"/>
        </w:rPr>
      </w:pPr>
    </w:p>
    <w:sectPr w:rsidR="005007BB" w:rsidRPr="00CF1500" w:rsidSect="00877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8A8F" w14:textId="77777777" w:rsidR="00871704" w:rsidRDefault="00871704" w:rsidP="00C47B31">
      <w:r>
        <w:separator/>
      </w:r>
    </w:p>
  </w:endnote>
  <w:endnote w:type="continuationSeparator" w:id="0">
    <w:p w14:paraId="3379D67F" w14:textId="77777777" w:rsidR="00871704" w:rsidRDefault="00871704" w:rsidP="00C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93364"/>
      <w:docPartObj>
        <w:docPartGallery w:val="Page Numbers (Bottom of Page)"/>
        <w:docPartUnique/>
      </w:docPartObj>
    </w:sdtPr>
    <w:sdtEndPr>
      <w:rPr>
        <w:noProof/>
      </w:rPr>
    </w:sdtEndPr>
    <w:sdtContent>
      <w:p w14:paraId="38FEFE08" w14:textId="412D8757" w:rsidR="00585931" w:rsidRDefault="00585931">
        <w:pPr>
          <w:pStyle w:val="Footer"/>
        </w:pPr>
        <w:r>
          <w:fldChar w:fldCharType="begin"/>
        </w:r>
        <w:r>
          <w:instrText xml:space="preserve"> PAGE   \* MERGEFORMAT </w:instrText>
        </w:r>
        <w:r>
          <w:fldChar w:fldCharType="separate"/>
        </w:r>
        <w:r w:rsidR="003C1309">
          <w:rPr>
            <w:noProof/>
          </w:rPr>
          <w:t>1</w:t>
        </w:r>
        <w:r>
          <w:rPr>
            <w:noProof/>
          </w:rPr>
          <w:fldChar w:fldCharType="end"/>
        </w:r>
        <w:r>
          <w:rPr>
            <w:noProof/>
          </w:rPr>
          <w:tab/>
        </w:r>
        <w:r>
          <w:rPr>
            <w:noProof/>
          </w:rPr>
          <w:tab/>
        </w:r>
      </w:p>
    </w:sdtContent>
  </w:sdt>
  <w:p w14:paraId="29645A04" w14:textId="77777777" w:rsidR="00C47B31" w:rsidRDefault="00C47B31" w:rsidP="00C47B31">
    <w:pPr>
      <w:pStyle w:val="Footer"/>
      <w:tabs>
        <w:tab w:val="left" w:pos="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E8B44" w14:textId="77777777" w:rsidR="00871704" w:rsidRDefault="00871704" w:rsidP="00C47B31">
      <w:r>
        <w:separator/>
      </w:r>
    </w:p>
  </w:footnote>
  <w:footnote w:type="continuationSeparator" w:id="0">
    <w:p w14:paraId="7044A529" w14:textId="77777777" w:rsidR="00871704" w:rsidRDefault="00871704" w:rsidP="00C4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264D" w14:textId="77777777" w:rsidR="00C47B31" w:rsidRDefault="00C47B31" w:rsidP="00C47B31">
    <w:pPr>
      <w:pStyle w:val="Header"/>
      <w:jc w:val="center"/>
      <w:rPr>
        <w:b/>
      </w:rPr>
    </w:pPr>
    <w:r>
      <w:rPr>
        <w:b/>
      </w:rPr>
      <w:t xml:space="preserve">PORTERVILLE COLLEGE </w:t>
    </w:r>
  </w:p>
  <w:p w14:paraId="3565054E" w14:textId="06674130" w:rsidR="00C47B31" w:rsidRPr="00B625FD" w:rsidRDefault="00C47B31" w:rsidP="00C47B31">
    <w:pPr>
      <w:pStyle w:val="Header"/>
      <w:jc w:val="center"/>
      <w:rPr>
        <w:b/>
      </w:rPr>
    </w:pPr>
    <w:r w:rsidRPr="00B625FD">
      <w:rPr>
        <w:b/>
      </w:rPr>
      <w:t xml:space="preserve">PROGRAM </w:t>
    </w:r>
    <w:r>
      <w:rPr>
        <w:b/>
      </w:rPr>
      <w:t>REVIEW</w:t>
    </w:r>
    <w:r w:rsidRPr="00B625FD">
      <w:rPr>
        <w:b/>
      </w:rPr>
      <w:t xml:space="preserve"> REPORT</w:t>
    </w:r>
    <w:r>
      <w:rPr>
        <w:b/>
      </w:rPr>
      <w:t xml:space="preserve">:  </w:t>
    </w:r>
    <w:r w:rsidR="003C1309">
      <w:rPr>
        <w:b/>
      </w:rPr>
      <w:t>NON-INSTRUCTIONAL PROGRAMS</w:t>
    </w:r>
  </w:p>
  <w:p w14:paraId="7F89570D" w14:textId="77777777" w:rsidR="00C47B31" w:rsidRDefault="00C47B31" w:rsidP="00C47B31">
    <w:pPr>
      <w:pStyle w:val="Header"/>
    </w:pPr>
  </w:p>
  <w:p w14:paraId="512BEA75" w14:textId="1CCE5848" w:rsidR="00FC1351" w:rsidRPr="00053449" w:rsidRDefault="00053449" w:rsidP="00053449">
    <w:pPr>
      <w:pStyle w:val="Header"/>
      <w:tabs>
        <w:tab w:val="clear" w:pos="4680"/>
        <w:tab w:val="left" w:pos="3150"/>
        <w:tab w:val="left" w:pos="6660"/>
      </w:tabs>
      <w:rPr>
        <w:sz w:val="22"/>
        <w:szCs w:val="18"/>
      </w:rPr>
    </w:pPr>
    <w:r w:rsidRPr="00053449">
      <w:rPr>
        <w:sz w:val="22"/>
        <w:szCs w:val="18"/>
      </w:rPr>
      <w:t>Program</w:t>
    </w:r>
    <w:r w:rsidR="00C47B31" w:rsidRPr="00053449">
      <w:rPr>
        <w:sz w:val="22"/>
        <w:szCs w:val="18"/>
      </w:rPr>
      <w:t xml:space="preserve">: </w:t>
    </w:r>
    <w:r w:rsidR="00D50628" w:rsidRPr="00053449">
      <w:rPr>
        <w:sz w:val="22"/>
        <w:szCs w:val="18"/>
      </w:rPr>
      <w:t>Distance Education</w:t>
    </w:r>
    <w:r w:rsidR="00C47B31" w:rsidRPr="00053449">
      <w:rPr>
        <w:sz w:val="22"/>
        <w:szCs w:val="18"/>
      </w:rPr>
      <w:tab/>
      <w:t xml:space="preserve">Contact Person:  </w:t>
    </w:r>
    <w:r w:rsidR="00D50628" w:rsidRPr="00053449">
      <w:rPr>
        <w:sz w:val="22"/>
        <w:szCs w:val="18"/>
      </w:rPr>
      <w:t>Sarah Phinney</w:t>
    </w:r>
    <w:r w:rsidR="00C47B31" w:rsidRPr="00053449">
      <w:rPr>
        <w:sz w:val="22"/>
        <w:szCs w:val="18"/>
      </w:rPr>
      <w:tab/>
      <w:t xml:space="preserve">Submission Date:  </w:t>
    </w:r>
    <w:r w:rsidR="00FC1351">
      <w:rPr>
        <w:sz w:val="22"/>
        <w:szCs w:val="18"/>
      </w:rPr>
      <w:t>1/5/2022</w:t>
    </w:r>
  </w:p>
  <w:p w14:paraId="176F9C4C" w14:textId="77777777" w:rsidR="00C47B31" w:rsidRDefault="00C4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BBF"/>
    <w:multiLevelType w:val="hybridMultilevel"/>
    <w:tmpl w:val="0424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D4D59"/>
    <w:multiLevelType w:val="hybridMultilevel"/>
    <w:tmpl w:val="4AA2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A110C5"/>
    <w:multiLevelType w:val="hybridMultilevel"/>
    <w:tmpl w:val="107012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DDF27A0"/>
    <w:multiLevelType w:val="hybridMultilevel"/>
    <w:tmpl w:val="D5D4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31"/>
    <w:rsid w:val="00013EA0"/>
    <w:rsid w:val="00023F81"/>
    <w:rsid w:val="000253B9"/>
    <w:rsid w:val="00044528"/>
    <w:rsid w:val="00053449"/>
    <w:rsid w:val="0006374C"/>
    <w:rsid w:val="000766EE"/>
    <w:rsid w:val="000A1936"/>
    <w:rsid w:val="000B3800"/>
    <w:rsid w:val="000B73F9"/>
    <w:rsid w:val="000C7F2F"/>
    <w:rsid w:val="000E4CED"/>
    <w:rsid w:val="000F24F0"/>
    <w:rsid w:val="0012168F"/>
    <w:rsid w:val="00154B0F"/>
    <w:rsid w:val="001564C6"/>
    <w:rsid w:val="00166BCC"/>
    <w:rsid w:val="00184F31"/>
    <w:rsid w:val="001D00AD"/>
    <w:rsid w:val="001F0A13"/>
    <w:rsid w:val="002036DD"/>
    <w:rsid w:val="0021110C"/>
    <w:rsid w:val="00270556"/>
    <w:rsid w:val="002764BD"/>
    <w:rsid w:val="002879BA"/>
    <w:rsid w:val="00293947"/>
    <w:rsid w:val="00295461"/>
    <w:rsid w:val="002A2C88"/>
    <w:rsid w:val="002A42AF"/>
    <w:rsid w:val="002A4D57"/>
    <w:rsid w:val="002B3279"/>
    <w:rsid w:val="002E1D78"/>
    <w:rsid w:val="002E2182"/>
    <w:rsid w:val="002F6700"/>
    <w:rsid w:val="00331602"/>
    <w:rsid w:val="00351C2D"/>
    <w:rsid w:val="00355A52"/>
    <w:rsid w:val="00362741"/>
    <w:rsid w:val="003A2510"/>
    <w:rsid w:val="003A6E1A"/>
    <w:rsid w:val="003A7B3D"/>
    <w:rsid w:val="003C1309"/>
    <w:rsid w:val="003C50E2"/>
    <w:rsid w:val="003C5C8C"/>
    <w:rsid w:val="003E642F"/>
    <w:rsid w:val="0043545E"/>
    <w:rsid w:val="00435F33"/>
    <w:rsid w:val="0044392E"/>
    <w:rsid w:val="00450A02"/>
    <w:rsid w:val="00483833"/>
    <w:rsid w:val="00491285"/>
    <w:rsid w:val="004D2C61"/>
    <w:rsid w:val="004F7DE9"/>
    <w:rsid w:val="005007BB"/>
    <w:rsid w:val="00541F06"/>
    <w:rsid w:val="00585931"/>
    <w:rsid w:val="005F7894"/>
    <w:rsid w:val="006005BB"/>
    <w:rsid w:val="006077D4"/>
    <w:rsid w:val="00620EE7"/>
    <w:rsid w:val="006310D7"/>
    <w:rsid w:val="00631F41"/>
    <w:rsid w:val="006754D8"/>
    <w:rsid w:val="006974D6"/>
    <w:rsid w:val="00706A72"/>
    <w:rsid w:val="007B6110"/>
    <w:rsid w:val="008054FB"/>
    <w:rsid w:val="00806BAA"/>
    <w:rsid w:val="00812C6E"/>
    <w:rsid w:val="0082087A"/>
    <w:rsid w:val="0083606F"/>
    <w:rsid w:val="0085453B"/>
    <w:rsid w:val="00870F8A"/>
    <w:rsid w:val="00871704"/>
    <w:rsid w:val="00874FA5"/>
    <w:rsid w:val="00877DE4"/>
    <w:rsid w:val="008A2B5D"/>
    <w:rsid w:val="00911F27"/>
    <w:rsid w:val="00935082"/>
    <w:rsid w:val="00980D2E"/>
    <w:rsid w:val="009A4D7F"/>
    <w:rsid w:val="009A6CE8"/>
    <w:rsid w:val="009C3902"/>
    <w:rsid w:val="009D0CC6"/>
    <w:rsid w:val="009D238A"/>
    <w:rsid w:val="009D4DD5"/>
    <w:rsid w:val="00A01D48"/>
    <w:rsid w:val="00A117BF"/>
    <w:rsid w:val="00A1245A"/>
    <w:rsid w:val="00A24AB5"/>
    <w:rsid w:val="00A56C8E"/>
    <w:rsid w:val="00A834E6"/>
    <w:rsid w:val="00AA118D"/>
    <w:rsid w:val="00AC1B12"/>
    <w:rsid w:val="00AD4C19"/>
    <w:rsid w:val="00B1570C"/>
    <w:rsid w:val="00B15D8F"/>
    <w:rsid w:val="00B2117F"/>
    <w:rsid w:val="00B221EA"/>
    <w:rsid w:val="00B32D96"/>
    <w:rsid w:val="00B424F3"/>
    <w:rsid w:val="00B5138D"/>
    <w:rsid w:val="00B5439E"/>
    <w:rsid w:val="00B57410"/>
    <w:rsid w:val="00B82E68"/>
    <w:rsid w:val="00B96C70"/>
    <w:rsid w:val="00BB0232"/>
    <w:rsid w:val="00C1129A"/>
    <w:rsid w:val="00C1271B"/>
    <w:rsid w:val="00C25625"/>
    <w:rsid w:val="00C47B31"/>
    <w:rsid w:val="00CC535A"/>
    <w:rsid w:val="00CE3C02"/>
    <w:rsid w:val="00CE6184"/>
    <w:rsid w:val="00CF1500"/>
    <w:rsid w:val="00D1738F"/>
    <w:rsid w:val="00D33135"/>
    <w:rsid w:val="00D50628"/>
    <w:rsid w:val="00D548D2"/>
    <w:rsid w:val="00E152CD"/>
    <w:rsid w:val="00E44EE6"/>
    <w:rsid w:val="00E5578B"/>
    <w:rsid w:val="00E8483A"/>
    <w:rsid w:val="00E87E7E"/>
    <w:rsid w:val="00EF1B83"/>
    <w:rsid w:val="00F24EBA"/>
    <w:rsid w:val="00F8522C"/>
    <w:rsid w:val="00FA31B4"/>
    <w:rsid w:val="00FC1351"/>
    <w:rsid w:val="00FD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506C"/>
  <w15:chartTrackingRefBased/>
  <w15:docId w15:val="{87F0292C-4F58-47C6-AAC2-13B2D0A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9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7B31"/>
    <w:pPr>
      <w:tabs>
        <w:tab w:val="center" w:pos="4680"/>
        <w:tab w:val="right" w:pos="9360"/>
      </w:tabs>
    </w:pPr>
  </w:style>
  <w:style w:type="character" w:customStyle="1" w:styleId="HeaderChar">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customStyle="1" w:styleId="FooterChar">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customStyle="1" w:styleId="BodyText2Char">
    <w:name w:val="Body Text 2 Char"/>
    <w:basedOn w:val="DefaultParagraphFont"/>
    <w:link w:val="BodyText2"/>
    <w:rsid w:val="00C47B31"/>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BB0232"/>
    <w:rPr>
      <w:rFonts w:ascii="Times New Roman" w:eastAsia="Times New Roman" w:hAnsi="Times New Roman" w:cs="Times New Roman"/>
      <w:b/>
      <w:bCs/>
      <w:sz w:val="24"/>
      <w:szCs w:val="20"/>
      <w:u w:val="single"/>
    </w:rPr>
  </w:style>
  <w:style w:type="character" w:customStyle="1" w:styleId="Heading6Char">
    <w:name w:val="Heading 6 Char"/>
    <w:basedOn w:val="DefaultParagraphFont"/>
    <w:link w:val="Heading6"/>
    <w:uiPriority w:val="9"/>
    <w:semiHidden/>
    <w:rsid w:val="00435F33"/>
    <w:rPr>
      <w:rFonts w:asciiTheme="majorHAnsi" w:eastAsiaTheme="majorEastAsia" w:hAnsiTheme="majorHAnsi"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556"/>
    <w:pPr>
      <w:ind w:left="720"/>
      <w:contextualSpacing/>
    </w:pPr>
  </w:style>
  <w:style w:type="character" w:styleId="Hyperlink">
    <w:name w:val="Hyperlink"/>
    <w:basedOn w:val="DefaultParagraphFont"/>
    <w:uiPriority w:val="99"/>
    <w:unhideWhenUsed/>
    <w:rsid w:val="00935082"/>
    <w:rPr>
      <w:color w:val="0563C1" w:themeColor="hyperlink"/>
      <w:u w:val="single"/>
    </w:rPr>
  </w:style>
  <w:style w:type="character" w:styleId="UnresolvedMention">
    <w:name w:val="Unresolved Mention"/>
    <w:basedOn w:val="DefaultParagraphFont"/>
    <w:uiPriority w:val="99"/>
    <w:semiHidden/>
    <w:unhideWhenUsed/>
    <w:rsid w:val="00935082"/>
    <w:rPr>
      <w:color w:val="605E5C"/>
      <w:shd w:val="clear" w:color="auto" w:fill="E1DFDD"/>
    </w:rPr>
  </w:style>
  <w:style w:type="paragraph" w:styleId="BalloonText">
    <w:name w:val="Balloon Text"/>
    <w:basedOn w:val="Normal"/>
    <w:link w:val="BalloonTextChar"/>
    <w:uiPriority w:val="99"/>
    <w:semiHidden/>
    <w:unhideWhenUsed/>
    <w:rsid w:val="00B15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7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r.kccd.edu/data-directory/index.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0192-3D79-4C70-808B-6A3BEB8D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Sarah Phinney</cp:lastModifiedBy>
  <cp:revision>2</cp:revision>
  <cp:lastPrinted>2021-11-01T19:40:00Z</cp:lastPrinted>
  <dcterms:created xsi:type="dcterms:W3CDTF">2022-01-05T17:49:00Z</dcterms:created>
  <dcterms:modified xsi:type="dcterms:W3CDTF">2022-01-05T17:49:00Z</dcterms:modified>
</cp:coreProperties>
</file>