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541152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27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354A19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470"/>
        <w:gridCol w:w="360"/>
        <w:gridCol w:w="89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</w:t>
            </w:r>
            <w:r w:rsidR="000077F3"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proofErr w:type="spellStart"/>
            <w:r w:rsidR="000077F3" w:rsidRPr="000077F3">
              <w:rPr>
                <w:rFonts w:ascii="Times New Roman" w:eastAsia="Batang" w:hAnsi="Times New Roman" w:cs="Times New Roman"/>
              </w:rPr>
              <w:t>Vayron</w:t>
            </w:r>
            <w:proofErr w:type="spellEnd"/>
            <w:r w:rsidR="000077F3" w:rsidRPr="000077F3">
              <w:rPr>
                <w:rFonts w:ascii="Times New Roman" w:eastAsia="Batang" w:hAnsi="Times New Roman" w:cs="Times New Roman"/>
              </w:rPr>
              <w:t xml:space="preserve"> Martinez, Health &amp; PE</w:t>
            </w:r>
            <w:r w:rsidRPr="000077F3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Administrators: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41152"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A4FB9">
              <w:rPr>
                <w:rFonts w:ascii="Times New Roman" w:hAnsi="Times New Roman" w:cs="Times New Roman"/>
                <w:sz w:val="28"/>
                <w:szCs w:val="24"/>
              </w:rPr>
              <w:t xml:space="preserve">January 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3C3504" w:rsidRDefault="00823290" w:rsidP="0082329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</w:t>
            </w:r>
            <w:r w:rsidR="007F5489">
              <w:rPr>
                <w:rFonts w:ascii="Times New Roman" w:hAnsi="Times New Roman" w:cs="Times New Roman"/>
                <w:sz w:val="28"/>
                <w:szCs w:val="28"/>
              </w:rPr>
              <w:t xml:space="preserve"> on </w:t>
            </w:r>
            <w:proofErr w:type="spellStart"/>
            <w:r w:rsidR="007F5489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 w:rsidR="007F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5489">
              <w:rPr>
                <w:rFonts w:ascii="Times New Roman" w:hAnsi="Times New Roman" w:cs="Times New Roman"/>
                <w:sz w:val="28"/>
                <w:szCs w:val="28"/>
              </w:rPr>
              <w:t xml:space="preserve"> Annual Update-</w:t>
            </w:r>
            <w:proofErr w:type="spellStart"/>
            <w:r w:rsidR="007F5489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  <w:p w:rsidR="00E9186C" w:rsidRDefault="00E9186C" w:rsidP="00E9186C">
            <w:pPr>
              <w:pStyle w:val="NoSpacing"/>
            </w:pPr>
            <w:r>
              <w:t xml:space="preserve">Kristin went through what she had created for Program Review for </w:t>
            </w:r>
            <w:proofErr w:type="spellStart"/>
            <w:r>
              <w:t>eLumen</w:t>
            </w:r>
            <w:proofErr w:type="spellEnd"/>
            <w:r>
              <w:t xml:space="preserve">.  Through initiatives, the template for Instructional Programs AU has been created and includes the Mission Statement, Goals, Best Practices as well as other elements.  </w:t>
            </w:r>
          </w:p>
          <w:p w:rsidR="00E9186C" w:rsidRDefault="00E9186C" w:rsidP="00E9186C">
            <w:pPr>
              <w:pStyle w:val="NoSpacing"/>
            </w:pPr>
            <w:r>
              <w:t>Suggestions:</w:t>
            </w:r>
          </w:p>
          <w:p w:rsidR="00E9186C" w:rsidRDefault="00E9186C" w:rsidP="00E9186C">
            <w:pPr>
              <w:pStyle w:val="NoSpacing"/>
              <w:numPr>
                <w:ilvl w:val="0"/>
                <w:numId w:val="10"/>
              </w:numPr>
            </w:pPr>
            <w:r>
              <w:t>Links to trend data within the question</w:t>
            </w:r>
          </w:p>
          <w:p w:rsidR="00E9186C" w:rsidRDefault="00E9186C" w:rsidP="00E9186C">
            <w:pPr>
              <w:pStyle w:val="NoSpacing"/>
              <w:numPr>
                <w:ilvl w:val="0"/>
                <w:numId w:val="10"/>
              </w:numPr>
            </w:pPr>
            <w:r>
              <w:t>Downloadable documents</w:t>
            </w:r>
          </w:p>
          <w:p w:rsidR="007F5489" w:rsidRDefault="007F5489" w:rsidP="00E9186C">
            <w:pPr>
              <w:pStyle w:val="NoSpacing"/>
              <w:numPr>
                <w:ilvl w:val="0"/>
                <w:numId w:val="10"/>
              </w:numPr>
            </w:pPr>
            <w:r>
              <w:t>Abstract at the beginning instead of Conclusion/Snapshot could be thesis- a focused narrative (</w:t>
            </w:r>
            <w:proofErr w:type="spellStart"/>
            <w:r>
              <w:t>Neeley</w:t>
            </w:r>
            <w:proofErr w:type="spellEnd"/>
            <w:r>
              <w:t>)</w:t>
            </w:r>
          </w:p>
          <w:p w:rsidR="00E9186C" w:rsidRDefault="00E9186C" w:rsidP="00E9186C">
            <w:pPr>
              <w:pStyle w:val="NoSpacing"/>
            </w:pPr>
            <w:r>
              <w:t>Problems:</w:t>
            </w:r>
          </w:p>
          <w:p w:rsidR="007F5489" w:rsidRDefault="006B01F8" w:rsidP="007F5489">
            <w:pPr>
              <w:pStyle w:val="NoSpacing"/>
              <w:numPr>
                <w:ilvl w:val="0"/>
                <w:numId w:val="11"/>
              </w:numPr>
            </w:pPr>
            <w:r>
              <w:lastRenderedPageBreak/>
              <w:t>Hard to change/edit</w:t>
            </w:r>
            <w:r w:rsidR="007F5489">
              <w:t xml:space="preserve"> once created</w:t>
            </w:r>
            <w:r w:rsidR="00B767F9">
              <w:t>, even in test phase.  The area/question needs to be disabled then copied into another version</w:t>
            </w:r>
          </w:p>
          <w:p w:rsidR="007F5489" w:rsidRDefault="007F5489" w:rsidP="007F5489">
            <w:pPr>
              <w:pStyle w:val="NoSpacing"/>
              <w:numPr>
                <w:ilvl w:val="0"/>
                <w:numId w:val="11"/>
              </w:numPr>
            </w:pPr>
            <w:r>
              <w:t xml:space="preserve">May not be ready for all elements of the Program Review in </w:t>
            </w:r>
            <w:proofErr w:type="spellStart"/>
            <w:r>
              <w:t>eLumen</w:t>
            </w:r>
            <w:proofErr w:type="spellEnd"/>
            <w:r>
              <w:t xml:space="preserve"> as there are no separate Excel spreadsheet for the Resource Request…position and other do not exist through </w:t>
            </w:r>
            <w:proofErr w:type="spellStart"/>
            <w:r>
              <w:t>eLumen</w:t>
            </w:r>
            <w:proofErr w:type="spellEnd"/>
          </w:p>
          <w:p w:rsidR="00931FDF" w:rsidRDefault="00931FDF" w:rsidP="007F5489">
            <w:pPr>
              <w:pStyle w:val="NoSpacing"/>
              <w:numPr>
                <w:ilvl w:val="0"/>
                <w:numId w:val="11"/>
              </w:numPr>
            </w:pPr>
            <w:r>
              <w:t>Problems with building a workflow</w:t>
            </w:r>
          </w:p>
          <w:p w:rsidR="00931FDF" w:rsidRDefault="00931FDF" w:rsidP="007F5489">
            <w:pPr>
              <w:pStyle w:val="NoSpacing"/>
              <w:numPr>
                <w:ilvl w:val="0"/>
                <w:numId w:val="11"/>
              </w:numPr>
            </w:pPr>
            <w:r>
              <w:t>How do we train our end-users</w:t>
            </w:r>
          </w:p>
          <w:p w:rsidR="00931FDF" w:rsidRDefault="006B01F8" w:rsidP="007F5489">
            <w:pPr>
              <w:pStyle w:val="NoSpacing"/>
              <w:numPr>
                <w:ilvl w:val="0"/>
                <w:numId w:val="11"/>
              </w:numPr>
            </w:pPr>
            <w:r>
              <w:t>Overriding of work that is done by different end-users as programs complete their Program Reviews</w:t>
            </w:r>
          </w:p>
          <w:p w:rsidR="006B01F8" w:rsidRDefault="006B01F8" w:rsidP="007F5489">
            <w:pPr>
              <w:pStyle w:val="NoSpacing"/>
              <w:numPr>
                <w:ilvl w:val="0"/>
                <w:numId w:val="11"/>
              </w:numPr>
            </w:pPr>
            <w:r>
              <w:t xml:space="preserve">It’s unclear how to do reporting out </w:t>
            </w:r>
          </w:p>
          <w:p w:rsidR="007F5489" w:rsidRDefault="007F5489" w:rsidP="007F5489">
            <w:pPr>
              <w:pStyle w:val="NoSpacing"/>
            </w:pPr>
            <w:r>
              <w:t>Questions within Resource request, analysis, and justification areas are combined.</w:t>
            </w:r>
          </w:p>
          <w:p w:rsidR="007F5489" w:rsidRPr="00E9186C" w:rsidRDefault="007F5489" w:rsidP="007F5489">
            <w:pPr>
              <w:pStyle w:val="NoSpacing"/>
            </w:pPr>
            <w:r>
              <w:t>Conclusion</w:t>
            </w:r>
          </w:p>
          <w:p w:rsidR="00823290" w:rsidRDefault="00E430E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forms-</w:t>
            </w:r>
            <w:proofErr w:type="spellStart"/>
            <w:r w:rsidR="003C3504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  <w:p w:rsidR="00E9186C" w:rsidRPr="00E9186C" w:rsidRDefault="008B4DBA" w:rsidP="00E9186C">
            <w:pPr>
              <w:pStyle w:val="NoSpacing"/>
            </w:pPr>
            <w:r>
              <w:t>Kristin and Kim met</w:t>
            </w:r>
            <w:r w:rsidR="00E9186C">
              <w:t xml:space="preserve"> with Assessment in creating the questions for the Assessment piece.</w:t>
            </w:r>
            <w:r>
              <w:t xml:space="preserve"> The questions are mainly focused on Instructional units. </w:t>
            </w:r>
            <w:r w:rsidR="00E9186C">
              <w:t xml:space="preserve">The assessment questions will need to be reworked </w:t>
            </w:r>
            <w:r>
              <w:t xml:space="preserve">to be relevant </w:t>
            </w:r>
            <w:r w:rsidR="00E9186C">
              <w:t xml:space="preserve">for Admin and Student </w:t>
            </w:r>
            <w:r>
              <w:t xml:space="preserve">Affairs </w:t>
            </w:r>
            <w:bookmarkStart w:id="0" w:name="_GoBack"/>
            <w:bookmarkEnd w:id="0"/>
            <w:r w:rsidR="00E9186C">
              <w:t>units.</w:t>
            </w:r>
            <w:r w:rsidR="00B767F9">
              <w:t xml:space="preserve"> </w:t>
            </w:r>
          </w:p>
          <w:p w:rsidR="00E9186C" w:rsidRPr="00E9186C" w:rsidRDefault="00E9186C" w:rsidP="00E9186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4B" w:rsidRPr="00F46C23" w:rsidRDefault="0048214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E045FA" w:rsidRDefault="00541152" w:rsidP="004821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2">
              <w:rPr>
                <w:rFonts w:ascii="Times New Roman" w:hAnsi="Times New Roman" w:cs="Times New Roman"/>
                <w:sz w:val="28"/>
                <w:szCs w:val="28"/>
              </w:rPr>
              <w:t>Strategic Directions Report</w:t>
            </w:r>
            <w:r w:rsidR="008D2818" w:rsidRPr="00541152">
              <w:rPr>
                <w:rFonts w:ascii="Times New Roman" w:hAnsi="Times New Roman" w:cs="Times New Roman"/>
                <w:sz w:val="28"/>
                <w:szCs w:val="28"/>
              </w:rPr>
              <w:t xml:space="preserve"> Due April 2nd</w:t>
            </w:r>
          </w:p>
          <w:p w:rsidR="008D2818" w:rsidRPr="008D2818" w:rsidRDefault="008D2818" w:rsidP="008D2818">
            <w:pPr>
              <w:pStyle w:val="NoSpacing"/>
            </w:pPr>
            <w:r>
              <w:t>We are closing the Strategic Directions Report for the 2015-18 cycle.  Kim will update the report with a new tab to reflect Spring 2018.  At this point, we will report out what if the initiatives that were assigned to us were completed.</w:t>
            </w:r>
          </w:p>
          <w:p w:rsidR="00541152" w:rsidRPr="00E045FA" w:rsidRDefault="00541152" w:rsidP="004821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3C3504" w:rsidP="003C35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830" w:type="dxa"/>
            <w:gridSpan w:val="2"/>
          </w:tcPr>
          <w:p w:rsidR="00A80937" w:rsidRDefault="00541152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</w:t>
            </w:r>
            <w:r w:rsidR="00E9186C">
              <w:rPr>
                <w:rFonts w:ascii="Times New Roman" w:hAnsi="Times New Roman" w:cs="Times New Roman"/>
                <w:sz w:val="28"/>
                <w:szCs w:val="28"/>
              </w:rPr>
              <w:t>gic Initiatives for 2018-21 cycl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A4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4FB9" w:rsidRPr="00F46C23" w:rsidRDefault="00BA4FB9" w:rsidP="00BA4FB9">
            <w:pPr>
              <w:pStyle w:val="NoSpacing"/>
            </w:pPr>
            <w:r>
              <w:t>We have until March 1 to submit initiatives. Kristin and Kim have submitted a few initiatives after the January Strategic Directions workshop via the Strategic Directions survey.</w:t>
            </w: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721F4" w:rsidRPr="003C3504" w:rsidRDefault="005721F4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869"/>
    <w:multiLevelType w:val="hybridMultilevel"/>
    <w:tmpl w:val="89E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3D5B"/>
    <w:multiLevelType w:val="hybridMultilevel"/>
    <w:tmpl w:val="33B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4357E"/>
    <w:rsid w:val="001F15D7"/>
    <w:rsid w:val="003411C3"/>
    <w:rsid w:val="00354A19"/>
    <w:rsid w:val="003C3504"/>
    <w:rsid w:val="003F1683"/>
    <w:rsid w:val="0048214B"/>
    <w:rsid w:val="004C3095"/>
    <w:rsid w:val="00541152"/>
    <w:rsid w:val="0054523E"/>
    <w:rsid w:val="005721F4"/>
    <w:rsid w:val="00593FE1"/>
    <w:rsid w:val="006B01F8"/>
    <w:rsid w:val="006C6821"/>
    <w:rsid w:val="0073619D"/>
    <w:rsid w:val="007F5489"/>
    <w:rsid w:val="00820939"/>
    <w:rsid w:val="00823290"/>
    <w:rsid w:val="008825EA"/>
    <w:rsid w:val="008B4DBA"/>
    <w:rsid w:val="008D2818"/>
    <w:rsid w:val="008F2AC1"/>
    <w:rsid w:val="008F6A52"/>
    <w:rsid w:val="0091081C"/>
    <w:rsid w:val="00931FDF"/>
    <w:rsid w:val="009C0516"/>
    <w:rsid w:val="009C7804"/>
    <w:rsid w:val="00A80937"/>
    <w:rsid w:val="00A8093A"/>
    <w:rsid w:val="00AB4EC6"/>
    <w:rsid w:val="00AB5D9D"/>
    <w:rsid w:val="00B7072E"/>
    <w:rsid w:val="00B767F9"/>
    <w:rsid w:val="00BA28CA"/>
    <w:rsid w:val="00BA4FB9"/>
    <w:rsid w:val="00C11BAB"/>
    <w:rsid w:val="00D84AB9"/>
    <w:rsid w:val="00DA36C7"/>
    <w:rsid w:val="00E045FA"/>
    <w:rsid w:val="00E430EB"/>
    <w:rsid w:val="00E9186C"/>
    <w:rsid w:val="00EA347E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3</cp:revision>
  <dcterms:created xsi:type="dcterms:W3CDTF">2018-02-28T16:56:00Z</dcterms:created>
  <dcterms:modified xsi:type="dcterms:W3CDTF">2018-02-28T16:58:00Z</dcterms:modified>
</cp:coreProperties>
</file>