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6726E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20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265A2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</w:t>
            </w:r>
            <w:r w:rsidR="000077F3"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proofErr w:type="spellStart"/>
            <w:r w:rsidR="000077F3" w:rsidRPr="000077F3">
              <w:rPr>
                <w:rFonts w:ascii="Times New Roman" w:eastAsia="Batang" w:hAnsi="Times New Roman" w:cs="Times New Roman"/>
              </w:rPr>
              <w:t>Vayron</w:t>
            </w:r>
            <w:proofErr w:type="spellEnd"/>
            <w:r w:rsidR="000077F3" w:rsidRPr="000077F3">
              <w:rPr>
                <w:rFonts w:ascii="Times New Roman" w:eastAsia="Batang" w:hAnsi="Times New Roman" w:cs="Times New Roman"/>
              </w:rPr>
              <w:t xml:space="preserve"> Martinez, Health &amp; PE</w:t>
            </w:r>
            <w:r w:rsidRPr="000077F3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1152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  <w:r w:rsidR="00B10647">
              <w:rPr>
                <w:rFonts w:cs="Times New Roman"/>
                <w:sz w:val="24"/>
                <w:szCs w:val="24"/>
              </w:rPr>
              <w:t>Kim Nickell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726E6">
              <w:rPr>
                <w:rFonts w:ascii="Times New Roman" w:hAnsi="Times New Roman" w:cs="Times New Roman"/>
                <w:sz w:val="28"/>
                <w:szCs w:val="24"/>
              </w:rPr>
              <w:t>Feb. 27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Default="00B10647" w:rsidP="00BA28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Approved</w:t>
            </w:r>
          </w:p>
          <w:p w:rsidR="00B10647" w:rsidRPr="00BA28CA" w:rsidRDefault="00B10647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48214B" w:rsidRDefault="006473FC" w:rsidP="006726E6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647" w:rsidRDefault="00B10647" w:rsidP="00B1064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="Times New Roman"/>
              </w:rPr>
            </w:pPr>
            <w:r w:rsidRPr="00B10647">
              <w:rPr>
                <w:rFonts w:asciiTheme="majorHAnsi" w:hAnsiTheme="majorHAnsi" w:cs="Times New Roman"/>
              </w:rPr>
              <w:t xml:space="preserve">The shell in the BC </w:t>
            </w:r>
            <w:proofErr w:type="spellStart"/>
            <w:r w:rsidRPr="00B10647">
              <w:rPr>
                <w:rFonts w:asciiTheme="majorHAnsi" w:hAnsiTheme="majorHAnsi" w:cs="Times New Roman"/>
              </w:rPr>
              <w:t>eLumen</w:t>
            </w:r>
            <w:proofErr w:type="spellEnd"/>
            <w:r w:rsidRPr="00B10647">
              <w:rPr>
                <w:rFonts w:asciiTheme="majorHAnsi" w:hAnsiTheme="majorHAnsi" w:cs="Times New Roman"/>
              </w:rPr>
              <w:t xml:space="preserve"> test has been eliminated. Test was wiped out as there was going to be a data dump in </w:t>
            </w:r>
            <w:proofErr w:type="spellStart"/>
            <w:r w:rsidRPr="00B10647">
              <w:rPr>
                <w:rFonts w:asciiTheme="majorHAnsi" w:hAnsiTheme="majorHAnsi" w:cs="Times New Roman"/>
              </w:rPr>
              <w:t>eLumen</w:t>
            </w:r>
            <w:proofErr w:type="spellEnd"/>
            <w:r w:rsidRPr="00B10647">
              <w:rPr>
                <w:rFonts w:asciiTheme="majorHAnsi" w:hAnsiTheme="majorHAnsi" w:cs="Times New Roman"/>
              </w:rPr>
              <w:t>. This gives us an opportunity to start from scratch with a different format using information from Glendale CC.</w:t>
            </w:r>
          </w:p>
          <w:p w:rsidR="00422E91" w:rsidRDefault="00422E91" w:rsidP="00B1064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Kristin and Kim have been in contact with Daphne</w:t>
            </w:r>
            <w:r w:rsidR="008B594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B5943">
              <w:rPr>
                <w:rFonts w:asciiTheme="majorHAnsi" w:hAnsiTheme="majorHAnsi" w:cs="Times New Roman"/>
              </w:rPr>
              <w:t>Dioniso</w:t>
            </w:r>
            <w:proofErr w:type="spellEnd"/>
            <w:r>
              <w:rPr>
                <w:rFonts w:asciiTheme="majorHAnsi" w:hAnsiTheme="majorHAnsi" w:cs="Times New Roman"/>
              </w:rPr>
              <w:t xml:space="preserve"> of Glendale about how they did program review.  </w:t>
            </w:r>
          </w:p>
          <w:p w:rsidR="00B10647" w:rsidRDefault="00B10647" w:rsidP="00B1064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Kristin will send out a sample program review from Glendale to PRC members.  The alignment of their form is more conducive to the accreditation standards.</w:t>
            </w:r>
            <w:r w:rsidR="00915CC9">
              <w:rPr>
                <w:rFonts w:asciiTheme="majorHAnsi" w:hAnsiTheme="majorHAnsi" w:cs="Times New Roman"/>
              </w:rPr>
              <w:t xml:space="preserve"> The questions seem to make the Program Review process more relevant. This could help with Closing of the Loop and the completion of resource requests, which has been a struggle for M&amp;O.  </w:t>
            </w:r>
          </w:p>
          <w:p w:rsidR="00B10647" w:rsidRDefault="00B10647" w:rsidP="00B1064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 will have the opportunity to meet with Daphne</w:t>
            </w:r>
            <w:r w:rsidR="008B594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B5943">
              <w:rPr>
                <w:rFonts w:asciiTheme="majorHAnsi" w:hAnsiTheme="majorHAnsi" w:cs="Times New Roman"/>
              </w:rPr>
              <w:t>Dioniso</w:t>
            </w:r>
            <w:proofErr w:type="spellEnd"/>
            <w:r>
              <w:rPr>
                <w:rFonts w:asciiTheme="majorHAnsi" w:hAnsiTheme="majorHAnsi" w:cs="Times New Roman"/>
              </w:rPr>
              <w:t xml:space="preserve"> from Glendale and talk with her about their Program Review process and how they implement in and out of </w:t>
            </w:r>
            <w:proofErr w:type="spellStart"/>
            <w:r>
              <w:rPr>
                <w:rFonts w:asciiTheme="majorHAnsi" w:hAnsiTheme="majorHAnsi" w:cs="Times New Roman"/>
              </w:rPr>
              <w:t>eLumen</w:t>
            </w:r>
            <w:proofErr w:type="spellEnd"/>
            <w:r>
              <w:rPr>
                <w:rFonts w:asciiTheme="majorHAnsi" w:hAnsiTheme="majorHAnsi" w:cs="Times New Roman"/>
              </w:rPr>
              <w:t>. We are formulating questions we will bring to her, including archiving, re</w:t>
            </w:r>
            <w:r w:rsidR="00842341">
              <w:rPr>
                <w:rFonts w:asciiTheme="majorHAnsi" w:hAnsiTheme="majorHAnsi" w:cs="Times New Roman"/>
              </w:rPr>
              <w:t>source requests using one form.</w:t>
            </w:r>
          </w:p>
          <w:p w:rsidR="00842341" w:rsidRDefault="00842341" w:rsidP="00B1064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We plan to work through </w:t>
            </w:r>
            <w:proofErr w:type="spellStart"/>
            <w:r>
              <w:rPr>
                <w:rFonts w:asciiTheme="majorHAnsi" w:hAnsiTheme="majorHAnsi" w:cs="Times New Roman"/>
              </w:rPr>
              <w:t>eLumen</w:t>
            </w:r>
            <w:proofErr w:type="spellEnd"/>
            <w:r>
              <w:rPr>
                <w:rFonts w:asciiTheme="majorHAnsi" w:hAnsiTheme="majorHAnsi" w:cs="Times New Roman"/>
              </w:rPr>
              <w:t xml:space="preserve"> during the summer</w:t>
            </w:r>
            <w:r w:rsidR="002740BB">
              <w:rPr>
                <w:rFonts w:asciiTheme="majorHAnsi" w:hAnsiTheme="majorHAnsi" w:cs="Times New Roman"/>
              </w:rPr>
              <w:t xml:space="preserve">. We will be working through the fact that </w:t>
            </w:r>
            <w:proofErr w:type="spellStart"/>
            <w:r w:rsidR="002740BB">
              <w:rPr>
                <w:rFonts w:asciiTheme="majorHAnsi" w:hAnsiTheme="majorHAnsi" w:cs="Times New Roman"/>
              </w:rPr>
              <w:t>eLumen</w:t>
            </w:r>
            <w:proofErr w:type="spellEnd"/>
            <w:r w:rsidR="002740BB">
              <w:rPr>
                <w:rFonts w:asciiTheme="majorHAnsi" w:hAnsiTheme="majorHAnsi" w:cs="Times New Roman"/>
              </w:rPr>
              <w:t xml:space="preserve"> has a different phrasing of the language we use within Program Review.</w:t>
            </w:r>
          </w:p>
          <w:p w:rsidR="002B127D" w:rsidRPr="00B10647" w:rsidRDefault="002B127D" w:rsidP="00B1064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We may put aside the pilot of </w:t>
            </w:r>
            <w:proofErr w:type="spellStart"/>
            <w:r>
              <w:rPr>
                <w:rFonts w:asciiTheme="majorHAnsi" w:hAnsiTheme="majorHAnsi" w:cs="Times New Roman"/>
              </w:rPr>
              <w:t>eLumen</w:t>
            </w:r>
            <w:proofErr w:type="spellEnd"/>
            <w:r>
              <w:rPr>
                <w:rFonts w:asciiTheme="majorHAnsi" w:hAnsiTheme="majorHAnsi" w:cs="Times New Roman"/>
              </w:rPr>
              <w:t xml:space="preserve"> for this cycle as our test template was eliminated.  Instead, we will roll it out at once and offer training.</w:t>
            </w:r>
          </w:p>
          <w:p w:rsidR="00B10647" w:rsidRPr="00F46C23" w:rsidRDefault="00B10647" w:rsidP="00B1064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Pr="00541152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2">
              <w:rPr>
                <w:rFonts w:ascii="Times New Roman" w:hAnsi="Times New Roman" w:cs="Times New Roman"/>
                <w:sz w:val="28"/>
                <w:szCs w:val="28"/>
              </w:rPr>
              <w:t>Strategic Directions Report</w:t>
            </w:r>
          </w:p>
          <w:p w:rsidR="00422E91" w:rsidRDefault="00842341" w:rsidP="008423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Due April 2</w:t>
            </w:r>
          </w:p>
          <w:p w:rsidR="00842341" w:rsidRPr="00842341" w:rsidRDefault="00842341" w:rsidP="00842341">
            <w:pPr>
              <w:pStyle w:val="NoSpacing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The final Strategic Directions report was presented and finalized. It was approved by the committee and will be submitted to AIQ and the SD taskforce.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6726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A80937" w:rsidRPr="00F46C23" w:rsidRDefault="00B10647" w:rsidP="00B1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Picture day May 1…we will Photoshop you in.</w:t>
            </w: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4357E"/>
    <w:rsid w:val="001F15D7"/>
    <w:rsid w:val="002740BB"/>
    <w:rsid w:val="002B127D"/>
    <w:rsid w:val="003411C3"/>
    <w:rsid w:val="003C3504"/>
    <w:rsid w:val="003F1683"/>
    <w:rsid w:val="00422E91"/>
    <w:rsid w:val="0048214B"/>
    <w:rsid w:val="004C3095"/>
    <w:rsid w:val="00541152"/>
    <w:rsid w:val="0054523E"/>
    <w:rsid w:val="005721F4"/>
    <w:rsid w:val="00593FE1"/>
    <w:rsid w:val="006265A2"/>
    <w:rsid w:val="006473FC"/>
    <w:rsid w:val="006726E6"/>
    <w:rsid w:val="00673D0D"/>
    <w:rsid w:val="006C6821"/>
    <w:rsid w:val="0073619D"/>
    <w:rsid w:val="00820939"/>
    <w:rsid w:val="00823290"/>
    <w:rsid w:val="00842341"/>
    <w:rsid w:val="008825EA"/>
    <w:rsid w:val="008B5943"/>
    <w:rsid w:val="008F2AC1"/>
    <w:rsid w:val="008F6A52"/>
    <w:rsid w:val="0091081C"/>
    <w:rsid w:val="00915CC9"/>
    <w:rsid w:val="009C0516"/>
    <w:rsid w:val="009C7804"/>
    <w:rsid w:val="00A80937"/>
    <w:rsid w:val="00AB4EC6"/>
    <w:rsid w:val="00AB5D9D"/>
    <w:rsid w:val="00B10647"/>
    <w:rsid w:val="00B7072E"/>
    <w:rsid w:val="00BA28CA"/>
    <w:rsid w:val="00C11BAB"/>
    <w:rsid w:val="00D84AB9"/>
    <w:rsid w:val="00DA36C7"/>
    <w:rsid w:val="00DA7A6F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2018-05-01T17:59:00Z</dcterms:created>
  <dcterms:modified xsi:type="dcterms:W3CDTF">2018-05-01T17:59:00Z</dcterms:modified>
</cp:coreProperties>
</file>