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82329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30,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7104"/>
        <w:gridCol w:w="339"/>
        <w:gridCol w:w="850"/>
      </w:tblGrid>
      <w:tr w:rsidR="00A03FF0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2C2848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Notes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 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28CA">
              <w:rPr>
                <w:rFonts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  <w:r w:rsidR="002C2848">
              <w:rPr>
                <w:rFonts w:cs="Times New Roman"/>
                <w:sz w:val="24"/>
                <w:szCs w:val="24"/>
              </w:rPr>
              <w:t>Kim Nickell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823290">
              <w:rPr>
                <w:rFonts w:ascii="Times New Roman" w:hAnsi="Times New Roman" w:cs="Times New Roman"/>
                <w:sz w:val="28"/>
                <w:szCs w:val="24"/>
              </w:rPr>
              <w:t>-November 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C2848" w:rsidRPr="00BA28CA" w:rsidRDefault="002C2848" w:rsidP="002C28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Mindy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3C3504" w:rsidRDefault="00823290" w:rsidP="0082329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Update</w:t>
            </w:r>
          </w:p>
          <w:p w:rsidR="002C2848" w:rsidRDefault="002C2848" w:rsidP="002C2848">
            <w:pPr>
              <w:pStyle w:val="NoSpacing"/>
              <w:numPr>
                <w:ilvl w:val="0"/>
                <w:numId w:val="10"/>
              </w:numPr>
            </w:pPr>
            <w:r>
              <w:t xml:space="preserve">Kristin: Take a serious look at the forms to get ready for </w:t>
            </w:r>
            <w:proofErr w:type="spellStart"/>
            <w:r>
              <w:t>eLumen</w:t>
            </w:r>
            <w:proofErr w:type="spellEnd"/>
            <w:r>
              <w:t>.  This includes AU, Comp, and Assessment</w:t>
            </w:r>
          </w:p>
          <w:p w:rsidR="002C2848" w:rsidRDefault="002C2848" w:rsidP="002C2848">
            <w:pPr>
              <w:pStyle w:val="NoSpacing"/>
              <w:numPr>
                <w:ilvl w:val="0"/>
                <w:numId w:val="10"/>
              </w:numPr>
            </w:pPr>
            <w:r>
              <w:t xml:space="preserve">Feb. 27 meeting important.  This is when we will make our final decisions so we get in </w:t>
            </w:r>
            <w:proofErr w:type="spellStart"/>
            <w:r>
              <w:t>eLumen</w:t>
            </w:r>
            <w:proofErr w:type="spellEnd"/>
            <w:r>
              <w:t xml:space="preserve"> for the 2018-19 cycle.</w:t>
            </w:r>
          </w:p>
          <w:p w:rsidR="002C2848" w:rsidRPr="002C2848" w:rsidRDefault="002C2848" w:rsidP="002C2848">
            <w:pPr>
              <w:pStyle w:val="NoSpacing"/>
              <w:numPr>
                <w:ilvl w:val="0"/>
                <w:numId w:val="10"/>
              </w:numPr>
            </w:pPr>
            <w:r>
              <w:t>March meeting will be time to look at programs who will want to pilot, get some data, and a test going.  Piece that is missing is how we as a committee how we will looking at it. The resource piece for requests is not clear to us yet.</w:t>
            </w:r>
            <w:r w:rsidR="00417726">
              <w:t xml:space="preserve"> There are still so many unknowns.  </w:t>
            </w:r>
            <w:proofErr w:type="spellStart"/>
            <w:r w:rsidR="00417726">
              <w:t>Elumen</w:t>
            </w:r>
            <w:proofErr w:type="spellEnd"/>
            <w:r w:rsidR="00417726">
              <w:t xml:space="preserve"> will use our forms to create the template within </w:t>
            </w:r>
            <w:proofErr w:type="spellStart"/>
            <w:r w:rsidR="00417726">
              <w:t>eLumen</w:t>
            </w:r>
            <w:proofErr w:type="spellEnd"/>
            <w:r w:rsidR="00417726">
              <w:t>.</w:t>
            </w:r>
          </w:p>
          <w:p w:rsidR="00823290" w:rsidRDefault="00E430E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Assessment forms-</w:t>
            </w:r>
            <w:proofErr w:type="spellStart"/>
            <w:r w:rsidR="003C3504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5B6E43" w:rsidRPr="005B6E43" w:rsidRDefault="005B6E43" w:rsidP="005B6E43">
            <w:pPr>
              <w:pStyle w:val="NoSpacing"/>
              <w:numPr>
                <w:ilvl w:val="0"/>
                <w:numId w:val="13"/>
              </w:numPr>
            </w:pPr>
            <w:r>
              <w:t>We will be working with Di Hoffman and the Assessment Committee to develop this process.</w:t>
            </w:r>
          </w:p>
          <w:p w:rsidR="0048214B" w:rsidRDefault="0048214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Update</w:t>
            </w:r>
            <w:r w:rsidR="004260A0">
              <w:rPr>
                <w:rFonts w:ascii="Times New Roman" w:hAnsi="Times New Roman" w:cs="Times New Roman"/>
                <w:sz w:val="28"/>
                <w:szCs w:val="28"/>
              </w:rPr>
              <w:t xml:space="preserve"> and Comprehensive 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417726" w:rsidRDefault="00417726" w:rsidP="00417726">
            <w:pPr>
              <w:pStyle w:val="NoSpacing"/>
              <w:numPr>
                <w:ilvl w:val="0"/>
                <w:numId w:val="11"/>
              </w:numPr>
            </w:pPr>
            <w:r>
              <w:t xml:space="preserve">Began make changes within the document in preparation of using it for the 2018-19 cycle within </w:t>
            </w:r>
            <w:proofErr w:type="spellStart"/>
            <w:r>
              <w:t>eLumen</w:t>
            </w:r>
            <w:proofErr w:type="spellEnd"/>
            <w:r>
              <w:t>.</w:t>
            </w:r>
          </w:p>
          <w:p w:rsidR="00417726" w:rsidRDefault="00417726" w:rsidP="00417726">
            <w:pPr>
              <w:pStyle w:val="NoSpacing"/>
              <w:numPr>
                <w:ilvl w:val="0"/>
                <w:numId w:val="11"/>
              </w:numPr>
            </w:pPr>
            <w:r>
              <w:t xml:space="preserve">Admin units, Student Services and all programs should be asked specific questions in support of Guided Pathways, Affinity Groups, </w:t>
            </w:r>
            <w:r w:rsidR="000C5C67">
              <w:t xml:space="preserve">Completion Coaches, </w:t>
            </w:r>
            <w:r>
              <w:t>etc.</w:t>
            </w:r>
          </w:p>
          <w:p w:rsidR="000C5C67" w:rsidRDefault="000C5C67" w:rsidP="00417726">
            <w:pPr>
              <w:pStyle w:val="NoSpacing"/>
              <w:numPr>
                <w:ilvl w:val="0"/>
                <w:numId w:val="11"/>
              </w:numPr>
            </w:pPr>
            <w:r>
              <w:t>Best Practices-how do we get them to focus on what a best practice is?  Are they being utilized?  Should we not do Best Practice? Shift the question to Manny.</w:t>
            </w:r>
          </w:p>
          <w:p w:rsidR="00A03FF0" w:rsidRDefault="00A03FF0" w:rsidP="00417726">
            <w:pPr>
              <w:pStyle w:val="NoSpacing"/>
              <w:numPr>
                <w:ilvl w:val="0"/>
                <w:numId w:val="11"/>
              </w:numPr>
            </w:pPr>
            <w:r>
              <w:t>What about a dual enrollment, rural initiatives, inmate education.  FTES funding?</w:t>
            </w:r>
          </w:p>
          <w:p w:rsidR="00A03FF0" w:rsidRDefault="00A03FF0" w:rsidP="00417726">
            <w:pPr>
              <w:pStyle w:val="NoSpacing"/>
              <w:numPr>
                <w:ilvl w:val="0"/>
                <w:numId w:val="11"/>
              </w:numPr>
            </w:pPr>
            <w:r>
              <w:t xml:space="preserve">Face to face or online? </w:t>
            </w:r>
          </w:p>
          <w:p w:rsidR="005B6E43" w:rsidRPr="00417726" w:rsidRDefault="005B6E43" w:rsidP="00417726">
            <w:pPr>
              <w:pStyle w:val="NoSpacing"/>
              <w:numPr>
                <w:ilvl w:val="0"/>
                <w:numId w:val="11"/>
              </w:numPr>
            </w:pPr>
            <w:r>
              <w:t>The Resource Analysis piece.  How do we get them to understand what information they need to give from last cycle?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E045FA" w:rsidRDefault="00E045FA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3C3504" w:rsidP="003C35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830" w:type="dxa"/>
            <w:gridSpan w:val="2"/>
          </w:tcPr>
          <w:p w:rsidR="00A80937" w:rsidRPr="00F46C23" w:rsidRDefault="00A80937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2F3D03">
      <w:pPr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0DE4"/>
    <w:multiLevelType w:val="hybridMultilevel"/>
    <w:tmpl w:val="33E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145"/>
    <w:multiLevelType w:val="hybridMultilevel"/>
    <w:tmpl w:val="D89A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265D"/>
    <w:multiLevelType w:val="hybridMultilevel"/>
    <w:tmpl w:val="1224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62213"/>
    <w:multiLevelType w:val="hybridMultilevel"/>
    <w:tmpl w:val="E27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20FE"/>
    <w:rsid w:val="000748AB"/>
    <w:rsid w:val="000B0132"/>
    <w:rsid w:val="000C5C67"/>
    <w:rsid w:val="0014357E"/>
    <w:rsid w:val="001F15D7"/>
    <w:rsid w:val="002C2848"/>
    <w:rsid w:val="002F3D03"/>
    <w:rsid w:val="003411C3"/>
    <w:rsid w:val="003C3504"/>
    <w:rsid w:val="003F1683"/>
    <w:rsid w:val="00417726"/>
    <w:rsid w:val="004260A0"/>
    <w:rsid w:val="0048214B"/>
    <w:rsid w:val="004C3095"/>
    <w:rsid w:val="0054523E"/>
    <w:rsid w:val="005721F4"/>
    <w:rsid w:val="00593FE1"/>
    <w:rsid w:val="005B6E43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A03FF0"/>
    <w:rsid w:val="00A80937"/>
    <w:rsid w:val="00A85D4E"/>
    <w:rsid w:val="00AB4EC6"/>
    <w:rsid w:val="00AB5D9D"/>
    <w:rsid w:val="00B7072E"/>
    <w:rsid w:val="00BA28CA"/>
    <w:rsid w:val="00C11BAB"/>
    <w:rsid w:val="00D84AB9"/>
    <w:rsid w:val="00DA36C7"/>
    <w:rsid w:val="00E045FA"/>
    <w:rsid w:val="00E430EB"/>
    <w:rsid w:val="00EA347E"/>
    <w:rsid w:val="00EF7EB1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2018-02-23T20:12:00Z</dcterms:created>
  <dcterms:modified xsi:type="dcterms:W3CDTF">2018-02-23T20:12:00Z</dcterms:modified>
</cp:coreProperties>
</file>