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5B4" w:rsidRDefault="00FF15B4" w:rsidP="00FF15B4">
      <w:pPr>
        <w:jc w:val="center"/>
        <w:rPr>
          <w:rFonts w:asciiTheme="minorHAnsi" w:hAnsiTheme="minorHAnsi" w:cs="Trebuchet MS"/>
          <w:b/>
        </w:rPr>
      </w:pPr>
      <w:r>
        <w:rPr>
          <w:rFonts w:asciiTheme="minorHAnsi" w:hAnsiTheme="minorHAnsi" w:cs="Trebuchet MS"/>
          <w:b/>
          <w:color w:val="000000"/>
        </w:rPr>
        <w:t>Program Review Committee</w:t>
      </w:r>
    </w:p>
    <w:p w:rsidR="00FF15B4" w:rsidRDefault="00FF15B4" w:rsidP="00FF15B4">
      <w:pPr>
        <w:jc w:val="center"/>
        <w:rPr>
          <w:rFonts w:asciiTheme="minorHAnsi" w:hAnsiTheme="minorHAnsi" w:cs="Trebuchet MS"/>
          <w:b/>
        </w:rPr>
      </w:pPr>
      <w:r>
        <w:rPr>
          <w:rFonts w:asciiTheme="minorHAnsi" w:hAnsiTheme="minorHAnsi" w:cs="Trebuchet MS"/>
          <w:b/>
          <w:color w:val="000000"/>
        </w:rPr>
        <w:t xml:space="preserve"> Tuesday, September 8, 2015</w:t>
      </w:r>
    </w:p>
    <w:p w:rsidR="00FF15B4" w:rsidRDefault="00FF15B4" w:rsidP="00FF15B4">
      <w:pPr>
        <w:jc w:val="center"/>
        <w:rPr>
          <w:rFonts w:asciiTheme="minorHAnsi" w:hAnsiTheme="minorHAnsi" w:cs="Trebuchet MS"/>
          <w:b/>
        </w:rPr>
      </w:pPr>
      <w:r>
        <w:rPr>
          <w:rFonts w:asciiTheme="minorHAnsi" w:hAnsiTheme="minorHAnsi" w:cs="Trebuchet MS"/>
          <w:b/>
          <w:color w:val="000000"/>
        </w:rPr>
        <w:t xml:space="preserve">3:30 p.m. – 5:00 p.m. in Levinson 40 </w:t>
      </w:r>
    </w:p>
    <w:p w:rsidR="00FF15B4" w:rsidRDefault="00FF15B4" w:rsidP="00FF15B4">
      <w:pPr>
        <w:jc w:val="center"/>
        <w:rPr>
          <w:rFonts w:asciiTheme="minorHAnsi" w:hAnsiTheme="minorHAnsi" w:cs="Trebuchet MS"/>
          <w:b/>
          <w:color w:val="000000"/>
        </w:rPr>
      </w:pPr>
      <w:r>
        <w:rPr>
          <w:rFonts w:asciiTheme="minorHAnsi" w:hAnsiTheme="minorHAnsi" w:cs="Trebuchet MS"/>
          <w:b/>
          <w:color w:val="000000"/>
        </w:rPr>
        <w:t>Meeting Notes</w:t>
      </w:r>
    </w:p>
    <w:p w:rsidR="00FF15B4" w:rsidRDefault="00FF15B4" w:rsidP="00FF15B4">
      <w:pPr>
        <w:jc w:val="center"/>
        <w:rPr>
          <w:rFonts w:asciiTheme="minorHAnsi" w:hAnsiTheme="minorHAnsi" w:cs="Trebuchet MS"/>
          <w:b/>
          <w:color w:val="000000"/>
        </w:rPr>
      </w:pPr>
    </w:p>
    <w:p w:rsidR="00FF15B4" w:rsidRDefault="00FF15B4" w:rsidP="00FF15B4">
      <w:pPr>
        <w:pStyle w:val="ListParagraph"/>
        <w:numPr>
          <w:ilvl w:val="0"/>
          <w:numId w:val="1"/>
        </w:numPr>
        <w:rPr>
          <w:rFonts w:asciiTheme="minorHAnsi" w:hAnsiTheme="minorHAnsi" w:cs="Trebuchet MS"/>
          <w:b/>
          <w:color w:val="000000"/>
          <w:sz w:val="22"/>
          <w:szCs w:val="22"/>
        </w:rPr>
      </w:pPr>
      <w:r>
        <w:rPr>
          <w:rFonts w:asciiTheme="minorHAnsi" w:hAnsiTheme="minorHAnsi" w:cs="Trebuchet MS"/>
          <w:b/>
          <w:color w:val="000000"/>
          <w:sz w:val="22"/>
          <w:szCs w:val="22"/>
        </w:rPr>
        <w:t>Today’s Note Taker</w:t>
      </w:r>
    </w:p>
    <w:p w:rsidR="00FF15B4" w:rsidRDefault="00FF15B4" w:rsidP="00FF15B4">
      <w:pPr>
        <w:pStyle w:val="ListParagraph"/>
        <w:numPr>
          <w:ilvl w:val="1"/>
          <w:numId w:val="1"/>
        </w:numPr>
        <w:rPr>
          <w:rFonts w:asciiTheme="minorHAnsi" w:hAnsiTheme="minorHAnsi" w:cs="Trebuchet MS"/>
          <w:sz w:val="22"/>
          <w:szCs w:val="22"/>
        </w:rPr>
      </w:pPr>
      <w:r>
        <w:rPr>
          <w:rFonts w:asciiTheme="minorHAnsi" w:hAnsiTheme="minorHAnsi" w:cs="Trebuchet MS"/>
          <w:color w:val="000000"/>
          <w:sz w:val="22"/>
          <w:szCs w:val="22"/>
        </w:rPr>
        <w:t>9.8.15- Anna Agenjo</w:t>
      </w:r>
    </w:p>
    <w:p w:rsidR="00FF15B4" w:rsidRDefault="00FF15B4" w:rsidP="00FF15B4">
      <w:pPr>
        <w:pStyle w:val="ListParagraph"/>
        <w:ind w:left="1440"/>
        <w:rPr>
          <w:rFonts w:asciiTheme="minorHAnsi" w:hAnsiTheme="minorHAnsi" w:cs="Trebuchet MS"/>
          <w:color w:val="000000"/>
          <w:sz w:val="22"/>
          <w:szCs w:val="22"/>
        </w:rPr>
      </w:pPr>
      <w:r>
        <w:rPr>
          <w:rFonts w:asciiTheme="minorHAnsi" w:hAnsiTheme="minorHAnsi" w:cs="Trebuchet MS"/>
          <w:b/>
          <w:color w:val="000000"/>
          <w:sz w:val="22"/>
          <w:szCs w:val="22"/>
          <w:u w:val="single"/>
        </w:rPr>
        <w:t>Committee Members in attendance</w:t>
      </w:r>
      <w:r>
        <w:rPr>
          <w:rFonts w:asciiTheme="minorHAnsi" w:hAnsiTheme="minorHAnsi" w:cs="Trebuchet MS"/>
          <w:color w:val="000000"/>
          <w:sz w:val="22"/>
          <w:szCs w:val="22"/>
        </w:rPr>
        <w:t>:  Anna Agenjo, Kate Pluta, Manny Mourtzanos</w:t>
      </w:r>
      <w:r w:rsidR="001E105E">
        <w:rPr>
          <w:rFonts w:asciiTheme="minorHAnsi" w:hAnsiTheme="minorHAnsi" w:cs="Trebuchet MS"/>
          <w:color w:val="000000"/>
          <w:sz w:val="22"/>
          <w:szCs w:val="22"/>
        </w:rPr>
        <w:t xml:space="preserve"> (co-chair)</w:t>
      </w:r>
      <w:r>
        <w:rPr>
          <w:rFonts w:asciiTheme="minorHAnsi" w:hAnsiTheme="minorHAnsi" w:cs="Trebuchet MS"/>
          <w:color w:val="000000"/>
          <w:sz w:val="22"/>
          <w:szCs w:val="22"/>
        </w:rPr>
        <w:t>, Jessica Wojtysiak, Kim Nickell</w:t>
      </w:r>
      <w:r w:rsidR="001E105E">
        <w:rPr>
          <w:rFonts w:asciiTheme="minorHAnsi" w:hAnsiTheme="minorHAnsi" w:cs="Trebuchet MS"/>
          <w:color w:val="000000"/>
          <w:sz w:val="22"/>
          <w:szCs w:val="22"/>
        </w:rPr>
        <w:t xml:space="preserve"> (co-chair)</w:t>
      </w:r>
      <w:r>
        <w:rPr>
          <w:rFonts w:asciiTheme="minorHAnsi" w:hAnsiTheme="minorHAnsi" w:cs="Trebuchet MS"/>
          <w:color w:val="000000"/>
          <w:sz w:val="22"/>
          <w:szCs w:val="22"/>
        </w:rPr>
        <w:t>, Kristin Rabe</w:t>
      </w:r>
      <w:r w:rsidR="001E105E">
        <w:rPr>
          <w:rFonts w:asciiTheme="minorHAnsi" w:hAnsiTheme="minorHAnsi" w:cs="Trebuchet MS"/>
          <w:color w:val="000000"/>
          <w:sz w:val="22"/>
          <w:szCs w:val="22"/>
        </w:rPr>
        <w:t xml:space="preserve"> (co-chair)</w:t>
      </w:r>
      <w:r>
        <w:rPr>
          <w:rFonts w:asciiTheme="minorHAnsi" w:hAnsiTheme="minorHAnsi" w:cs="Trebuchet MS"/>
          <w:color w:val="000000"/>
          <w:sz w:val="22"/>
          <w:szCs w:val="22"/>
        </w:rPr>
        <w:t>, Mark Staller, Sue Vaughn, Diane Allen, Hal Mendoza, Jennifer Johnson, David Neville, Liz Rozell, Michael Carly, Laura Lorigo, Meg Stidham</w:t>
      </w:r>
    </w:p>
    <w:p w:rsidR="00FF15B4" w:rsidRDefault="00FF15B4" w:rsidP="00FF15B4">
      <w:pPr>
        <w:pStyle w:val="ListParagraph"/>
        <w:ind w:left="1440"/>
        <w:rPr>
          <w:rFonts w:asciiTheme="minorHAnsi" w:hAnsiTheme="minorHAnsi" w:cs="Trebuchet MS"/>
          <w:color w:val="000000"/>
          <w:sz w:val="22"/>
          <w:szCs w:val="22"/>
        </w:rPr>
      </w:pPr>
      <w:r>
        <w:rPr>
          <w:rFonts w:asciiTheme="minorHAnsi" w:hAnsiTheme="minorHAnsi" w:cs="Trebuchet MS"/>
          <w:b/>
          <w:color w:val="000000"/>
          <w:sz w:val="22"/>
          <w:szCs w:val="22"/>
          <w:u w:val="single"/>
        </w:rPr>
        <w:t>Committee Members absent:</w:t>
      </w:r>
      <w:r w:rsidR="001E105E">
        <w:rPr>
          <w:rFonts w:asciiTheme="minorHAnsi" w:hAnsiTheme="minorHAnsi" w:cs="Trebuchet MS"/>
          <w:color w:val="000000"/>
          <w:sz w:val="22"/>
          <w:szCs w:val="22"/>
        </w:rPr>
        <w:t xml:space="preserve">  Diane Baeza, </w:t>
      </w:r>
      <w:r>
        <w:rPr>
          <w:rFonts w:asciiTheme="minorHAnsi" w:hAnsiTheme="minorHAnsi" w:cs="Trebuchet MS"/>
          <w:color w:val="000000"/>
          <w:sz w:val="22"/>
          <w:szCs w:val="22"/>
        </w:rPr>
        <w:t>Bernadette Towns, Bernadette Martinez, SGA rep, Martiza Salgueiro-Carlisle</w:t>
      </w:r>
    </w:p>
    <w:p w:rsidR="00FF15B4" w:rsidRDefault="00FF15B4" w:rsidP="00FF15B4">
      <w:pPr>
        <w:pStyle w:val="ListParagraph"/>
        <w:ind w:left="1440"/>
        <w:rPr>
          <w:rFonts w:asciiTheme="minorHAnsi" w:hAnsiTheme="minorHAnsi" w:cs="Trebuchet MS"/>
          <w:sz w:val="22"/>
          <w:szCs w:val="22"/>
        </w:rPr>
      </w:pPr>
    </w:p>
    <w:p w:rsidR="00FF15B4" w:rsidRDefault="00FF15B4" w:rsidP="00FF15B4">
      <w:pPr>
        <w:pStyle w:val="ListParagraph"/>
        <w:numPr>
          <w:ilvl w:val="0"/>
          <w:numId w:val="1"/>
        </w:numPr>
        <w:rPr>
          <w:rFonts w:asciiTheme="minorHAnsi" w:hAnsiTheme="minorHAnsi" w:cs="Trebuchet MS"/>
          <w:b/>
          <w:color w:val="000000"/>
          <w:sz w:val="22"/>
          <w:szCs w:val="22"/>
        </w:rPr>
      </w:pPr>
      <w:r w:rsidRPr="00FF15B4">
        <w:rPr>
          <w:rFonts w:asciiTheme="minorHAnsi" w:hAnsiTheme="minorHAnsi" w:cs="Trebuchet MS"/>
          <w:b/>
          <w:color w:val="000000"/>
          <w:sz w:val="22"/>
          <w:szCs w:val="22"/>
        </w:rPr>
        <w:t>Review and appro</w:t>
      </w:r>
      <w:r>
        <w:rPr>
          <w:rFonts w:asciiTheme="minorHAnsi" w:hAnsiTheme="minorHAnsi" w:cs="Trebuchet MS"/>
          <w:b/>
          <w:color w:val="000000"/>
          <w:sz w:val="22"/>
          <w:szCs w:val="22"/>
        </w:rPr>
        <w:t>ve agenda items. Items approved.</w:t>
      </w:r>
    </w:p>
    <w:p w:rsidR="00FF15B4" w:rsidRPr="00FF15B4" w:rsidRDefault="00FF15B4" w:rsidP="00FF15B4">
      <w:pPr>
        <w:rPr>
          <w:rFonts w:asciiTheme="minorHAnsi" w:hAnsiTheme="minorHAnsi" w:cs="Trebuchet MS"/>
          <w:b/>
          <w:color w:val="000000"/>
          <w:sz w:val="22"/>
          <w:szCs w:val="22"/>
        </w:rPr>
      </w:pPr>
    </w:p>
    <w:p w:rsidR="00FF15B4" w:rsidRPr="00535D80" w:rsidRDefault="00FF15B4" w:rsidP="00FF15B4">
      <w:pPr>
        <w:pStyle w:val="ListParagraph"/>
        <w:numPr>
          <w:ilvl w:val="0"/>
          <w:numId w:val="1"/>
        </w:numPr>
        <w:rPr>
          <w:rFonts w:asciiTheme="minorHAnsi" w:hAnsiTheme="minorHAnsi" w:cs="Trebuchet MS"/>
          <w:color w:val="000000"/>
          <w:sz w:val="22"/>
          <w:szCs w:val="22"/>
        </w:rPr>
      </w:pPr>
      <w:r>
        <w:rPr>
          <w:rFonts w:asciiTheme="minorHAnsi" w:hAnsiTheme="minorHAnsi" w:cs="Trebuchet MS"/>
          <w:b/>
          <w:color w:val="000000"/>
          <w:sz w:val="22"/>
          <w:szCs w:val="22"/>
        </w:rPr>
        <w:t xml:space="preserve">Review of 2015-16 PRC timeline – </w:t>
      </w:r>
      <w:r w:rsidRPr="00535D80">
        <w:rPr>
          <w:rFonts w:asciiTheme="minorHAnsi" w:hAnsiTheme="minorHAnsi" w:cs="Trebuchet MS"/>
          <w:color w:val="000000"/>
          <w:sz w:val="22"/>
          <w:szCs w:val="22"/>
        </w:rPr>
        <w:t>Discussion of timeline including clarification of dates for first reads, number of first reviews expected, number of certificates of achievement (33)</w:t>
      </w:r>
      <w:r w:rsidR="00535D80" w:rsidRPr="00535D80">
        <w:rPr>
          <w:rFonts w:asciiTheme="minorHAnsi" w:hAnsiTheme="minorHAnsi" w:cs="Trebuchet MS"/>
          <w:color w:val="000000"/>
          <w:sz w:val="22"/>
          <w:szCs w:val="22"/>
        </w:rPr>
        <w:t>, and the need of a hard deadline for reviews to be submitted to the appropriate Deans.</w:t>
      </w:r>
    </w:p>
    <w:p w:rsidR="00FF15B4" w:rsidRDefault="00FF15B4" w:rsidP="00FF15B4">
      <w:pPr>
        <w:pStyle w:val="ListParagraph"/>
        <w:rPr>
          <w:rFonts w:asciiTheme="minorHAnsi" w:hAnsiTheme="minorHAnsi" w:cs="Trebuchet MS"/>
          <w:b/>
          <w:color w:val="000000"/>
          <w:sz w:val="22"/>
          <w:szCs w:val="22"/>
        </w:rPr>
      </w:pPr>
    </w:p>
    <w:p w:rsidR="00FF15B4" w:rsidRPr="001E105E" w:rsidRDefault="00FF15B4" w:rsidP="000C4264">
      <w:pPr>
        <w:pStyle w:val="ListParagraph"/>
        <w:numPr>
          <w:ilvl w:val="0"/>
          <w:numId w:val="1"/>
        </w:numPr>
        <w:rPr>
          <w:rFonts w:asciiTheme="minorHAnsi" w:hAnsiTheme="minorHAnsi" w:cs="Trebuchet MS"/>
          <w:color w:val="000000"/>
          <w:sz w:val="22"/>
          <w:szCs w:val="22"/>
        </w:rPr>
      </w:pPr>
      <w:r w:rsidRPr="000C4264">
        <w:rPr>
          <w:rFonts w:asciiTheme="minorHAnsi" w:hAnsiTheme="minorHAnsi" w:cs="Trebuchet MS"/>
          <w:b/>
          <w:color w:val="000000"/>
          <w:sz w:val="22"/>
          <w:szCs w:val="22"/>
        </w:rPr>
        <w:t xml:space="preserve">Committee Charge/Goals for 2015-16 – </w:t>
      </w:r>
      <w:r w:rsidR="000C4264" w:rsidRPr="000C4264">
        <w:rPr>
          <w:rFonts w:asciiTheme="minorHAnsi" w:hAnsiTheme="minorHAnsi" w:cs="Trebuchet MS"/>
          <w:color w:val="000000"/>
          <w:sz w:val="22"/>
          <w:szCs w:val="22"/>
        </w:rPr>
        <w:t xml:space="preserve">Kate emailed the Charge document to the entire committee for suggestions and feedback. Liz Rozell volunteered to compile all the feedback to present at the next committee </w:t>
      </w:r>
      <w:r w:rsidR="000C4264" w:rsidRPr="001E105E">
        <w:rPr>
          <w:rFonts w:asciiTheme="minorHAnsi" w:hAnsiTheme="minorHAnsi" w:cs="Trebuchet MS"/>
          <w:color w:val="000000"/>
          <w:sz w:val="22"/>
          <w:szCs w:val="22"/>
        </w:rPr>
        <w:t>meeting</w:t>
      </w:r>
      <w:r w:rsidRPr="001E105E">
        <w:rPr>
          <w:rFonts w:asciiTheme="minorHAnsi" w:hAnsiTheme="minorHAnsi" w:cs="Trebuchet MS"/>
          <w:color w:val="000000"/>
          <w:sz w:val="22"/>
          <w:szCs w:val="22"/>
        </w:rPr>
        <w:t xml:space="preserve"> </w:t>
      </w:r>
      <w:r w:rsidR="001E105E" w:rsidRPr="001E105E">
        <w:rPr>
          <w:rFonts w:asciiTheme="minorHAnsi" w:hAnsiTheme="minorHAnsi" w:cs="Trebuchet MS"/>
          <w:color w:val="000000"/>
          <w:sz w:val="22"/>
          <w:szCs w:val="22"/>
        </w:rPr>
        <w:t>(September 22, 2015)</w:t>
      </w:r>
    </w:p>
    <w:p w:rsidR="00FF15B4" w:rsidRPr="001E105E" w:rsidRDefault="00FF15B4" w:rsidP="00FF15B4">
      <w:pPr>
        <w:pStyle w:val="ListParagraph"/>
        <w:rPr>
          <w:rFonts w:asciiTheme="minorHAnsi" w:hAnsiTheme="minorHAnsi" w:cs="Trebuchet MS"/>
          <w:color w:val="000000"/>
          <w:sz w:val="22"/>
          <w:szCs w:val="22"/>
        </w:rPr>
      </w:pPr>
    </w:p>
    <w:p w:rsidR="00FF15B4" w:rsidRDefault="00FF15B4" w:rsidP="00FF15B4">
      <w:pPr>
        <w:pStyle w:val="ListParagraph"/>
        <w:rPr>
          <w:rFonts w:asciiTheme="minorHAnsi" w:hAnsiTheme="minorHAnsi" w:cs="Trebuchet MS"/>
          <w:color w:val="000000"/>
          <w:sz w:val="22"/>
          <w:szCs w:val="22"/>
        </w:rPr>
      </w:pPr>
    </w:p>
    <w:p w:rsidR="00FF15B4" w:rsidRDefault="00FF15B4" w:rsidP="00FF15B4">
      <w:pPr>
        <w:rPr>
          <w:rFonts w:asciiTheme="minorHAnsi" w:hAnsiTheme="minorHAnsi" w:cs="Trebuchet MS"/>
          <w:color w:val="000000"/>
          <w:sz w:val="22"/>
          <w:szCs w:val="22"/>
        </w:rPr>
      </w:pPr>
      <w:r>
        <w:rPr>
          <w:rFonts w:asciiTheme="minorHAnsi" w:hAnsiTheme="minorHAnsi" w:cs="Trebuchet MS"/>
          <w:color w:val="000000"/>
          <w:sz w:val="22"/>
          <w:szCs w:val="22"/>
        </w:rPr>
        <w:t xml:space="preserve">Discussion:  </w:t>
      </w:r>
    </w:p>
    <w:p w:rsidR="00FF15B4" w:rsidRDefault="00535D80" w:rsidP="00FF15B4">
      <w:pPr>
        <w:rPr>
          <w:rFonts w:asciiTheme="minorHAnsi" w:hAnsiTheme="minorHAnsi" w:cs="Trebuchet MS"/>
          <w:color w:val="000000"/>
          <w:sz w:val="22"/>
          <w:szCs w:val="22"/>
        </w:rPr>
      </w:pPr>
      <w:r>
        <w:rPr>
          <w:rFonts w:asciiTheme="minorHAnsi" w:hAnsiTheme="minorHAnsi" w:cs="Trebuchet MS"/>
          <w:color w:val="000000"/>
          <w:sz w:val="22"/>
          <w:szCs w:val="22"/>
        </w:rPr>
        <w:t xml:space="preserve">David Neville, as co-chair, had volunteered the Assessment Committee to review the assessment portions of the program reviews. </w:t>
      </w:r>
      <w:r w:rsidR="001E105E">
        <w:rPr>
          <w:rFonts w:asciiTheme="minorHAnsi" w:hAnsiTheme="minorHAnsi" w:cs="Trebuchet MS"/>
          <w:color w:val="000000"/>
          <w:sz w:val="22"/>
          <w:szCs w:val="22"/>
        </w:rPr>
        <w:t>Because of the current forms, t</w:t>
      </w:r>
      <w:r>
        <w:rPr>
          <w:rFonts w:asciiTheme="minorHAnsi" w:hAnsiTheme="minorHAnsi" w:cs="Trebuchet MS"/>
          <w:color w:val="000000"/>
          <w:sz w:val="22"/>
          <w:szCs w:val="22"/>
        </w:rPr>
        <w:t>his will prove difficult for this year, but will be considered for the future as the forms are “tweaked” to allow it.</w:t>
      </w:r>
      <w:r w:rsidR="001E105E">
        <w:rPr>
          <w:rFonts w:asciiTheme="minorHAnsi" w:hAnsiTheme="minorHAnsi" w:cs="Trebuchet MS"/>
          <w:color w:val="000000"/>
          <w:sz w:val="22"/>
          <w:szCs w:val="22"/>
        </w:rPr>
        <w:t xml:space="preserve"> The Committee agreed this would be very helpful in the future.</w:t>
      </w:r>
    </w:p>
    <w:p w:rsidR="00FF15B4" w:rsidRDefault="00FF15B4" w:rsidP="00FF15B4">
      <w:pPr>
        <w:rPr>
          <w:rFonts w:asciiTheme="minorHAnsi" w:hAnsiTheme="minorHAnsi" w:cs="Trebuchet MS"/>
          <w:color w:val="000000"/>
          <w:sz w:val="22"/>
          <w:szCs w:val="22"/>
        </w:rPr>
      </w:pPr>
    </w:p>
    <w:p w:rsidR="00FF15B4" w:rsidRPr="000C4264" w:rsidRDefault="00535D80" w:rsidP="00FF15B4">
      <w:pPr>
        <w:rPr>
          <w:rFonts w:asciiTheme="minorHAnsi" w:hAnsiTheme="minorHAnsi" w:cs="Trebuchet MS"/>
          <w:b/>
          <w:color w:val="000000"/>
          <w:sz w:val="22"/>
          <w:szCs w:val="22"/>
        </w:rPr>
      </w:pPr>
      <w:r>
        <w:rPr>
          <w:rFonts w:asciiTheme="minorHAnsi" w:hAnsiTheme="minorHAnsi" w:cs="Trebuchet MS"/>
          <w:color w:val="000000"/>
          <w:sz w:val="22"/>
          <w:szCs w:val="22"/>
        </w:rPr>
        <w:t xml:space="preserve">Kristin will again be responsible for assigning </w:t>
      </w:r>
      <w:r w:rsidR="001E105E">
        <w:rPr>
          <w:rFonts w:asciiTheme="minorHAnsi" w:hAnsiTheme="minorHAnsi" w:cs="Trebuchet MS"/>
          <w:color w:val="000000"/>
          <w:sz w:val="22"/>
          <w:szCs w:val="22"/>
        </w:rPr>
        <w:t>reviews to</w:t>
      </w:r>
      <w:r>
        <w:rPr>
          <w:rFonts w:asciiTheme="minorHAnsi" w:hAnsiTheme="minorHAnsi" w:cs="Trebuchet MS"/>
          <w:color w:val="000000"/>
          <w:sz w:val="22"/>
          <w:szCs w:val="22"/>
        </w:rPr>
        <w:t xml:space="preserve"> committee members. She will attempt to give each reader a mix of instructional/administrative and student services’ reviews.  Kristin and the other co-chairs will review the master list of assignments before disseminating the list to the Committee. Kim Nickell and Meg Stidham will both follow up with faculty and classified to recruit more members to the Committee which will help with the workload.</w:t>
      </w:r>
      <w:r w:rsidR="000C4264">
        <w:rPr>
          <w:rFonts w:asciiTheme="minorHAnsi" w:hAnsiTheme="minorHAnsi" w:cs="Trebuchet MS"/>
          <w:color w:val="000000"/>
          <w:sz w:val="22"/>
          <w:szCs w:val="22"/>
        </w:rPr>
        <w:t xml:space="preserve"> </w:t>
      </w:r>
      <w:r w:rsidR="001E105E">
        <w:rPr>
          <w:rFonts w:asciiTheme="minorHAnsi" w:hAnsiTheme="minorHAnsi" w:cs="Trebuchet MS"/>
          <w:color w:val="000000"/>
          <w:sz w:val="22"/>
          <w:szCs w:val="22"/>
        </w:rPr>
        <w:t xml:space="preserve">First and second readers should share their checklists and </w:t>
      </w:r>
      <w:r w:rsidR="001E105E">
        <w:rPr>
          <w:rFonts w:asciiTheme="minorHAnsi" w:hAnsiTheme="minorHAnsi" w:cs="Trebuchet MS"/>
          <w:b/>
          <w:color w:val="000000"/>
          <w:sz w:val="22"/>
          <w:szCs w:val="22"/>
        </w:rPr>
        <w:t>f</w:t>
      </w:r>
      <w:r w:rsidR="000C4264" w:rsidRPr="000C4264">
        <w:rPr>
          <w:rFonts w:asciiTheme="minorHAnsi" w:hAnsiTheme="minorHAnsi" w:cs="Trebuchet MS"/>
          <w:b/>
          <w:color w:val="000000"/>
          <w:sz w:val="22"/>
          <w:szCs w:val="22"/>
        </w:rPr>
        <w:t>eedback from all rea</w:t>
      </w:r>
      <w:r w:rsidR="000C4264">
        <w:rPr>
          <w:rFonts w:asciiTheme="minorHAnsi" w:hAnsiTheme="minorHAnsi" w:cs="Trebuchet MS"/>
          <w:b/>
          <w:color w:val="000000"/>
          <w:sz w:val="22"/>
          <w:szCs w:val="22"/>
        </w:rPr>
        <w:t>ders is due to the PRC chairs by</w:t>
      </w:r>
      <w:r w:rsidR="000C4264" w:rsidRPr="000C4264">
        <w:rPr>
          <w:rFonts w:asciiTheme="minorHAnsi" w:hAnsiTheme="minorHAnsi" w:cs="Trebuchet MS"/>
          <w:b/>
          <w:color w:val="000000"/>
          <w:sz w:val="22"/>
          <w:szCs w:val="22"/>
        </w:rPr>
        <w:t xml:space="preserve"> October 23</w:t>
      </w:r>
      <w:r w:rsidR="000C4264" w:rsidRPr="000C4264">
        <w:rPr>
          <w:rFonts w:asciiTheme="minorHAnsi" w:hAnsiTheme="minorHAnsi" w:cs="Trebuchet MS"/>
          <w:b/>
          <w:color w:val="000000"/>
          <w:sz w:val="22"/>
          <w:szCs w:val="22"/>
          <w:vertAlign w:val="superscript"/>
        </w:rPr>
        <w:t>rd</w:t>
      </w:r>
      <w:r w:rsidR="000C4264" w:rsidRPr="000C4264">
        <w:rPr>
          <w:rFonts w:asciiTheme="minorHAnsi" w:hAnsiTheme="minorHAnsi" w:cs="Trebuchet MS"/>
          <w:b/>
          <w:color w:val="000000"/>
          <w:sz w:val="22"/>
          <w:szCs w:val="22"/>
        </w:rPr>
        <w:t>.</w:t>
      </w:r>
    </w:p>
    <w:p w:rsidR="00FF15B4" w:rsidRDefault="00FF15B4" w:rsidP="00FF15B4">
      <w:pPr>
        <w:rPr>
          <w:rFonts w:asciiTheme="minorHAnsi" w:hAnsiTheme="minorHAnsi" w:cs="Trebuchet MS"/>
          <w:color w:val="000000"/>
          <w:sz w:val="22"/>
          <w:szCs w:val="22"/>
        </w:rPr>
      </w:pPr>
    </w:p>
    <w:p w:rsidR="00FF15B4" w:rsidRDefault="000C4264" w:rsidP="00FF15B4">
      <w:pPr>
        <w:rPr>
          <w:rFonts w:asciiTheme="minorHAnsi" w:hAnsiTheme="minorHAnsi" w:cs="Trebuchet MS"/>
          <w:color w:val="000000"/>
          <w:sz w:val="22"/>
          <w:szCs w:val="22"/>
        </w:rPr>
      </w:pPr>
      <w:r>
        <w:rPr>
          <w:rFonts w:asciiTheme="minorHAnsi" w:hAnsiTheme="minorHAnsi" w:cs="Trebuchet MS"/>
          <w:color w:val="000000"/>
          <w:sz w:val="22"/>
          <w:szCs w:val="22"/>
        </w:rPr>
        <w:t>Kim Nickell walked the committee through the forms. As readers review the forms, they are not offering evaluation of the data, but are looking for clarification. If the reader has no questions about a specific section, they would mark YES</w:t>
      </w:r>
      <w:r w:rsidR="001E105E">
        <w:rPr>
          <w:rFonts w:asciiTheme="minorHAnsi" w:hAnsiTheme="minorHAnsi" w:cs="Trebuchet MS"/>
          <w:color w:val="000000"/>
          <w:sz w:val="22"/>
          <w:szCs w:val="22"/>
        </w:rPr>
        <w:t xml:space="preserve"> on the checklist</w:t>
      </w:r>
      <w:r>
        <w:rPr>
          <w:rFonts w:asciiTheme="minorHAnsi" w:hAnsiTheme="minorHAnsi" w:cs="Trebuchet MS"/>
          <w:color w:val="000000"/>
          <w:sz w:val="22"/>
          <w:szCs w:val="22"/>
        </w:rPr>
        <w:t>. Readers should be mindful that all required sections are complete, such as the Goals section. It was decided that position, technology and facilities requests would not move forward to the appropriate committees if the review was not complete.</w:t>
      </w:r>
    </w:p>
    <w:p w:rsidR="000C4264" w:rsidRDefault="000C4264" w:rsidP="00FF15B4">
      <w:pPr>
        <w:rPr>
          <w:rFonts w:asciiTheme="minorHAnsi" w:hAnsiTheme="minorHAnsi" w:cs="Trebuchet MS"/>
          <w:color w:val="000000"/>
          <w:sz w:val="22"/>
          <w:szCs w:val="22"/>
        </w:rPr>
      </w:pPr>
    </w:p>
    <w:p w:rsidR="00FF15B4" w:rsidRDefault="00FF15B4" w:rsidP="00FF15B4">
      <w:pPr>
        <w:rPr>
          <w:rFonts w:asciiTheme="minorHAnsi" w:hAnsiTheme="minorHAnsi" w:cs="Trebuchet MS"/>
          <w:color w:val="000000"/>
          <w:sz w:val="22"/>
          <w:szCs w:val="22"/>
        </w:rPr>
      </w:pPr>
    </w:p>
    <w:p w:rsidR="00FF15B4" w:rsidRDefault="00FF15B4" w:rsidP="00FF15B4">
      <w:pPr>
        <w:rPr>
          <w:rFonts w:asciiTheme="minorHAnsi" w:hAnsiTheme="minorHAnsi" w:cs="Trebuchet MS"/>
          <w:color w:val="000000"/>
          <w:sz w:val="22"/>
          <w:szCs w:val="22"/>
        </w:rPr>
      </w:pPr>
    </w:p>
    <w:p w:rsidR="00FF15B4" w:rsidRDefault="00FF15B4" w:rsidP="00FF15B4">
      <w:pPr>
        <w:rPr>
          <w:rFonts w:asciiTheme="minorHAnsi" w:hAnsiTheme="minorHAnsi" w:cs="Trebuchet MS"/>
          <w:color w:val="000000"/>
          <w:sz w:val="22"/>
          <w:szCs w:val="22"/>
        </w:rPr>
      </w:pPr>
    </w:p>
    <w:p w:rsidR="00FF15B4" w:rsidRDefault="001E105E" w:rsidP="00FF15B4">
      <w:pPr>
        <w:spacing w:line="480" w:lineRule="auto"/>
        <w:rPr>
          <w:rFonts w:asciiTheme="minorHAnsi" w:hAnsiTheme="minorHAnsi" w:cs="Trebuchet MS"/>
          <w:b/>
          <w:color w:val="000000"/>
          <w:sz w:val="22"/>
          <w:szCs w:val="22"/>
        </w:rPr>
      </w:pPr>
      <w:r>
        <w:rPr>
          <w:rFonts w:asciiTheme="minorHAnsi" w:hAnsiTheme="minorHAnsi" w:cs="Trebuchet MS"/>
          <w:b/>
          <w:color w:val="000000"/>
          <w:sz w:val="22"/>
          <w:szCs w:val="22"/>
        </w:rPr>
        <w:lastRenderedPageBreak/>
        <w:t>Meeting adjourned at 5:02 p.m.</w:t>
      </w:r>
    </w:p>
    <w:tbl>
      <w:tblPr>
        <w:tblpPr w:leftFromText="180" w:rightFromText="180" w:vertAnchor="page" w:horzAnchor="margin" w:tblpXSpec="center" w:tblpY="35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1680"/>
        <w:gridCol w:w="330"/>
        <w:gridCol w:w="7830"/>
      </w:tblGrid>
      <w:tr w:rsidR="00FF15B4" w:rsidTr="00FF15B4">
        <w:tc>
          <w:tcPr>
            <w:tcW w:w="9840"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FF15B4" w:rsidRDefault="00FF15B4">
            <w:pPr>
              <w:spacing w:before="60" w:after="60" w:line="480" w:lineRule="auto"/>
              <w:jc w:val="center"/>
              <w:rPr>
                <w:rFonts w:asciiTheme="minorHAnsi" w:hAnsiTheme="minorHAnsi" w:cs="Arial"/>
              </w:rPr>
            </w:pPr>
            <w:r>
              <w:rPr>
                <w:rFonts w:asciiTheme="minorHAnsi" w:hAnsiTheme="minorHAnsi" w:cs="Trebuchet MS"/>
                <w:b/>
                <w:bCs/>
              </w:rPr>
              <w:t>Draft Schedule to Accomplish Goals</w:t>
            </w:r>
          </w:p>
        </w:tc>
      </w:tr>
      <w:tr w:rsidR="00FF15B4" w:rsidTr="00FF15B4">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September 11</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First Draft due to PRC – for early review and comments</w:t>
            </w:r>
          </w:p>
        </w:tc>
      </w:tr>
      <w:tr w:rsidR="00FF15B4" w:rsidTr="00FF15B4">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 xml:space="preserve">September 16 </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Comments from PRC to early document submitters</w:t>
            </w:r>
          </w:p>
        </w:tc>
      </w:tr>
      <w:tr w:rsidR="00FF15B4" w:rsidTr="00FF15B4">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highlight w:val="cyan"/>
              </w:rPr>
            </w:pPr>
            <w:r>
              <w:rPr>
                <w:rFonts w:asciiTheme="minorHAnsi" w:hAnsiTheme="minorHAnsi" w:cs="Arial"/>
                <w:sz w:val="22"/>
                <w:szCs w:val="22"/>
                <w:highlight w:val="cyan"/>
              </w:rPr>
              <w:t>September 21</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Annual Updates due to the Deans</w:t>
            </w:r>
          </w:p>
        </w:tc>
      </w:tr>
      <w:tr w:rsidR="00FF15B4" w:rsidTr="00FF15B4">
        <w:trPr>
          <w:cantSplit/>
        </w:trPr>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September 28</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Annual Updates and Comprehensive Updates due to PRC</w:t>
            </w:r>
          </w:p>
        </w:tc>
      </w:tr>
      <w:tr w:rsidR="00FF15B4" w:rsidTr="00FF15B4">
        <w:trPr>
          <w:cantSplit/>
        </w:trPr>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September 29</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highlight w:val="yellow"/>
              </w:rPr>
            </w:pPr>
            <w:r>
              <w:rPr>
                <w:rFonts w:asciiTheme="minorHAnsi" w:hAnsiTheme="minorHAnsi" w:cs="Arial"/>
                <w:sz w:val="22"/>
                <w:szCs w:val="22"/>
                <w:highlight w:val="yellow"/>
              </w:rPr>
              <w:t xml:space="preserve">PRC Reviews </w:t>
            </w:r>
          </w:p>
        </w:tc>
      </w:tr>
      <w:tr w:rsidR="00FF15B4" w:rsidTr="00FF15B4">
        <w:trPr>
          <w:cantSplit/>
        </w:trPr>
        <w:tc>
          <w:tcPr>
            <w:tcW w:w="168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October 26</w:t>
            </w: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hideMark/>
          </w:tcPr>
          <w:p w:rsidR="00FF15B4" w:rsidRDefault="00FF15B4">
            <w:pPr>
              <w:spacing w:before="60" w:after="60" w:line="480" w:lineRule="auto"/>
              <w:rPr>
                <w:rFonts w:asciiTheme="minorHAnsi" w:hAnsiTheme="minorHAnsi" w:cs="Arial"/>
                <w:sz w:val="22"/>
                <w:szCs w:val="22"/>
              </w:rPr>
            </w:pPr>
            <w:r>
              <w:rPr>
                <w:rFonts w:asciiTheme="minorHAnsi" w:hAnsiTheme="minorHAnsi" w:cs="Arial"/>
                <w:sz w:val="22"/>
                <w:szCs w:val="22"/>
              </w:rPr>
              <w:t xml:space="preserve">PRC Comments Due </w:t>
            </w:r>
          </w:p>
        </w:tc>
      </w:tr>
      <w:tr w:rsidR="00FF15B4" w:rsidTr="00FF15B4">
        <w:trPr>
          <w:cantSplit/>
        </w:trPr>
        <w:tc>
          <w:tcPr>
            <w:tcW w:w="168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r>
      <w:tr w:rsidR="00FF15B4" w:rsidTr="00FF15B4">
        <w:trPr>
          <w:cantSplit/>
        </w:trPr>
        <w:tc>
          <w:tcPr>
            <w:tcW w:w="168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330" w:type="dxa"/>
            <w:tcBorders>
              <w:top w:val="single" w:sz="4" w:space="0" w:color="auto"/>
              <w:left w:val="single" w:sz="4" w:space="0" w:color="auto"/>
              <w:bottom w:val="single" w:sz="4" w:space="0" w:color="auto"/>
              <w:right w:val="single" w:sz="4" w:space="0" w:color="auto"/>
            </w:tcBorders>
          </w:tcPr>
          <w:p w:rsidR="00FF15B4" w:rsidRDefault="00FF15B4">
            <w:pPr>
              <w:pStyle w:val="ListParagraph"/>
              <w:spacing w:before="60" w:after="60" w:line="480" w:lineRule="auto"/>
              <w:ind w:left="360"/>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highlight w:val="yellow"/>
              </w:rPr>
            </w:pPr>
          </w:p>
        </w:tc>
      </w:tr>
      <w:tr w:rsidR="00FF15B4" w:rsidTr="00FF15B4">
        <w:tc>
          <w:tcPr>
            <w:tcW w:w="168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3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c>
          <w:tcPr>
            <w:tcW w:w="7830" w:type="dxa"/>
            <w:tcBorders>
              <w:top w:val="single" w:sz="4" w:space="0" w:color="auto"/>
              <w:left w:val="single" w:sz="4" w:space="0" w:color="auto"/>
              <w:bottom w:val="single" w:sz="4" w:space="0" w:color="auto"/>
              <w:right w:val="single" w:sz="4" w:space="0" w:color="auto"/>
            </w:tcBorders>
          </w:tcPr>
          <w:p w:rsidR="00FF15B4" w:rsidRDefault="00FF15B4">
            <w:pPr>
              <w:spacing w:before="60" w:after="60" w:line="480" w:lineRule="auto"/>
              <w:rPr>
                <w:rFonts w:asciiTheme="minorHAnsi" w:hAnsiTheme="minorHAnsi" w:cs="Arial"/>
                <w:sz w:val="22"/>
                <w:szCs w:val="22"/>
              </w:rPr>
            </w:pPr>
          </w:p>
        </w:tc>
      </w:tr>
    </w:tbl>
    <w:p w:rsidR="00AD4C95" w:rsidRDefault="00FF15B4">
      <w:pPr>
        <w:rPr>
          <w:rFonts w:asciiTheme="minorHAnsi" w:hAnsiTheme="minorHAnsi" w:cs="Trebuchet MS"/>
          <w:b/>
          <w:color w:val="000000"/>
          <w:sz w:val="22"/>
          <w:szCs w:val="22"/>
        </w:rPr>
      </w:pPr>
      <w:r>
        <w:rPr>
          <w:rFonts w:asciiTheme="minorHAnsi" w:hAnsiTheme="minorHAnsi" w:cs="Trebuchet MS"/>
          <w:b/>
          <w:color w:val="000000"/>
          <w:sz w:val="22"/>
          <w:szCs w:val="22"/>
        </w:rPr>
        <w:t>Next Meeting:  Tuesday</w:t>
      </w:r>
      <w:r w:rsidR="001E105E">
        <w:rPr>
          <w:rFonts w:asciiTheme="minorHAnsi" w:hAnsiTheme="minorHAnsi" w:cs="Trebuchet MS"/>
          <w:b/>
          <w:color w:val="000000"/>
          <w:sz w:val="22"/>
          <w:szCs w:val="22"/>
        </w:rPr>
        <w:t>, September 22, 2015</w:t>
      </w:r>
    </w:p>
    <w:p w:rsidR="001E105E" w:rsidRDefault="001E105E">
      <w:r>
        <w:rPr>
          <w:rFonts w:asciiTheme="minorHAnsi" w:hAnsiTheme="minorHAnsi" w:cs="Trebuchet MS"/>
          <w:b/>
          <w:color w:val="000000"/>
          <w:sz w:val="22"/>
          <w:szCs w:val="22"/>
        </w:rPr>
        <w:t>Note taker: Kate Pluta</w:t>
      </w:r>
      <w:bookmarkStart w:id="0" w:name="_GoBack"/>
      <w:bookmarkEnd w:id="0"/>
    </w:p>
    <w:sectPr w:rsidR="001E1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F6AC2"/>
    <w:multiLevelType w:val="hybridMultilevel"/>
    <w:tmpl w:val="3E92DBD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517ED4D0">
      <w:numFmt w:val="bullet"/>
      <w:lvlText w:val=""/>
      <w:lvlJc w:val="left"/>
      <w:pPr>
        <w:ind w:left="2880" w:hanging="360"/>
      </w:pPr>
      <w:rPr>
        <w:rFonts w:ascii="Calibri" w:eastAsia="Calibri" w:hAnsi="Calibri" w:cs="Trebuchet M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B4"/>
    <w:rsid w:val="000C4264"/>
    <w:rsid w:val="001E105E"/>
    <w:rsid w:val="003C0114"/>
    <w:rsid w:val="00535D80"/>
    <w:rsid w:val="00640D45"/>
    <w:rsid w:val="00AD4C95"/>
    <w:rsid w:val="00C254BE"/>
    <w:rsid w:val="00FF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B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5B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5B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82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 User</dc:creator>
  <cp:lastModifiedBy>Image User</cp:lastModifiedBy>
  <cp:revision>2</cp:revision>
  <dcterms:created xsi:type="dcterms:W3CDTF">2015-09-21T15:35:00Z</dcterms:created>
  <dcterms:modified xsi:type="dcterms:W3CDTF">2015-09-21T15:35:00Z</dcterms:modified>
</cp:coreProperties>
</file>