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AC" w:rsidRPr="00A932FA" w:rsidRDefault="00A634AC" w:rsidP="00A634AC">
      <w:pPr>
        <w:spacing w:line="240" w:lineRule="auto"/>
        <w:rPr>
          <w:rFonts w:asciiTheme="majorHAnsi" w:hAnsiTheme="majorHAnsi"/>
          <w:i/>
        </w:rPr>
      </w:pPr>
      <w:bookmarkStart w:id="0" w:name="_GoBack"/>
      <w:bookmarkEnd w:id="0"/>
      <w:r w:rsidRPr="00A932FA">
        <w:rPr>
          <w:rFonts w:asciiTheme="majorHAnsi" w:hAnsiTheme="majorHAnsi"/>
          <w:b/>
          <w:color w:val="C00000"/>
        </w:rPr>
        <w:t xml:space="preserve">Goal #4   Oversight and Accountability: </w:t>
      </w:r>
      <w:r w:rsidRPr="00A932FA">
        <w:rPr>
          <w:rFonts w:asciiTheme="majorHAnsi" w:hAnsiTheme="majorHAnsi"/>
          <w:i/>
        </w:rPr>
        <w:t>A commitment to improve oversight, accountability, sustainability, and transparency in all college processes.</w:t>
      </w:r>
    </w:p>
    <w:p w:rsidR="009658F0" w:rsidRPr="009658F0" w:rsidRDefault="009658F0" w:rsidP="00A634AC">
      <w:pPr>
        <w:spacing w:line="240" w:lineRule="auto"/>
        <w:rPr>
          <w:rFonts w:asciiTheme="majorHAnsi" w:hAnsiTheme="majorHAnsi"/>
          <w:i/>
          <w:sz w:val="20"/>
          <w:szCs w:val="20"/>
        </w:rPr>
      </w:pPr>
    </w:p>
    <w:tbl>
      <w:tblPr>
        <w:tblStyle w:val="TableGrid"/>
        <w:tblW w:w="14868" w:type="dxa"/>
        <w:tblLook w:val="04A0" w:firstRow="1" w:lastRow="0" w:firstColumn="1" w:lastColumn="0" w:noHBand="0" w:noVBand="1"/>
      </w:tblPr>
      <w:tblGrid>
        <w:gridCol w:w="661"/>
        <w:gridCol w:w="3745"/>
        <w:gridCol w:w="4336"/>
        <w:gridCol w:w="3196"/>
        <w:gridCol w:w="2930"/>
      </w:tblGrid>
      <w:tr w:rsidR="00D04FB1" w:rsidRPr="009658F0" w:rsidTr="00D04FB1">
        <w:tc>
          <w:tcPr>
            <w:tcW w:w="441" w:type="dxa"/>
          </w:tcPr>
          <w:p w:rsidR="00A634AC" w:rsidRPr="009658F0" w:rsidRDefault="00A634AC" w:rsidP="00A634AC">
            <w:pPr>
              <w:spacing w:line="240" w:lineRule="auto"/>
              <w:jc w:val="center"/>
              <w:rPr>
                <w:rFonts w:asciiTheme="majorHAnsi" w:hAnsiTheme="majorHAnsi"/>
                <w:b/>
                <w:sz w:val="20"/>
                <w:szCs w:val="20"/>
              </w:rPr>
            </w:pPr>
          </w:p>
        </w:tc>
        <w:tc>
          <w:tcPr>
            <w:tcW w:w="3807" w:type="dxa"/>
            <w:vAlign w:val="center"/>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A634AC" w:rsidRPr="003D1DB3" w:rsidRDefault="00A634AC" w:rsidP="009658F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 xml:space="preserve">What documentation would you use </w:t>
            </w:r>
            <w:r w:rsidR="009658F0" w:rsidRPr="003D1DB3">
              <w:rPr>
                <w:rFonts w:asciiTheme="majorHAnsi" w:hAnsiTheme="majorHAnsi"/>
                <w:b/>
                <w:color w:val="C00000"/>
                <w:sz w:val="20"/>
                <w:szCs w:val="20"/>
              </w:rPr>
              <w:t xml:space="preserve">for </w:t>
            </w:r>
            <w:r w:rsidRPr="003D1DB3">
              <w:rPr>
                <w:rFonts w:asciiTheme="majorHAnsi" w:hAnsiTheme="majorHAnsi"/>
                <w:b/>
                <w:color w:val="C00000"/>
                <w:sz w:val="20"/>
                <w:szCs w:val="20"/>
              </w:rPr>
              <w:t>accreditation?</w:t>
            </w:r>
          </w:p>
        </w:tc>
        <w:tc>
          <w:tcPr>
            <w:tcW w:w="2970" w:type="dxa"/>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D04FB1" w:rsidRPr="009658F0" w:rsidTr="003E52AE">
        <w:tc>
          <w:tcPr>
            <w:tcW w:w="441" w:type="dxa"/>
          </w:tcPr>
          <w:p w:rsidR="00D04FB1" w:rsidRPr="009658F0" w:rsidRDefault="00D04FB1" w:rsidP="00A634AC">
            <w:pPr>
              <w:spacing w:line="240" w:lineRule="auto"/>
              <w:jc w:val="center"/>
              <w:rPr>
                <w:rFonts w:asciiTheme="majorHAnsi" w:hAnsiTheme="majorHAnsi"/>
                <w:b/>
                <w:sz w:val="20"/>
                <w:szCs w:val="20"/>
              </w:rPr>
            </w:pPr>
          </w:p>
        </w:tc>
        <w:tc>
          <w:tcPr>
            <w:tcW w:w="14427" w:type="dxa"/>
            <w:gridSpan w:val="4"/>
            <w:vAlign w:val="center"/>
          </w:tcPr>
          <w:p w:rsidR="00D04FB1" w:rsidRPr="009658F0" w:rsidRDefault="00D04FB1" w:rsidP="00A634AC">
            <w:pPr>
              <w:spacing w:line="240" w:lineRule="auto"/>
              <w:jc w:val="center"/>
              <w:rPr>
                <w:rFonts w:asciiTheme="majorHAnsi" w:hAnsiTheme="majorHAnsi"/>
                <w:b/>
                <w:sz w:val="20"/>
                <w:szCs w:val="20"/>
              </w:rPr>
            </w:pPr>
            <w:r>
              <w:rPr>
                <w:rFonts w:asciiTheme="majorHAnsi" w:hAnsiTheme="majorHAnsi"/>
                <w:b/>
                <w:sz w:val="20"/>
                <w:szCs w:val="20"/>
              </w:rPr>
              <w:t>STUDENT LEARNING AND ACHIEVEMENT</w:t>
            </w:r>
          </w:p>
        </w:tc>
      </w:tr>
      <w:tr w:rsidR="00D04FB1" w:rsidRPr="009658F0" w:rsidTr="00D04FB1">
        <w:tc>
          <w:tcPr>
            <w:tcW w:w="441" w:type="dxa"/>
          </w:tcPr>
          <w:p w:rsidR="009658F0" w:rsidRPr="009658F0" w:rsidRDefault="009658F0" w:rsidP="00A634AC">
            <w:pPr>
              <w:spacing w:line="240" w:lineRule="auto"/>
              <w:rPr>
                <w:rFonts w:asciiTheme="majorHAnsi" w:hAnsiTheme="majorHAnsi"/>
                <w:sz w:val="20"/>
                <w:szCs w:val="20"/>
              </w:rPr>
            </w:pPr>
            <w:r w:rsidRPr="009658F0">
              <w:rPr>
                <w:rFonts w:asciiTheme="majorHAnsi" w:hAnsiTheme="majorHAnsi"/>
                <w:sz w:val="20"/>
                <w:szCs w:val="20"/>
              </w:rPr>
              <w:t>1</w:t>
            </w:r>
          </w:p>
        </w:tc>
        <w:tc>
          <w:tcPr>
            <w:tcW w:w="3807" w:type="dxa"/>
          </w:tcPr>
          <w:p w:rsidR="009658F0" w:rsidRPr="009658F0" w:rsidRDefault="009658F0"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Monitor student learning and student achievement.</w:t>
            </w:r>
          </w:p>
        </w:tc>
        <w:tc>
          <w:tcPr>
            <w:tcW w:w="4410" w:type="dxa"/>
          </w:tcPr>
          <w:p w:rsidR="009658F0" w:rsidRPr="009658F0" w:rsidRDefault="007E79FB" w:rsidP="007E79FB">
            <w:pPr>
              <w:spacing w:line="240" w:lineRule="auto"/>
              <w:rPr>
                <w:rFonts w:asciiTheme="majorHAnsi" w:hAnsiTheme="majorHAnsi"/>
                <w:sz w:val="20"/>
                <w:szCs w:val="20"/>
              </w:rPr>
            </w:pPr>
            <w:r>
              <w:rPr>
                <w:rFonts w:asciiTheme="majorHAnsi" w:hAnsiTheme="majorHAnsi"/>
                <w:sz w:val="20"/>
                <w:szCs w:val="20"/>
              </w:rPr>
              <w:t>Positive impact of SLOs/PLOs/ILOs on student learning; Renegade Scorecard shows progress; ACCJC report is relatively easy to fill out.</w:t>
            </w:r>
          </w:p>
        </w:tc>
        <w:tc>
          <w:tcPr>
            <w:tcW w:w="3240" w:type="dxa"/>
          </w:tcPr>
          <w:p w:rsidR="009658F0" w:rsidRPr="009658F0" w:rsidRDefault="007E79FB" w:rsidP="00E548C0">
            <w:pPr>
              <w:spacing w:line="240" w:lineRule="auto"/>
              <w:rPr>
                <w:rFonts w:asciiTheme="majorHAnsi" w:hAnsiTheme="majorHAnsi"/>
                <w:sz w:val="20"/>
                <w:szCs w:val="20"/>
              </w:rPr>
            </w:pPr>
            <w:r>
              <w:rPr>
                <w:rFonts w:asciiTheme="majorHAnsi" w:hAnsiTheme="majorHAnsi"/>
                <w:sz w:val="20"/>
                <w:szCs w:val="20"/>
              </w:rPr>
              <w:t>Program Review process; Renegade Scorecard comparative data; ACCJC Annual Report (March)</w:t>
            </w:r>
          </w:p>
        </w:tc>
        <w:tc>
          <w:tcPr>
            <w:tcW w:w="2970" w:type="dxa"/>
          </w:tcPr>
          <w:p w:rsidR="009658F0" w:rsidRPr="009658F0" w:rsidRDefault="009658F0" w:rsidP="00E548C0">
            <w:pPr>
              <w:spacing w:line="240" w:lineRule="auto"/>
              <w:rPr>
                <w:rFonts w:asciiTheme="majorHAnsi" w:hAnsiTheme="majorHAnsi"/>
                <w:sz w:val="20"/>
                <w:szCs w:val="20"/>
              </w:rPr>
            </w:pPr>
            <w:r w:rsidRPr="009658F0">
              <w:rPr>
                <w:rFonts w:asciiTheme="majorHAnsi" w:hAnsiTheme="majorHAnsi"/>
                <w:sz w:val="20"/>
                <w:szCs w:val="20"/>
              </w:rPr>
              <w:t>Assessment Committee; Renegade Scorecard</w:t>
            </w:r>
          </w:p>
        </w:tc>
      </w:tr>
      <w:tr w:rsidR="00D04FB1" w:rsidRPr="009658F0" w:rsidTr="00C34C06">
        <w:tc>
          <w:tcPr>
            <w:tcW w:w="441" w:type="dxa"/>
          </w:tcPr>
          <w:p w:rsidR="00D04FB1" w:rsidRPr="009658F0" w:rsidRDefault="00D04FB1" w:rsidP="00A634AC">
            <w:pPr>
              <w:spacing w:line="240" w:lineRule="auto"/>
              <w:rPr>
                <w:rFonts w:asciiTheme="majorHAnsi" w:hAnsiTheme="majorHAnsi"/>
                <w:sz w:val="20"/>
                <w:szCs w:val="20"/>
              </w:rPr>
            </w:pPr>
          </w:p>
        </w:tc>
        <w:tc>
          <w:tcPr>
            <w:tcW w:w="14427" w:type="dxa"/>
            <w:gridSpan w:val="4"/>
          </w:tcPr>
          <w:p w:rsidR="00D04FB1" w:rsidRPr="009658F0" w:rsidRDefault="00D04FB1" w:rsidP="00D04FB1">
            <w:pPr>
              <w:spacing w:line="240" w:lineRule="auto"/>
              <w:jc w:val="center"/>
              <w:rPr>
                <w:rFonts w:asciiTheme="majorHAnsi" w:hAnsiTheme="majorHAnsi"/>
                <w:sz w:val="20"/>
                <w:szCs w:val="20"/>
              </w:rPr>
            </w:pPr>
            <w:r w:rsidRPr="007E79FB">
              <w:rPr>
                <w:rFonts w:asciiTheme="majorHAnsi" w:hAnsiTheme="majorHAnsi" w:cs="Microsoft Sans Serif"/>
                <w:b/>
                <w:sz w:val="20"/>
                <w:szCs w:val="20"/>
              </w:rPr>
              <w:t>OVERSEE BUDGET PROCESS AT ALL LEVELS</w:t>
            </w:r>
          </w:p>
        </w:tc>
      </w:tr>
      <w:tr w:rsidR="00D04FB1" w:rsidRPr="009658F0" w:rsidTr="00D04FB1">
        <w:tc>
          <w:tcPr>
            <w:tcW w:w="441" w:type="dxa"/>
          </w:tcPr>
          <w:p w:rsidR="009658F0" w:rsidRPr="009658F0" w:rsidRDefault="009658F0" w:rsidP="00A634AC">
            <w:pPr>
              <w:spacing w:line="240" w:lineRule="auto"/>
              <w:rPr>
                <w:rFonts w:asciiTheme="majorHAnsi" w:hAnsiTheme="majorHAnsi"/>
                <w:sz w:val="20"/>
                <w:szCs w:val="20"/>
              </w:rPr>
            </w:pPr>
            <w:r w:rsidRPr="009658F0">
              <w:rPr>
                <w:rFonts w:asciiTheme="majorHAnsi" w:hAnsiTheme="majorHAnsi"/>
                <w:sz w:val="20"/>
                <w:szCs w:val="20"/>
              </w:rPr>
              <w:t>2</w:t>
            </w:r>
          </w:p>
        </w:tc>
        <w:tc>
          <w:tcPr>
            <w:tcW w:w="3807" w:type="dxa"/>
          </w:tcPr>
          <w:p w:rsidR="009658F0" w:rsidRPr="009658F0" w:rsidRDefault="009658F0"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Oversee budget at institutional, functional (instruction, student affairs, administrative services), and departmental level.</w:t>
            </w:r>
          </w:p>
        </w:tc>
        <w:tc>
          <w:tcPr>
            <w:tcW w:w="4410" w:type="dxa"/>
          </w:tcPr>
          <w:p w:rsidR="009658F0" w:rsidRPr="009658F0" w:rsidRDefault="000B68ED" w:rsidP="00E548C0">
            <w:pPr>
              <w:spacing w:line="240" w:lineRule="auto"/>
              <w:rPr>
                <w:rFonts w:asciiTheme="majorHAnsi" w:hAnsiTheme="majorHAnsi"/>
                <w:sz w:val="20"/>
                <w:szCs w:val="20"/>
              </w:rPr>
            </w:pPr>
            <w:r w:rsidRPr="000B68ED">
              <w:rPr>
                <w:rFonts w:asciiTheme="majorHAnsi" w:hAnsiTheme="majorHAnsi"/>
                <w:sz w:val="20"/>
                <w:szCs w:val="20"/>
                <w:highlight w:val="yellow"/>
              </w:rPr>
              <w:t>This seems like a general overview kind of statement.</w:t>
            </w:r>
          </w:p>
        </w:tc>
        <w:tc>
          <w:tcPr>
            <w:tcW w:w="3240" w:type="dxa"/>
          </w:tcPr>
          <w:p w:rsidR="009658F0" w:rsidRPr="009658F0" w:rsidRDefault="009658F0" w:rsidP="00E548C0">
            <w:pPr>
              <w:spacing w:line="240" w:lineRule="auto"/>
              <w:rPr>
                <w:rFonts w:asciiTheme="majorHAnsi" w:hAnsiTheme="majorHAnsi"/>
                <w:sz w:val="20"/>
                <w:szCs w:val="20"/>
              </w:rPr>
            </w:pPr>
          </w:p>
        </w:tc>
        <w:tc>
          <w:tcPr>
            <w:tcW w:w="2970" w:type="dxa"/>
          </w:tcPr>
          <w:p w:rsidR="004F4D7F" w:rsidRDefault="004F4D7F" w:rsidP="004F4D7F">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9658F0" w:rsidRPr="004F4D7F" w:rsidRDefault="004F4D7F"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D04FB1" w:rsidRPr="009658F0" w:rsidTr="00D04FB1">
        <w:tc>
          <w:tcPr>
            <w:tcW w:w="441" w:type="dxa"/>
          </w:tcPr>
          <w:p w:rsidR="00D04FB1" w:rsidRPr="009658F0" w:rsidRDefault="00D04FB1" w:rsidP="00E548C0">
            <w:pPr>
              <w:spacing w:line="240" w:lineRule="auto"/>
              <w:rPr>
                <w:rFonts w:asciiTheme="majorHAnsi" w:hAnsiTheme="majorHAnsi"/>
                <w:sz w:val="20"/>
                <w:szCs w:val="20"/>
              </w:rPr>
            </w:pPr>
            <w:r>
              <w:rPr>
                <w:rFonts w:asciiTheme="majorHAnsi" w:hAnsiTheme="majorHAnsi"/>
                <w:sz w:val="20"/>
                <w:szCs w:val="20"/>
              </w:rPr>
              <w:t>3</w:t>
            </w:r>
          </w:p>
        </w:tc>
        <w:tc>
          <w:tcPr>
            <w:tcW w:w="3807"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Integrat</w:t>
            </w:r>
            <w:r>
              <w:rPr>
                <w:rFonts w:asciiTheme="majorHAnsi" w:hAnsiTheme="majorHAnsi" w:cs="Microsoft Sans Serif"/>
                <w:sz w:val="20"/>
                <w:szCs w:val="20"/>
              </w:rPr>
              <w:t>e</w:t>
            </w:r>
            <w:r w:rsidRPr="009658F0">
              <w:rPr>
                <w:rFonts w:asciiTheme="majorHAnsi" w:hAnsiTheme="majorHAnsi" w:cs="Microsoft Sans Serif"/>
                <w:sz w:val="20"/>
                <w:szCs w:val="20"/>
              </w:rPr>
              <w:t xml:space="preserve"> the budget committee into the financial planning process.</w:t>
            </w:r>
          </w:p>
        </w:tc>
        <w:tc>
          <w:tcPr>
            <w:tcW w:w="4410"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Default="00D04FB1"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r w:rsidRPr="009658F0">
              <w:rPr>
                <w:rFonts w:asciiTheme="majorHAnsi" w:hAnsiTheme="majorHAnsi" w:cs="Microsoft Sans Serif"/>
                <w:sz w:val="20"/>
                <w:szCs w:val="20"/>
              </w:rPr>
              <w:t xml:space="preserve">VP of Finance and Administrative Services; </w:t>
            </w:r>
          </w:p>
          <w:p w:rsidR="00D04FB1" w:rsidRPr="009658F0" w:rsidRDefault="00D04FB1" w:rsidP="003D1DB3">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5936D4" w:rsidRPr="009658F0" w:rsidTr="00D04FB1">
        <w:tc>
          <w:tcPr>
            <w:tcW w:w="441" w:type="dxa"/>
          </w:tcPr>
          <w:p w:rsidR="00D04FB1" w:rsidRPr="009658F0" w:rsidRDefault="00D04FB1" w:rsidP="00E548C0">
            <w:pPr>
              <w:spacing w:line="240" w:lineRule="auto"/>
              <w:rPr>
                <w:rFonts w:asciiTheme="majorHAnsi" w:hAnsiTheme="majorHAnsi"/>
                <w:sz w:val="20"/>
                <w:szCs w:val="20"/>
              </w:rPr>
            </w:pPr>
            <w:r>
              <w:rPr>
                <w:rFonts w:asciiTheme="majorHAnsi" w:hAnsiTheme="majorHAnsi"/>
                <w:sz w:val="20"/>
                <w:szCs w:val="20"/>
              </w:rPr>
              <w:t>4</w:t>
            </w:r>
          </w:p>
        </w:tc>
        <w:tc>
          <w:tcPr>
            <w:tcW w:w="3807" w:type="dxa"/>
          </w:tcPr>
          <w:p w:rsidR="00D04FB1" w:rsidRPr="009658F0"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Review, discuss, and forward t</w:t>
            </w:r>
            <w:r w:rsidRPr="009658F0">
              <w:rPr>
                <w:rFonts w:asciiTheme="majorHAnsi" w:hAnsiTheme="majorHAnsi" w:cs="Microsoft Sans Serif"/>
                <w:sz w:val="20"/>
                <w:szCs w:val="20"/>
              </w:rPr>
              <w:t xml:space="preserve">entative college budget </w:t>
            </w:r>
            <w:r>
              <w:rPr>
                <w:rFonts w:asciiTheme="majorHAnsi" w:hAnsiTheme="majorHAnsi" w:cs="Microsoft Sans Serif"/>
                <w:sz w:val="20"/>
                <w:szCs w:val="20"/>
              </w:rPr>
              <w:t>to College President.</w:t>
            </w:r>
          </w:p>
          <w:p w:rsidR="00D04FB1" w:rsidRPr="009658F0" w:rsidRDefault="00D04FB1" w:rsidP="007E79FB">
            <w:pPr>
              <w:spacing w:line="240" w:lineRule="auto"/>
              <w:rPr>
                <w:rFonts w:asciiTheme="majorHAnsi" w:hAnsiTheme="majorHAnsi" w:cs="Microsoft Sans Serif"/>
                <w:sz w:val="20"/>
                <w:szCs w:val="20"/>
              </w:rPr>
            </w:pPr>
          </w:p>
        </w:tc>
        <w:tc>
          <w:tcPr>
            <w:tcW w:w="4410"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Pr="009658F0" w:rsidRDefault="00D04FB1" w:rsidP="00E548C0">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E548C0">
            <w:pPr>
              <w:spacing w:line="240" w:lineRule="auto"/>
              <w:rPr>
                <w:rFonts w:asciiTheme="majorHAnsi" w:hAnsiTheme="majorHAnsi" w:cs="Microsoft Sans Serif"/>
                <w:sz w:val="20"/>
                <w:szCs w:val="20"/>
              </w:rPr>
            </w:pPr>
          </w:p>
        </w:tc>
      </w:tr>
      <w:tr w:rsidR="005936D4"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5</w:t>
            </w:r>
          </w:p>
        </w:tc>
        <w:tc>
          <w:tcPr>
            <w:tcW w:w="3807" w:type="dxa"/>
          </w:tcPr>
          <w:p w:rsidR="00D04FB1" w:rsidRPr="009658F0" w:rsidRDefault="00D04FB1"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Hold c</w:t>
            </w:r>
            <w:r w:rsidRPr="009658F0">
              <w:rPr>
                <w:rFonts w:asciiTheme="majorHAnsi" w:hAnsiTheme="majorHAnsi" w:cs="Microsoft Sans Serif"/>
                <w:sz w:val="20"/>
                <w:szCs w:val="20"/>
              </w:rPr>
              <w:t>ampus wide presentation on tentative budget (with details).</w:t>
            </w:r>
          </w:p>
        </w:tc>
        <w:tc>
          <w:tcPr>
            <w:tcW w:w="4410" w:type="dxa"/>
          </w:tcPr>
          <w:p w:rsidR="00D04FB1" w:rsidRPr="009658F0"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6</w:t>
            </w:r>
          </w:p>
        </w:tc>
        <w:tc>
          <w:tcPr>
            <w:tcW w:w="3807" w:type="dxa"/>
          </w:tcPr>
          <w:p w:rsidR="00D04FB1" w:rsidRDefault="00D04FB1"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Increase transparency in budget decisions by using control numbers in budget requests that follow a request through the program review to tentative budget to final budget, so we can drill down to particular requests to see the link between a program review budget request in the fall and the final adopted budget in the following summer/fall</w:t>
            </w:r>
            <w:r>
              <w:rPr>
                <w:rFonts w:asciiTheme="majorHAnsi" w:hAnsiTheme="majorHAnsi" w:cs="Microsoft Sans Serif"/>
                <w:sz w:val="20"/>
                <w:szCs w:val="20"/>
              </w:rPr>
              <w:t>.</w:t>
            </w:r>
          </w:p>
          <w:p w:rsidR="00D04FB1" w:rsidRDefault="00D04FB1" w:rsidP="00894720">
            <w:pPr>
              <w:spacing w:line="240" w:lineRule="auto"/>
              <w:rPr>
                <w:rFonts w:asciiTheme="majorHAnsi" w:hAnsiTheme="majorHAnsi" w:cs="Microsoft Sans Serif"/>
                <w:sz w:val="20"/>
                <w:szCs w:val="20"/>
              </w:rPr>
            </w:pPr>
          </w:p>
          <w:p w:rsidR="00D04FB1" w:rsidRPr="009658F0" w:rsidRDefault="00D04FB1" w:rsidP="00894720">
            <w:pPr>
              <w:spacing w:line="240" w:lineRule="auto"/>
              <w:rPr>
                <w:rFonts w:asciiTheme="majorHAnsi" w:hAnsiTheme="majorHAnsi"/>
                <w:sz w:val="20"/>
                <w:szCs w:val="20"/>
              </w:rPr>
            </w:pPr>
            <w:r>
              <w:rPr>
                <w:rFonts w:asciiTheme="majorHAnsi" w:hAnsiTheme="majorHAnsi" w:cs="Microsoft Sans Serif"/>
                <w:sz w:val="20"/>
                <w:szCs w:val="20"/>
              </w:rPr>
              <w:t>ALSO CLOSING THE LOOP</w:t>
            </w:r>
          </w:p>
        </w:tc>
        <w:tc>
          <w:tcPr>
            <w:tcW w:w="4410" w:type="dxa"/>
          </w:tcPr>
          <w:p w:rsidR="00D04FB1" w:rsidRPr="009658F0" w:rsidRDefault="00D04FB1" w:rsidP="009658F0">
            <w:pPr>
              <w:spacing w:line="240" w:lineRule="auto"/>
              <w:rPr>
                <w:rFonts w:asciiTheme="majorHAnsi" w:hAnsiTheme="majorHAnsi"/>
                <w:sz w:val="20"/>
                <w:szCs w:val="20"/>
              </w:rPr>
            </w:pPr>
            <w:r w:rsidRPr="009658F0">
              <w:rPr>
                <w:rFonts w:asciiTheme="majorHAnsi" w:hAnsiTheme="majorHAnsi" w:cs="Microsoft Sans Serif"/>
                <w:sz w:val="20"/>
                <w:szCs w:val="20"/>
              </w:rPr>
              <w:t>We'll verify that the improvements have been made in transparency from the Budget Committee minutes.   * We'll evaluate the effectiveness by campus-level climate surveys that ask about transparency and trust of our decision makers. Also, do a short discussion (10 min or less) about the budget processes with College Council every year as an annual checkup to make sure we're on the right track.    If we see mention of kudos for our budget decision makers in other committees minutes, we'll know we've hit a home run.</w:t>
            </w:r>
          </w:p>
        </w:tc>
        <w:tc>
          <w:tcPr>
            <w:tcW w:w="3240" w:type="dxa"/>
          </w:tcPr>
          <w:p w:rsidR="00D04FB1" w:rsidRDefault="00D04FB1"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minutes.</w:t>
            </w:r>
          </w:p>
          <w:p w:rsidR="00D04FB1"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d</w:t>
            </w:r>
            <w:r w:rsidRPr="009658F0">
              <w:rPr>
                <w:rFonts w:asciiTheme="majorHAnsi" w:hAnsiTheme="majorHAnsi" w:cs="Microsoft Sans Serif"/>
                <w:sz w:val="20"/>
                <w:szCs w:val="20"/>
              </w:rPr>
              <w:t xml:space="preserve"> climate/trust surveys. </w:t>
            </w:r>
          </w:p>
          <w:p w:rsidR="00D04FB1" w:rsidRPr="009658F0" w:rsidRDefault="00D04FB1"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A634AC">
            <w:pPr>
              <w:tabs>
                <w:tab w:val="left" w:pos="2928"/>
              </w:tabs>
              <w:spacing w:line="240" w:lineRule="auto"/>
              <w:rPr>
                <w:rFonts w:asciiTheme="majorHAnsi" w:hAnsiTheme="majorHAnsi"/>
                <w:sz w:val="20"/>
                <w:szCs w:val="20"/>
              </w:rPr>
            </w:pPr>
          </w:p>
        </w:tc>
        <w:tc>
          <w:tcPr>
            <w:tcW w:w="2970" w:type="dxa"/>
          </w:tcPr>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A634AC">
            <w:pPr>
              <w:spacing w:line="240" w:lineRule="auto"/>
              <w:jc w:val="both"/>
              <w:rPr>
                <w:rFonts w:asciiTheme="majorHAnsi" w:hAnsiTheme="majorHAnsi"/>
                <w:b/>
                <w:sz w:val="20"/>
                <w:szCs w:val="20"/>
              </w:rPr>
            </w:pP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7</w:t>
            </w:r>
          </w:p>
        </w:tc>
        <w:tc>
          <w:tcPr>
            <w:tcW w:w="3807" w:type="dxa"/>
          </w:tcPr>
          <w:p w:rsidR="00D04FB1" w:rsidRPr="009658F0" w:rsidRDefault="00D04FB1"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Increase transparency in budget decisions by increasing granularity of budget figures looked at by the Budget Committee. </w:t>
            </w:r>
          </w:p>
        </w:tc>
        <w:tc>
          <w:tcPr>
            <w:tcW w:w="4410" w:type="dxa"/>
          </w:tcPr>
          <w:p w:rsidR="00D04FB1" w:rsidRPr="009658F0"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The President still makes the budget decisions of course but at least another set of eyes from the classified staff and faculty are able look over the budget figures and verify to their constituent groups that budget decisions do in fact follow from program review and also check for possible oversights.   </w:t>
            </w:r>
          </w:p>
        </w:tc>
        <w:tc>
          <w:tcPr>
            <w:tcW w:w="3240" w:type="dxa"/>
          </w:tcPr>
          <w:p w:rsidR="00D04FB1" w:rsidRDefault="00D04FB1" w:rsidP="009658F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minutes.</w:t>
            </w:r>
          </w:p>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D04FB1" w:rsidRPr="009658F0" w:rsidRDefault="00D04FB1" w:rsidP="009658F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A634AC">
            <w:pPr>
              <w:spacing w:line="240" w:lineRule="auto"/>
              <w:rPr>
                <w:rFonts w:asciiTheme="majorHAnsi" w:hAnsiTheme="majorHAnsi" w:cs="Microsoft Sans Serif"/>
                <w:sz w:val="20"/>
                <w:szCs w:val="20"/>
              </w:rPr>
            </w:pPr>
          </w:p>
        </w:tc>
        <w:tc>
          <w:tcPr>
            <w:tcW w:w="2970" w:type="dxa"/>
          </w:tcPr>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8</w:t>
            </w:r>
          </w:p>
        </w:tc>
        <w:tc>
          <w:tcPr>
            <w:tcW w:w="3807" w:type="dxa"/>
          </w:tcPr>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Work on the process of creating a </w:t>
            </w:r>
            <w:r w:rsidRPr="009658F0">
              <w:rPr>
                <w:rFonts w:asciiTheme="majorHAnsi" w:hAnsiTheme="majorHAnsi" w:cs="Microsoft Sans Serif"/>
                <w:sz w:val="20"/>
                <w:szCs w:val="20"/>
              </w:rPr>
              <w:lastRenderedPageBreak/>
              <w:t xml:space="preserve">tentative budget in sufficient time for review by the campus BEFORE it goes to the Board of Trustees. </w:t>
            </w:r>
          </w:p>
        </w:tc>
        <w:tc>
          <w:tcPr>
            <w:tcW w:w="4410" w:type="dxa"/>
          </w:tcPr>
          <w:p w:rsidR="00D04FB1" w:rsidRPr="009658F0"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lastRenderedPageBreak/>
              <w:t xml:space="preserve">We HAVE to give all college employees the </w:t>
            </w:r>
            <w:r w:rsidRPr="009658F0">
              <w:rPr>
                <w:rFonts w:asciiTheme="majorHAnsi" w:hAnsiTheme="majorHAnsi" w:cs="Microsoft Sans Serif"/>
                <w:sz w:val="20"/>
                <w:szCs w:val="20"/>
              </w:rPr>
              <w:lastRenderedPageBreak/>
              <w:t>opportunity to review the budget figures before they are set in stone. That way they can't say they didn't know and are much less likely to complain about decisions made. Hoarding information will NOT build or maintain trust. Always give more information than is requested and give information BEFORE it is asked for.</w:t>
            </w:r>
          </w:p>
        </w:tc>
        <w:tc>
          <w:tcPr>
            <w:tcW w:w="3240" w:type="dxa"/>
          </w:tcPr>
          <w:p w:rsidR="00D04FB1"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lastRenderedPageBreak/>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w:t>
            </w:r>
            <w:r>
              <w:rPr>
                <w:rFonts w:asciiTheme="majorHAnsi" w:hAnsiTheme="majorHAnsi" w:cs="Microsoft Sans Serif"/>
                <w:sz w:val="20"/>
                <w:szCs w:val="20"/>
              </w:rPr>
              <w:lastRenderedPageBreak/>
              <w:t>minutes.</w:t>
            </w:r>
          </w:p>
          <w:p w:rsidR="00D04FB1"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D04FB1" w:rsidRPr="009658F0"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E548C0">
            <w:pPr>
              <w:spacing w:line="240" w:lineRule="auto"/>
              <w:rPr>
                <w:rFonts w:asciiTheme="majorHAnsi" w:hAnsiTheme="majorHAnsi" w:cs="Microsoft Sans Serif"/>
                <w:sz w:val="20"/>
                <w:szCs w:val="20"/>
              </w:rPr>
            </w:pPr>
          </w:p>
        </w:tc>
        <w:tc>
          <w:tcPr>
            <w:tcW w:w="2970" w:type="dxa"/>
          </w:tcPr>
          <w:p w:rsidR="00D04FB1"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lastRenderedPageBreak/>
              <w:t xml:space="preserve">VP of Finance and </w:t>
            </w:r>
            <w:r w:rsidRPr="009658F0">
              <w:rPr>
                <w:rFonts w:asciiTheme="majorHAnsi" w:hAnsiTheme="majorHAnsi" w:cs="Microsoft Sans Serif"/>
                <w:sz w:val="20"/>
                <w:szCs w:val="20"/>
              </w:rPr>
              <w:lastRenderedPageBreak/>
              <w:t xml:space="preserve">Administrative Services; </w:t>
            </w:r>
          </w:p>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E548C0">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0B68ED" w:rsidRPr="009658F0" w:rsidTr="00360DCD">
        <w:tc>
          <w:tcPr>
            <w:tcW w:w="441" w:type="dxa"/>
          </w:tcPr>
          <w:p w:rsidR="000B68ED" w:rsidRDefault="000B68ED" w:rsidP="00A634AC">
            <w:pPr>
              <w:spacing w:line="240" w:lineRule="auto"/>
              <w:rPr>
                <w:rFonts w:asciiTheme="majorHAnsi" w:hAnsiTheme="majorHAnsi"/>
                <w:sz w:val="20"/>
                <w:szCs w:val="20"/>
              </w:rPr>
            </w:pPr>
          </w:p>
        </w:tc>
        <w:tc>
          <w:tcPr>
            <w:tcW w:w="3807"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documentation would you use for accreditation?</w:t>
            </w:r>
          </w:p>
        </w:tc>
        <w:tc>
          <w:tcPr>
            <w:tcW w:w="2970" w:type="dxa"/>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0B68ED" w:rsidRPr="009658F0" w:rsidTr="009C6089">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Pr>
                <w:rFonts w:asciiTheme="majorHAnsi" w:hAnsiTheme="majorHAnsi" w:cs="Microsoft Sans Serif"/>
                <w:b/>
                <w:sz w:val="20"/>
                <w:szCs w:val="20"/>
              </w:rPr>
              <w:t xml:space="preserve">PROGRAM REVIEW AND </w:t>
            </w:r>
            <w:r w:rsidRPr="007E79FB">
              <w:rPr>
                <w:rFonts w:asciiTheme="majorHAnsi" w:hAnsiTheme="majorHAnsi" w:cs="Microsoft Sans Serif"/>
                <w:b/>
                <w:sz w:val="20"/>
                <w:szCs w:val="20"/>
              </w:rPr>
              <w:t>CLOS</w:t>
            </w:r>
            <w:r>
              <w:rPr>
                <w:rFonts w:asciiTheme="majorHAnsi" w:hAnsiTheme="majorHAnsi" w:cs="Microsoft Sans Serif"/>
                <w:b/>
                <w:sz w:val="20"/>
                <w:szCs w:val="20"/>
              </w:rPr>
              <w:t>ING</w:t>
            </w:r>
            <w:r w:rsidRPr="007E79FB">
              <w:rPr>
                <w:rFonts w:asciiTheme="majorHAnsi" w:hAnsiTheme="majorHAnsi" w:cs="Microsoft Sans Serif"/>
                <w:b/>
                <w:sz w:val="20"/>
                <w:szCs w:val="20"/>
              </w:rPr>
              <w:t xml:space="preserve"> THE LOOP</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9</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Plan for effective resource allocation: continue to improve rigor and focus of the Closing the Loop document.</w:t>
            </w:r>
          </w:p>
        </w:tc>
        <w:tc>
          <w:tcPr>
            <w:tcW w:w="4410" w:type="dxa"/>
          </w:tcPr>
          <w:p w:rsidR="000B68ED" w:rsidRPr="009658F0" w:rsidRDefault="000B68ED" w:rsidP="00E548C0">
            <w:pPr>
              <w:spacing w:line="240" w:lineRule="auto"/>
              <w:rPr>
                <w:rFonts w:asciiTheme="majorHAnsi" w:hAnsiTheme="majorHAnsi"/>
                <w:sz w:val="20"/>
                <w:szCs w:val="20"/>
              </w:rPr>
            </w:pPr>
          </w:p>
        </w:tc>
        <w:tc>
          <w:tcPr>
            <w:tcW w:w="3240" w:type="dxa"/>
          </w:tcPr>
          <w:p w:rsidR="000B68ED" w:rsidRPr="009658F0" w:rsidRDefault="000B68ED" w:rsidP="00E548C0">
            <w:pPr>
              <w:spacing w:line="240" w:lineRule="auto"/>
              <w:rPr>
                <w:rFonts w:asciiTheme="majorHAnsi" w:hAnsiTheme="majorHAnsi"/>
                <w:sz w:val="20"/>
                <w:szCs w:val="20"/>
              </w:rPr>
            </w:pPr>
          </w:p>
        </w:tc>
        <w:tc>
          <w:tcPr>
            <w:tcW w:w="2970" w:type="dxa"/>
          </w:tcPr>
          <w:p w:rsidR="000B68ED" w:rsidRDefault="000B68ED" w:rsidP="00E548C0">
            <w:pPr>
              <w:spacing w:line="240" w:lineRule="auto"/>
              <w:rPr>
                <w:rFonts w:asciiTheme="majorHAnsi" w:hAnsiTheme="majorHAnsi"/>
                <w:sz w:val="20"/>
                <w:szCs w:val="20"/>
              </w:rPr>
            </w:pPr>
            <w:r w:rsidRPr="009658F0">
              <w:rPr>
                <w:rFonts w:asciiTheme="majorHAnsi" w:hAnsiTheme="majorHAnsi"/>
                <w:sz w:val="20"/>
                <w:szCs w:val="20"/>
              </w:rPr>
              <w:t xml:space="preserve">President’s Cabinet; </w:t>
            </w:r>
          </w:p>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College Council</w:t>
            </w: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10</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Use current Program Review forms and procedures to plan for effective resource allocation.</w:t>
            </w:r>
          </w:p>
          <w:p w:rsidR="000B68ED" w:rsidRPr="009658F0" w:rsidRDefault="000B68ED" w:rsidP="00A634AC">
            <w:pPr>
              <w:spacing w:line="240" w:lineRule="auto"/>
              <w:rPr>
                <w:rFonts w:asciiTheme="majorHAnsi" w:hAnsiTheme="majorHAnsi" w:cs="Microsoft Sans Serif"/>
                <w:sz w:val="20"/>
                <w:szCs w:val="20"/>
              </w:rPr>
            </w:pPr>
          </w:p>
        </w:tc>
        <w:tc>
          <w:tcPr>
            <w:tcW w:w="4410"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allocations to each unit/department will directly correlate to budget requests made and supported with a needs analysis through the program review process.</w:t>
            </w:r>
          </w:p>
        </w:tc>
        <w:tc>
          <w:tcPr>
            <w:tcW w:w="3240" w:type="dxa"/>
          </w:tcPr>
          <w:p w:rsidR="000B68ED" w:rsidRPr="009658F0" w:rsidRDefault="000B68ED"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The "Closing the Loop" document, which should contain direct reference to specific allocation requests, documenting those that received funding and those that did not, according to logical explainable priorities.</w:t>
            </w:r>
          </w:p>
        </w:tc>
        <w:tc>
          <w:tcPr>
            <w:tcW w:w="2970" w:type="dxa"/>
          </w:tcPr>
          <w:p w:rsidR="000B68ED" w:rsidRPr="009658F0" w:rsidRDefault="000B68ED"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11</w:t>
            </w:r>
          </w:p>
        </w:tc>
        <w:tc>
          <w:tcPr>
            <w:tcW w:w="3807"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Include grants in </w:t>
            </w:r>
            <w:r w:rsidRPr="009658F0">
              <w:rPr>
                <w:rFonts w:asciiTheme="majorHAnsi" w:hAnsiTheme="majorHAnsi" w:cs="Microsoft Sans Serif"/>
                <w:sz w:val="20"/>
                <w:szCs w:val="20"/>
              </w:rPr>
              <w:t xml:space="preserve">Program </w:t>
            </w:r>
            <w:r>
              <w:rPr>
                <w:rFonts w:asciiTheme="majorHAnsi" w:hAnsiTheme="majorHAnsi" w:cs="Microsoft Sans Serif"/>
                <w:sz w:val="20"/>
                <w:szCs w:val="20"/>
              </w:rPr>
              <w:t>R</w:t>
            </w:r>
            <w:r w:rsidRPr="009658F0">
              <w:rPr>
                <w:rFonts w:asciiTheme="majorHAnsi" w:hAnsiTheme="majorHAnsi" w:cs="Microsoft Sans Serif"/>
                <w:sz w:val="20"/>
                <w:szCs w:val="20"/>
              </w:rPr>
              <w:t xml:space="preserve">eview </w:t>
            </w:r>
            <w:r>
              <w:rPr>
                <w:rFonts w:asciiTheme="majorHAnsi" w:hAnsiTheme="majorHAnsi" w:cs="Microsoft Sans Serif"/>
                <w:sz w:val="20"/>
                <w:szCs w:val="20"/>
              </w:rPr>
              <w:t xml:space="preserve">process </w:t>
            </w:r>
          </w:p>
        </w:tc>
        <w:tc>
          <w:tcPr>
            <w:tcW w:w="4410" w:type="dxa"/>
          </w:tcPr>
          <w:p w:rsidR="000B68ED" w:rsidRPr="009658F0" w:rsidRDefault="000B68ED"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Questions on Program Review forms </w:t>
            </w:r>
          </w:p>
        </w:tc>
        <w:tc>
          <w:tcPr>
            <w:tcW w:w="324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Included in Closing the Loop document.</w:t>
            </w:r>
          </w:p>
        </w:tc>
        <w:tc>
          <w:tcPr>
            <w:tcW w:w="297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Program R</w:t>
            </w:r>
            <w:r w:rsidRPr="009658F0">
              <w:rPr>
                <w:rFonts w:asciiTheme="majorHAnsi" w:hAnsiTheme="majorHAnsi" w:cs="Microsoft Sans Serif"/>
                <w:sz w:val="20"/>
                <w:szCs w:val="20"/>
              </w:rPr>
              <w:t>eview</w:t>
            </w:r>
            <w:r>
              <w:rPr>
                <w:rFonts w:asciiTheme="majorHAnsi" w:hAnsiTheme="majorHAnsi" w:cs="Microsoft Sans Serif"/>
                <w:sz w:val="20"/>
                <w:szCs w:val="20"/>
              </w:rPr>
              <w:t xml:space="preserve"> Committee (PRC)</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12</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Include the gainful employment process in program review.</w:t>
            </w:r>
          </w:p>
        </w:tc>
        <w:tc>
          <w:tcPr>
            <w:tcW w:w="4410" w:type="dxa"/>
          </w:tcPr>
          <w:p w:rsidR="000B68ED" w:rsidRDefault="000B68ED" w:rsidP="004F4D7F">
            <w:pPr>
              <w:spacing w:line="240" w:lineRule="auto"/>
              <w:rPr>
                <w:rFonts w:asciiTheme="majorHAnsi" w:hAnsiTheme="majorHAnsi" w:cs="Microsoft Sans Serif"/>
                <w:sz w:val="20"/>
                <w:szCs w:val="20"/>
              </w:rPr>
            </w:pPr>
            <w:r w:rsidRPr="000B68ED">
              <w:rPr>
                <w:rFonts w:asciiTheme="majorHAnsi" w:hAnsiTheme="majorHAnsi" w:cs="Microsoft Sans Serif"/>
                <w:sz w:val="20"/>
                <w:szCs w:val="20"/>
                <w:highlight w:val="yellow"/>
              </w:rPr>
              <w:t>No clue why unless as separate entity that needs to conduct program review.  It is not listed on the current org chart.</w:t>
            </w:r>
          </w:p>
        </w:tc>
        <w:tc>
          <w:tcPr>
            <w:tcW w:w="3240" w:type="dxa"/>
          </w:tcPr>
          <w:p w:rsidR="000B68ED" w:rsidRDefault="000B68ED" w:rsidP="00E548C0">
            <w:pPr>
              <w:spacing w:line="240" w:lineRule="auto"/>
              <w:rPr>
                <w:rFonts w:asciiTheme="majorHAnsi" w:hAnsiTheme="majorHAnsi" w:cs="Microsoft Sans Serif"/>
                <w:sz w:val="20"/>
                <w:szCs w:val="20"/>
              </w:rPr>
            </w:pPr>
          </w:p>
        </w:tc>
        <w:tc>
          <w:tcPr>
            <w:tcW w:w="2970" w:type="dxa"/>
          </w:tcPr>
          <w:p w:rsidR="000B68ED"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PRC</w:t>
            </w: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13</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Distribute a budget newsletter periodically to let employees know where the college stands financially.</w:t>
            </w:r>
          </w:p>
          <w:p w:rsidR="000B68ED" w:rsidRPr="009658F0" w:rsidRDefault="000B68ED" w:rsidP="00A634AC">
            <w:pPr>
              <w:spacing w:line="240" w:lineRule="auto"/>
              <w:rPr>
                <w:rFonts w:asciiTheme="majorHAnsi" w:hAnsiTheme="majorHAnsi" w:cs="Microsoft Sans Serif"/>
                <w:sz w:val="20"/>
                <w:szCs w:val="20"/>
              </w:rPr>
            </w:pP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hort survey asking employees whether they read it and if they found it helpful.</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urvey results</w:t>
            </w:r>
          </w:p>
          <w:p w:rsidR="000B68ED" w:rsidRPr="009658F0" w:rsidRDefault="000B68ED" w:rsidP="00A634AC">
            <w:pPr>
              <w:spacing w:line="240" w:lineRule="auto"/>
              <w:rPr>
                <w:rFonts w:asciiTheme="majorHAnsi" w:hAnsiTheme="majorHAnsi" w:cs="Microsoft Sans Serif"/>
                <w:sz w:val="20"/>
                <w:szCs w:val="20"/>
              </w:rPr>
            </w:pPr>
          </w:p>
        </w:tc>
        <w:tc>
          <w:tcPr>
            <w:tcW w:w="2970" w:type="dxa"/>
          </w:tcPr>
          <w:p w:rsidR="000B68ED" w:rsidRPr="009658F0" w:rsidRDefault="000B68ED"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E32E7A">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sidRPr="00FA12FA">
              <w:rPr>
                <w:rFonts w:asciiTheme="majorHAnsi" w:hAnsiTheme="majorHAnsi" w:cs="Microsoft Sans Serif"/>
                <w:b/>
                <w:sz w:val="20"/>
                <w:szCs w:val="20"/>
              </w:rPr>
              <w:t>ORGANIZATION AND GOVERNANCE</w:t>
            </w:r>
          </w:p>
        </w:tc>
      </w:tr>
      <w:tr w:rsidR="000B68ED" w:rsidRPr="009658F0" w:rsidTr="00D04FB1">
        <w:tc>
          <w:tcPr>
            <w:tcW w:w="441" w:type="dxa"/>
          </w:tcPr>
          <w:p w:rsidR="000B68ED" w:rsidRPr="009658F0" w:rsidRDefault="000B68ED" w:rsidP="00B0719E">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4</w:t>
            </w:r>
          </w:p>
        </w:tc>
        <w:tc>
          <w:tcPr>
            <w:tcW w:w="3807" w:type="dxa"/>
          </w:tcPr>
          <w:p w:rsidR="000B68ED" w:rsidRPr="009658F0" w:rsidRDefault="000B68ED" w:rsidP="00D04FB1">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Measure end user satisfaction with college and district services.  </w:t>
            </w: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Conduct s</w:t>
            </w:r>
            <w:r w:rsidRPr="009658F0">
              <w:rPr>
                <w:rFonts w:asciiTheme="majorHAnsi" w:hAnsiTheme="majorHAnsi" w:cs="Microsoft Sans Serif"/>
                <w:sz w:val="20"/>
                <w:szCs w:val="20"/>
              </w:rPr>
              <w:t>atisfaction surveys from end users on campus surveys</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Survey results</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Accreditation &amp; Institutional Quality Committee (AIQ)</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5</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board policy adoption process.</w:t>
            </w:r>
          </w:p>
        </w:tc>
        <w:tc>
          <w:tcPr>
            <w:tcW w:w="441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Regular reports to College Council and Academic Senate.</w:t>
            </w:r>
          </w:p>
        </w:tc>
        <w:tc>
          <w:tcPr>
            <w:tcW w:w="324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Regular reports to College Council and Academic Senate.</w:t>
            </w:r>
          </w:p>
        </w:tc>
        <w:tc>
          <w:tcPr>
            <w:tcW w:w="2970" w:type="dxa"/>
          </w:tcPr>
          <w:p w:rsidR="000B68ED"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Academic Senate; </w:t>
            </w:r>
          </w:p>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6</w:t>
            </w:r>
          </w:p>
        </w:tc>
        <w:tc>
          <w:tcPr>
            <w:tcW w:w="3807"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Increase</w:t>
            </w:r>
            <w:r w:rsidRPr="009658F0">
              <w:rPr>
                <w:rFonts w:asciiTheme="majorHAnsi" w:hAnsiTheme="majorHAnsi" w:cs="Microsoft Sans Serif"/>
                <w:sz w:val="20"/>
                <w:szCs w:val="20"/>
              </w:rPr>
              <w:t xml:space="preserve"> institutional research staff to provide timely data.</w:t>
            </w: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BC has full-time researcher</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Organizational chart with researcher position</w:t>
            </w:r>
          </w:p>
        </w:tc>
        <w:tc>
          <w:tcPr>
            <w:tcW w:w="2970" w:type="dxa"/>
          </w:tcPr>
          <w:p w:rsidR="000B68ED"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5936D4"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17</w:t>
            </w:r>
          </w:p>
        </w:tc>
        <w:tc>
          <w:tcPr>
            <w:tcW w:w="3807" w:type="dxa"/>
          </w:tcPr>
          <w:p w:rsidR="000B68ED" w:rsidRPr="009658F0" w:rsidRDefault="000B68ED"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Ensure p</w:t>
            </w:r>
            <w:r w:rsidRPr="009658F0">
              <w:rPr>
                <w:rFonts w:asciiTheme="majorHAnsi" w:hAnsiTheme="majorHAnsi" w:cs="Microsoft Sans Serif"/>
                <w:sz w:val="20"/>
                <w:szCs w:val="20"/>
              </w:rPr>
              <w:t>ersonnel infrastructure</w:t>
            </w:r>
            <w:r>
              <w:rPr>
                <w:rFonts w:asciiTheme="majorHAnsi" w:hAnsiTheme="majorHAnsi" w:cs="Microsoft Sans Serif"/>
                <w:sz w:val="20"/>
                <w:szCs w:val="20"/>
              </w:rPr>
              <w:t xml:space="preserve"> </w:t>
            </w:r>
            <w:r w:rsidRPr="009658F0">
              <w:rPr>
                <w:rFonts w:asciiTheme="majorHAnsi" w:hAnsiTheme="majorHAnsi" w:cs="Microsoft Sans Serif"/>
                <w:sz w:val="20"/>
                <w:szCs w:val="20"/>
              </w:rPr>
              <w:t>support</w:t>
            </w:r>
            <w:r>
              <w:rPr>
                <w:rFonts w:asciiTheme="majorHAnsi" w:hAnsiTheme="majorHAnsi" w:cs="Microsoft Sans Serif"/>
                <w:sz w:val="20"/>
                <w:szCs w:val="20"/>
              </w:rPr>
              <w:t>s</w:t>
            </w:r>
            <w:r w:rsidRPr="009658F0">
              <w:rPr>
                <w:rFonts w:asciiTheme="majorHAnsi" w:hAnsiTheme="majorHAnsi" w:cs="Microsoft Sans Serif"/>
                <w:sz w:val="20"/>
                <w:szCs w:val="20"/>
              </w:rPr>
              <w:t xml:space="preserve"> creation and reporting of accountability info, data, etc….</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BC has a researcher and a Dean of Institutional Effectiveness.</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Organizational chart which reflects new positions.</w:t>
            </w:r>
          </w:p>
        </w:tc>
        <w:tc>
          <w:tcPr>
            <w:tcW w:w="2970" w:type="dxa"/>
          </w:tcPr>
          <w:p w:rsidR="000B68ED"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5936D4"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18</w:t>
            </w:r>
          </w:p>
        </w:tc>
        <w:tc>
          <w:tcPr>
            <w:tcW w:w="3807" w:type="dxa"/>
          </w:tcPr>
          <w:p w:rsidR="000B68ED" w:rsidRPr="009658F0" w:rsidRDefault="000B68ED"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Budget Allocation Model (BAM).</w:t>
            </w:r>
          </w:p>
        </w:tc>
        <w:tc>
          <w:tcPr>
            <w:tcW w:w="4410" w:type="dxa"/>
          </w:tcPr>
          <w:p w:rsidR="000B68ED" w:rsidRPr="009658F0" w:rsidRDefault="005936D4" w:rsidP="005936D4">
            <w:pPr>
              <w:spacing w:line="240" w:lineRule="auto"/>
              <w:rPr>
                <w:rFonts w:asciiTheme="majorHAnsi" w:hAnsiTheme="majorHAnsi" w:cs="Microsoft Sans Serif"/>
                <w:sz w:val="20"/>
                <w:szCs w:val="20"/>
              </w:rPr>
            </w:pPr>
            <w:r>
              <w:rPr>
                <w:rFonts w:asciiTheme="majorHAnsi" w:hAnsiTheme="majorHAnsi" w:cs="Microsoft Sans Serif"/>
                <w:sz w:val="20"/>
                <w:szCs w:val="20"/>
              </w:rPr>
              <w:t>The District Office organizes a review of BAM.</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review.</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0B68ED" w:rsidRPr="009658F0" w:rsidTr="00D04FB1">
        <w:tc>
          <w:tcPr>
            <w:tcW w:w="441" w:type="dxa"/>
          </w:tcPr>
          <w:p w:rsidR="000B68ED" w:rsidRPr="009658F0" w:rsidRDefault="000B68ED" w:rsidP="00B0719E">
            <w:pPr>
              <w:spacing w:line="240" w:lineRule="auto"/>
              <w:rPr>
                <w:rFonts w:asciiTheme="majorHAnsi" w:hAnsiTheme="majorHAnsi"/>
                <w:sz w:val="20"/>
                <w:szCs w:val="20"/>
              </w:rPr>
            </w:pPr>
            <w:r>
              <w:rPr>
                <w:rFonts w:asciiTheme="majorHAnsi" w:hAnsiTheme="majorHAnsi"/>
                <w:sz w:val="20"/>
                <w:szCs w:val="20"/>
              </w:rPr>
              <w:t>19</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external service cost allocations.</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The review continues to exist. </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documentation on committee site.</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lastRenderedPageBreak/>
              <w:t>20</w:t>
            </w:r>
            <w:r w:rsidRPr="009658F0">
              <w:rPr>
                <w:rFonts w:asciiTheme="majorHAnsi" w:hAnsiTheme="majorHAnsi"/>
                <w:sz w:val="20"/>
                <w:szCs w:val="20"/>
              </w:rPr>
              <w:t xml:space="preserve"> </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Expand organizational chart to granular level as a drill down.</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organizational chart is more detailed.</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on College Council page.</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3F7DFE">
        <w:tc>
          <w:tcPr>
            <w:tcW w:w="441" w:type="dxa"/>
          </w:tcPr>
          <w:p w:rsidR="000B68ED" w:rsidRDefault="000B68ED" w:rsidP="000B68ED">
            <w:pPr>
              <w:spacing w:line="240" w:lineRule="auto"/>
              <w:rPr>
                <w:rFonts w:asciiTheme="majorHAnsi" w:hAnsiTheme="majorHAnsi"/>
                <w:sz w:val="20"/>
                <w:szCs w:val="20"/>
              </w:rPr>
            </w:pPr>
          </w:p>
        </w:tc>
        <w:tc>
          <w:tcPr>
            <w:tcW w:w="3807"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documentation would you use for accreditation?</w:t>
            </w:r>
          </w:p>
        </w:tc>
        <w:tc>
          <w:tcPr>
            <w:tcW w:w="2970" w:type="dxa"/>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21</w:t>
            </w:r>
          </w:p>
        </w:tc>
        <w:tc>
          <w:tcPr>
            <w:tcW w:w="3807" w:type="dxa"/>
          </w:tcPr>
          <w:p w:rsidR="000B68ED" w:rsidRPr="009658F0" w:rsidRDefault="000B68ED"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Communicate synthesis from committee a</w:t>
            </w:r>
            <w:r w:rsidRPr="009658F0">
              <w:rPr>
                <w:rFonts w:asciiTheme="majorHAnsi" w:hAnsiTheme="majorHAnsi" w:cs="Microsoft Sans Serif"/>
                <w:sz w:val="20"/>
                <w:szCs w:val="20"/>
              </w:rPr>
              <w:t xml:space="preserve">nnual end-of-year reports </w:t>
            </w:r>
            <w:r>
              <w:rPr>
                <w:rFonts w:asciiTheme="majorHAnsi" w:hAnsiTheme="majorHAnsi" w:cs="Microsoft Sans Serif"/>
                <w:sz w:val="20"/>
                <w:szCs w:val="20"/>
              </w:rPr>
              <w:t xml:space="preserve">by posting reports and synthesis in </w:t>
            </w:r>
            <w:r w:rsidRPr="009658F0">
              <w:rPr>
                <w:rFonts w:asciiTheme="majorHAnsi" w:hAnsiTheme="majorHAnsi" w:cs="Microsoft Sans Serif"/>
                <w:sz w:val="20"/>
                <w:szCs w:val="20"/>
              </w:rPr>
              <w:t>central location</w:t>
            </w:r>
            <w:r>
              <w:rPr>
                <w:rFonts w:asciiTheme="majorHAnsi" w:hAnsiTheme="majorHAnsi" w:cs="Microsoft Sans Serif"/>
                <w:sz w:val="20"/>
                <w:szCs w:val="20"/>
              </w:rPr>
              <w:t xml:space="preserve"> and </w:t>
            </w:r>
            <w:r w:rsidRPr="009658F0">
              <w:rPr>
                <w:rFonts w:asciiTheme="majorHAnsi" w:hAnsiTheme="majorHAnsi" w:cs="Microsoft Sans Serif"/>
                <w:sz w:val="20"/>
                <w:szCs w:val="20"/>
              </w:rPr>
              <w:t>email</w:t>
            </w:r>
            <w:r>
              <w:rPr>
                <w:rFonts w:asciiTheme="majorHAnsi" w:hAnsiTheme="majorHAnsi" w:cs="Microsoft Sans Serif"/>
                <w:sz w:val="20"/>
                <w:szCs w:val="20"/>
              </w:rPr>
              <w:t>ing synthesis to college community</w:t>
            </w:r>
            <w:r w:rsidRPr="009658F0">
              <w:rPr>
                <w:rFonts w:asciiTheme="majorHAnsi" w:hAnsiTheme="majorHAnsi" w:cs="Microsoft Sans Serif"/>
                <w:sz w:val="20"/>
                <w:szCs w:val="20"/>
              </w:rPr>
              <w:t>.</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synthesis created, posted, and emailed.</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synthesis is posted on all committee pages.</w:t>
            </w:r>
          </w:p>
        </w:tc>
        <w:tc>
          <w:tcPr>
            <w:tcW w:w="2970" w:type="dxa"/>
          </w:tcPr>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22</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Ensure internal deadlines are met: Program Review, Course Curriculum Reviews, Outcomes Assessment, Service on Committees.</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Internal deadlines are clearly publicized and met.  Committees and other entities need to confirm that deadlines have been met.</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Published documentation for clear deadlines.  </w:t>
            </w:r>
          </w:p>
        </w:tc>
        <w:tc>
          <w:tcPr>
            <w:tcW w:w="297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AIQ</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23</w:t>
            </w:r>
          </w:p>
        </w:tc>
        <w:tc>
          <w:tcPr>
            <w:tcW w:w="3807" w:type="dxa"/>
          </w:tcPr>
          <w:p w:rsidR="000B68ED" w:rsidRPr="009658F0" w:rsidRDefault="000B68ED"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Ensure </w:t>
            </w:r>
            <w:r w:rsidRPr="009658F0">
              <w:rPr>
                <w:rFonts w:asciiTheme="majorHAnsi" w:hAnsiTheme="majorHAnsi" w:cs="Microsoft Sans Serif"/>
                <w:sz w:val="20"/>
                <w:szCs w:val="20"/>
              </w:rPr>
              <w:t>consistency in Banner scheduling abbreviations.</w:t>
            </w:r>
          </w:p>
        </w:tc>
        <w:tc>
          <w:tcPr>
            <w:tcW w:w="4410" w:type="dxa"/>
          </w:tcPr>
          <w:p w:rsidR="000B68ED" w:rsidRPr="009658F0" w:rsidRDefault="000B68ED" w:rsidP="00A634AC">
            <w:pPr>
              <w:spacing w:line="240" w:lineRule="auto"/>
              <w:rPr>
                <w:rFonts w:asciiTheme="majorHAnsi" w:hAnsiTheme="majorHAnsi" w:cs="Microsoft Sans Serif"/>
                <w:sz w:val="20"/>
                <w:szCs w:val="20"/>
              </w:rPr>
            </w:pPr>
          </w:p>
        </w:tc>
        <w:tc>
          <w:tcPr>
            <w:tcW w:w="3240" w:type="dxa"/>
          </w:tcPr>
          <w:p w:rsidR="000B68ED" w:rsidRPr="009658F0" w:rsidRDefault="000B68ED" w:rsidP="00A634AC">
            <w:pPr>
              <w:spacing w:line="240" w:lineRule="auto"/>
              <w:rPr>
                <w:rFonts w:asciiTheme="majorHAnsi" w:hAnsiTheme="majorHAnsi" w:cs="Microsoft Sans Serif"/>
                <w:sz w:val="20"/>
                <w:szCs w:val="20"/>
              </w:rPr>
            </w:pPr>
          </w:p>
        </w:tc>
        <w:tc>
          <w:tcPr>
            <w:tcW w:w="2970" w:type="dxa"/>
          </w:tcPr>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093334">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sidRPr="004F4D7F">
              <w:rPr>
                <w:rFonts w:asciiTheme="majorHAnsi" w:hAnsiTheme="majorHAnsi" w:cs="Microsoft Sans Serif"/>
                <w:b/>
                <w:sz w:val="20"/>
                <w:szCs w:val="20"/>
              </w:rPr>
              <w:t>OTHER</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p>
        </w:tc>
        <w:tc>
          <w:tcPr>
            <w:tcW w:w="3807" w:type="dxa"/>
          </w:tcPr>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Develop and implement prerequisites for general education courses.</w:t>
            </w:r>
          </w:p>
        </w:tc>
        <w:tc>
          <w:tcPr>
            <w:tcW w:w="4410" w:type="dxa"/>
          </w:tcPr>
          <w:p w:rsidR="000B68ED" w:rsidRPr="009658F0" w:rsidRDefault="005936D4" w:rsidP="00E548C0">
            <w:pPr>
              <w:spacing w:line="240" w:lineRule="auto"/>
              <w:rPr>
                <w:rFonts w:asciiTheme="majorHAnsi" w:hAnsiTheme="majorHAnsi"/>
                <w:sz w:val="20"/>
                <w:szCs w:val="20"/>
              </w:rPr>
            </w:pPr>
            <w:r>
              <w:rPr>
                <w:rFonts w:asciiTheme="majorHAnsi" w:hAnsiTheme="majorHAnsi"/>
                <w:sz w:val="20"/>
                <w:szCs w:val="20"/>
              </w:rPr>
              <w:t>Belongs in another category.</w:t>
            </w:r>
          </w:p>
        </w:tc>
        <w:tc>
          <w:tcPr>
            <w:tcW w:w="3240" w:type="dxa"/>
          </w:tcPr>
          <w:p w:rsidR="000B68ED" w:rsidRPr="009658F0" w:rsidRDefault="000B68ED" w:rsidP="00E548C0">
            <w:pPr>
              <w:spacing w:line="240" w:lineRule="auto"/>
              <w:rPr>
                <w:rFonts w:asciiTheme="majorHAnsi" w:hAnsiTheme="majorHAnsi"/>
                <w:sz w:val="20"/>
                <w:szCs w:val="20"/>
              </w:rPr>
            </w:pPr>
          </w:p>
        </w:tc>
        <w:tc>
          <w:tcPr>
            <w:tcW w:w="2970" w:type="dxa"/>
          </w:tcPr>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Curriculum</w:t>
            </w:r>
          </w:p>
        </w:tc>
      </w:tr>
      <w:tr w:rsidR="005936D4" w:rsidRPr="009658F0" w:rsidTr="00D04FB1">
        <w:tc>
          <w:tcPr>
            <w:tcW w:w="441" w:type="dxa"/>
          </w:tcPr>
          <w:p w:rsidR="000B68ED" w:rsidRPr="009658F0" w:rsidRDefault="005936D4" w:rsidP="00A634AC">
            <w:pPr>
              <w:spacing w:line="240" w:lineRule="auto"/>
              <w:rPr>
                <w:rFonts w:asciiTheme="majorHAnsi" w:hAnsiTheme="majorHAnsi"/>
                <w:sz w:val="20"/>
                <w:szCs w:val="20"/>
              </w:rPr>
            </w:pPr>
            <w:r>
              <w:rPr>
                <w:rFonts w:asciiTheme="majorHAnsi" w:hAnsiTheme="majorHAnsi"/>
                <w:sz w:val="20"/>
                <w:szCs w:val="20"/>
              </w:rPr>
              <w:t>Not sure if legal.</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Assign FLEX time to committees commensurate with the time/work involved.  If a faculty member is on more than one committee then allow that to count a given number of hours toward flex time.  This could either be in numbers assigned per committee or assigned according to time spent doing committee work as observed by the co-chairs.</w:t>
            </w:r>
          </w:p>
        </w:tc>
        <w:tc>
          <w:tcPr>
            <w:tcW w:w="441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If there is a substantial increase in committee involvement and work as indicated by the numbers of</w:t>
            </w:r>
          </w:p>
          <w:p w:rsidR="000B68ED" w:rsidRPr="009658F0" w:rsidRDefault="000B68ED" w:rsidP="00E548C0">
            <w:pPr>
              <w:spacing w:line="240" w:lineRule="auto"/>
              <w:rPr>
                <w:rFonts w:asciiTheme="majorHAnsi" w:hAnsiTheme="majorHAnsi" w:cs="Microsoft Sans Serif"/>
                <w:sz w:val="20"/>
                <w:szCs w:val="20"/>
              </w:rPr>
            </w:pPr>
          </w:p>
        </w:tc>
        <w:tc>
          <w:tcPr>
            <w:tcW w:w="324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Attendance at meetings.  Work assigned and completed by members as evidence of time on committee task.</w:t>
            </w:r>
          </w:p>
          <w:p w:rsidR="000B68ED" w:rsidRPr="009658F0" w:rsidRDefault="000B68ED" w:rsidP="00E548C0">
            <w:pPr>
              <w:spacing w:line="240" w:lineRule="auto"/>
              <w:rPr>
                <w:rFonts w:asciiTheme="majorHAnsi" w:hAnsiTheme="majorHAnsi" w:cs="Microsoft Sans Serif"/>
                <w:sz w:val="20"/>
                <w:szCs w:val="20"/>
              </w:rPr>
            </w:pPr>
          </w:p>
        </w:tc>
        <w:tc>
          <w:tcPr>
            <w:tcW w:w="297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Professional Development Committee (PDC)</w:t>
            </w:r>
          </w:p>
          <w:p w:rsidR="000B68ED" w:rsidRPr="009658F0" w:rsidRDefault="000B68ED" w:rsidP="00E548C0">
            <w:pPr>
              <w:spacing w:line="240" w:lineRule="auto"/>
              <w:rPr>
                <w:rFonts w:asciiTheme="majorHAnsi" w:hAnsiTheme="majorHAnsi" w:cs="Microsoft Sans Serif"/>
                <w:sz w:val="20"/>
                <w:szCs w:val="20"/>
              </w:rPr>
            </w:pPr>
          </w:p>
        </w:tc>
      </w:tr>
    </w:tbl>
    <w:p w:rsidR="00CB11BB" w:rsidRDefault="00CB11BB" w:rsidP="00A634AC">
      <w:pPr>
        <w:spacing w:line="240" w:lineRule="auto"/>
        <w:rPr>
          <w:rFonts w:asciiTheme="majorHAnsi" w:hAnsiTheme="majorHAnsi"/>
          <w:sz w:val="20"/>
          <w:szCs w:val="20"/>
        </w:rPr>
      </w:pPr>
    </w:p>
    <w:p w:rsidR="00B0719E" w:rsidRDefault="00B0719E" w:rsidP="00A634AC">
      <w:pPr>
        <w:spacing w:line="240" w:lineRule="auto"/>
        <w:rPr>
          <w:rFonts w:asciiTheme="majorHAnsi" w:hAnsiTheme="majorHAnsi"/>
          <w:sz w:val="20"/>
          <w:szCs w:val="20"/>
        </w:rPr>
      </w:pPr>
    </w:p>
    <w:p w:rsidR="00B0719E" w:rsidRPr="009658F0" w:rsidRDefault="00B0719E" w:rsidP="00A634AC">
      <w:pPr>
        <w:spacing w:line="240" w:lineRule="auto"/>
        <w:rPr>
          <w:rFonts w:asciiTheme="majorHAnsi" w:hAnsiTheme="majorHAnsi"/>
          <w:sz w:val="20"/>
          <w:szCs w:val="20"/>
        </w:rPr>
      </w:pPr>
      <w:r>
        <w:rPr>
          <w:rFonts w:asciiTheme="majorHAnsi" w:hAnsiTheme="majorHAnsi"/>
          <w:sz w:val="20"/>
          <w:szCs w:val="20"/>
        </w:rPr>
        <w:t>April 16, 2015</w:t>
      </w:r>
    </w:p>
    <w:sectPr w:rsidR="00B0719E" w:rsidRPr="009658F0" w:rsidSect="007C028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CD" w:rsidRDefault="00F548CD" w:rsidP="00B0719E">
      <w:pPr>
        <w:spacing w:line="240" w:lineRule="auto"/>
      </w:pPr>
      <w:r>
        <w:separator/>
      </w:r>
    </w:p>
  </w:endnote>
  <w:endnote w:type="continuationSeparator" w:id="0">
    <w:p w:rsidR="00F548CD" w:rsidRDefault="00F548CD" w:rsidP="00B07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01085"/>
      <w:docPartObj>
        <w:docPartGallery w:val="Page Numbers (Bottom of Page)"/>
        <w:docPartUnique/>
      </w:docPartObj>
    </w:sdtPr>
    <w:sdtEndPr>
      <w:rPr>
        <w:noProof/>
      </w:rPr>
    </w:sdtEndPr>
    <w:sdtContent>
      <w:p w:rsidR="00B0719E" w:rsidRDefault="00B0719E">
        <w:pPr>
          <w:pStyle w:val="Footer"/>
          <w:jc w:val="right"/>
        </w:pPr>
        <w:r>
          <w:fldChar w:fldCharType="begin"/>
        </w:r>
        <w:r>
          <w:instrText xml:space="preserve"> PAGE   \* MERGEFORMAT </w:instrText>
        </w:r>
        <w:r>
          <w:fldChar w:fldCharType="separate"/>
        </w:r>
        <w:r w:rsidR="00126AA7">
          <w:rPr>
            <w:noProof/>
          </w:rPr>
          <w:t>1</w:t>
        </w:r>
        <w:r>
          <w:rPr>
            <w:noProof/>
          </w:rPr>
          <w:fldChar w:fldCharType="end"/>
        </w:r>
      </w:p>
    </w:sdtContent>
  </w:sdt>
  <w:p w:rsidR="00B0719E" w:rsidRDefault="00B0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CD" w:rsidRDefault="00F548CD" w:rsidP="00B0719E">
      <w:pPr>
        <w:spacing w:line="240" w:lineRule="auto"/>
      </w:pPr>
      <w:r>
        <w:separator/>
      </w:r>
    </w:p>
  </w:footnote>
  <w:footnote w:type="continuationSeparator" w:id="0">
    <w:p w:rsidR="00F548CD" w:rsidRDefault="00F548CD" w:rsidP="00B071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AC"/>
    <w:rsid w:val="000B68ED"/>
    <w:rsid w:val="00126AA7"/>
    <w:rsid w:val="003D1DB3"/>
    <w:rsid w:val="004F4D7F"/>
    <w:rsid w:val="00573424"/>
    <w:rsid w:val="005936D4"/>
    <w:rsid w:val="005F0A99"/>
    <w:rsid w:val="007E79FB"/>
    <w:rsid w:val="00894720"/>
    <w:rsid w:val="009658F0"/>
    <w:rsid w:val="00A634AC"/>
    <w:rsid w:val="00A932FA"/>
    <w:rsid w:val="00B0719E"/>
    <w:rsid w:val="00CB11BB"/>
    <w:rsid w:val="00D04FB1"/>
    <w:rsid w:val="00F548CD"/>
    <w:rsid w:val="00FA12FA"/>
    <w:rsid w:val="00F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213">
      <w:bodyDiv w:val="1"/>
      <w:marLeft w:val="0"/>
      <w:marRight w:val="0"/>
      <w:marTop w:val="0"/>
      <w:marBottom w:val="0"/>
      <w:divBdr>
        <w:top w:val="none" w:sz="0" w:space="0" w:color="auto"/>
        <w:left w:val="none" w:sz="0" w:space="0" w:color="auto"/>
        <w:bottom w:val="none" w:sz="0" w:space="0" w:color="auto"/>
        <w:right w:val="none" w:sz="0" w:space="0" w:color="auto"/>
      </w:divBdr>
    </w:div>
    <w:div w:id="220294372">
      <w:bodyDiv w:val="1"/>
      <w:marLeft w:val="0"/>
      <w:marRight w:val="0"/>
      <w:marTop w:val="0"/>
      <w:marBottom w:val="0"/>
      <w:divBdr>
        <w:top w:val="none" w:sz="0" w:space="0" w:color="auto"/>
        <w:left w:val="none" w:sz="0" w:space="0" w:color="auto"/>
        <w:bottom w:val="none" w:sz="0" w:space="0" w:color="auto"/>
        <w:right w:val="none" w:sz="0" w:space="0" w:color="auto"/>
      </w:divBdr>
    </w:div>
    <w:div w:id="479619947">
      <w:bodyDiv w:val="1"/>
      <w:marLeft w:val="0"/>
      <w:marRight w:val="0"/>
      <w:marTop w:val="0"/>
      <w:marBottom w:val="0"/>
      <w:divBdr>
        <w:top w:val="none" w:sz="0" w:space="0" w:color="auto"/>
        <w:left w:val="none" w:sz="0" w:space="0" w:color="auto"/>
        <w:bottom w:val="none" w:sz="0" w:space="0" w:color="auto"/>
        <w:right w:val="none" w:sz="0" w:space="0" w:color="auto"/>
      </w:divBdr>
    </w:div>
    <w:div w:id="537357541">
      <w:bodyDiv w:val="1"/>
      <w:marLeft w:val="0"/>
      <w:marRight w:val="0"/>
      <w:marTop w:val="0"/>
      <w:marBottom w:val="0"/>
      <w:divBdr>
        <w:top w:val="none" w:sz="0" w:space="0" w:color="auto"/>
        <w:left w:val="none" w:sz="0" w:space="0" w:color="auto"/>
        <w:bottom w:val="none" w:sz="0" w:space="0" w:color="auto"/>
        <w:right w:val="none" w:sz="0" w:space="0" w:color="auto"/>
      </w:divBdr>
    </w:div>
    <w:div w:id="602689494">
      <w:bodyDiv w:val="1"/>
      <w:marLeft w:val="0"/>
      <w:marRight w:val="0"/>
      <w:marTop w:val="0"/>
      <w:marBottom w:val="0"/>
      <w:divBdr>
        <w:top w:val="none" w:sz="0" w:space="0" w:color="auto"/>
        <w:left w:val="none" w:sz="0" w:space="0" w:color="auto"/>
        <w:bottom w:val="none" w:sz="0" w:space="0" w:color="auto"/>
        <w:right w:val="none" w:sz="0" w:space="0" w:color="auto"/>
      </w:divBdr>
    </w:div>
    <w:div w:id="690030992">
      <w:bodyDiv w:val="1"/>
      <w:marLeft w:val="0"/>
      <w:marRight w:val="0"/>
      <w:marTop w:val="0"/>
      <w:marBottom w:val="0"/>
      <w:divBdr>
        <w:top w:val="none" w:sz="0" w:space="0" w:color="auto"/>
        <w:left w:val="none" w:sz="0" w:space="0" w:color="auto"/>
        <w:bottom w:val="none" w:sz="0" w:space="0" w:color="auto"/>
        <w:right w:val="none" w:sz="0" w:space="0" w:color="auto"/>
      </w:divBdr>
    </w:div>
    <w:div w:id="1070689240">
      <w:bodyDiv w:val="1"/>
      <w:marLeft w:val="0"/>
      <w:marRight w:val="0"/>
      <w:marTop w:val="0"/>
      <w:marBottom w:val="0"/>
      <w:divBdr>
        <w:top w:val="none" w:sz="0" w:space="0" w:color="auto"/>
        <w:left w:val="none" w:sz="0" w:space="0" w:color="auto"/>
        <w:bottom w:val="none" w:sz="0" w:space="0" w:color="auto"/>
        <w:right w:val="none" w:sz="0" w:space="0" w:color="auto"/>
      </w:divBdr>
    </w:div>
    <w:div w:id="1104418734">
      <w:bodyDiv w:val="1"/>
      <w:marLeft w:val="0"/>
      <w:marRight w:val="0"/>
      <w:marTop w:val="0"/>
      <w:marBottom w:val="0"/>
      <w:divBdr>
        <w:top w:val="none" w:sz="0" w:space="0" w:color="auto"/>
        <w:left w:val="none" w:sz="0" w:space="0" w:color="auto"/>
        <w:bottom w:val="none" w:sz="0" w:space="0" w:color="auto"/>
        <w:right w:val="none" w:sz="0" w:space="0" w:color="auto"/>
      </w:divBdr>
    </w:div>
    <w:div w:id="1197157716">
      <w:bodyDiv w:val="1"/>
      <w:marLeft w:val="0"/>
      <w:marRight w:val="0"/>
      <w:marTop w:val="0"/>
      <w:marBottom w:val="0"/>
      <w:divBdr>
        <w:top w:val="none" w:sz="0" w:space="0" w:color="auto"/>
        <w:left w:val="none" w:sz="0" w:space="0" w:color="auto"/>
        <w:bottom w:val="none" w:sz="0" w:space="0" w:color="auto"/>
        <w:right w:val="none" w:sz="0" w:space="0" w:color="auto"/>
      </w:divBdr>
    </w:div>
    <w:div w:id="1288121285">
      <w:bodyDiv w:val="1"/>
      <w:marLeft w:val="0"/>
      <w:marRight w:val="0"/>
      <w:marTop w:val="0"/>
      <w:marBottom w:val="0"/>
      <w:divBdr>
        <w:top w:val="none" w:sz="0" w:space="0" w:color="auto"/>
        <w:left w:val="none" w:sz="0" w:space="0" w:color="auto"/>
        <w:bottom w:val="none" w:sz="0" w:space="0" w:color="auto"/>
        <w:right w:val="none" w:sz="0" w:space="0" w:color="auto"/>
      </w:divBdr>
    </w:div>
    <w:div w:id="1346050730">
      <w:bodyDiv w:val="1"/>
      <w:marLeft w:val="0"/>
      <w:marRight w:val="0"/>
      <w:marTop w:val="0"/>
      <w:marBottom w:val="0"/>
      <w:divBdr>
        <w:top w:val="none" w:sz="0" w:space="0" w:color="auto"/>
        <w:left w:val="none" w:sz="0" w:space="0" w:color="auto"/>
        <w:bottom w:val="none" w:sz="0" w:space="0" w:color="auto"/>
        <w:right w:val="none" w:sz="0" w:space="0" w:color="auto"/>
      </w:divBdr>
    </w:div>
    <w:div w:id="1440829414">
      <w:bodyDiv w:val="1"/>
      <w:marLeft w:val="0"/>
      <w:marRight w:val="0"/>
      <w:marTop w:val="0"/>
      <w:marBottom w:val="0"/>
      <w:divBdr>
        <w:top w:val="none" w:sz="0" w:space="0" w:color="auto"/>
        <w:left w:val="none" w:sz="0" w:space="0" w:color="auto"/>
        <w:bottom w:val="none" w:sz="0" w:space="0" w:color="auto"/>
        <w:right w:val="none" w:sz="0" w:space="0" w:color="auto"/>
      </w:divBdr>
    </w:div>
    <w:div w:id="1492868854">
      <w:bodyDiv w:val="1"/>
      <w:marLeft w:val="0"/>
      <w:marRight w:val="0"/>
      <w:marTop w:val="0"/>
      <w:marBottom w:val="0"/>
      <w:divBdr>
        <w:top w:val="none" w:sz="0" w:space="0" w:color="auto"/>
        <w:left w:val="none" w:sz="0" w:space="0" w:color="auto"/>
        <w:bottom w:val="none" w:sz="0" w:space="0" w:color="auto"/>
        <w:right w:val="none" w:sz="0" w:space="0" w:color="auto"/>
      </w:divBdr>
    </w:div>
    <w:div w:id="1524904825">
      <w:bodyDiv w:val="1"/>
      <w:marLeft w:val="0"/>
      <w:marRight w:val="0"/>
      <w:marTop w:val="0"/>
      <w:marBottom w:val="0"/>
      <w:divBdr>
        <w:top w:val="none" w:sz="0" w:space="0" w:color="auto"/>
        <w:left w:val="none" w:sz="0" w:space="0" w:color="auto"/>
        <w:bottom w:val="none" w:sz="0" w:space="0" w:color="auto"/>
        <w:right w:val="none" w:sz="0" w:space="0" w:color="auto"/>
      </w:divBdr>
    </w:div>
    <w:div w:id="1799225421">
      <w:bodyDiv w:val="1"/>
      <w:marLeft w:val="0"/>
      <w:marRight w:val="0"/>
      <w:marTop w:val="0"/>
      <w:marBottom w:val="0"/>
      <w:divBdr>
        <w:top w:val="none" w:sz="0" w:space="0" w:color="auto"/>
        <w:left w:val="none" w:sz="0" w:space="0" w:color="auto"/>
        <w:bottom w:val="none" w:sz="0" w:space="0" w:color="auto"/>
        <w:right w:val="none" w:sz="0" w:space="0" w:color="auto"/>
      </w:divBdr>
    </w:div>
    <w:div w:id="1835217562">
      <w:bodyDiv w:val="1"/>
      <w:marLeft w:val="0"/>
      <w:marRight w:val="0"/>
      <w:marTop w:val="0"/>
      <w:marBottom w:val="0"/>
      <w:divBdr>
        <w:top w:val="none" w:sz="0" w:space="0" w:color="auto"/>
        <w:left w:val="none" w:sz="0" w:space="0" w:color="auto"/>
        <w:bottom w:val="none" w:sz="0" w:space="0" w:color="auto"/>
        <w:right w:val="none" w:sz="0" w:space="0" w:color="auto"/>
      </w:divBdr>
    </w:div>
    <w:div w:id="20431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2015-04-16T18:19:00Z</cp:lastPrinted>
  <dcterms:created xsi:type="dcterms:W3CDTF">2015-04-16T22:53:00Z</dcterms:created>
  <dcterms:modified xsi:type="dcterms:W3CDTF">2015-04-16T22:53:00Z</dcterms:modified>
</cp:coreProperties>
</file>