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E53" w:rsidRPr="002D4B9F" w:rsidRDefault="00FE0E53" w:rsidP="002D4B9F">
      <w:pPr>
        <w:spacing w:after="0"/>
        <w:jc w:val="center"/>
        <w:rPr>
          <w:b/>
          <w:sz w:val="32"/>
          <w:szCs w:val="32"/>
        </w:rPr>
      </w:pPr>
      <w:r w:rsidRPr="002D4B9F">
        <w:rPr>
          <w:b/>
          <w:sz w:val="32"/>
          <w:szCs w:val="32"/>
        </w:rPr>
        <w:t>Midterm Accreditation Report</w:t>
      </w:r>
    </w:p>
    <w:p w:rsidR="00FE0E53" w:rsidRPr="002D4B9F" w:rsidRDefault="00FE0E53" w:rsidP="002D4B9F">
      <w:pPr>
        <w:jc w:val="center"/>
        <w:rPr>
          <w:b/>
          <w:sz w:val="32"/>
          <w:szCs w:val="32"/>
        </w:rPr>
      </w:pPr>
      <w:r w:rsidRPr="002D4B9F">
        <w:rPr>
          <w:b/>
          <w:sz w:val="32"/>
          <w:szCs w:val="32"/>
        </w:rPr>
        <w:t>Review of Standard I.B</w:t>
      </w:r>
    </w:p>
    <w:p w:rsidR="00FE0E53" w:rsidRPr="00BF4BF8" w:rsidRDefault="00BF4BF8" w:rsidP="00FE0E53">
      <w:pPr>
        <w:autoSpaceDE w:val="0"/>
        <w:autoSpaceDN w:val="0"/>
        <w:adjustRightInd w:val="0"/>
        <w:spacing w:after="0" w:line="240" w:lineRule="auto"/>
        <w:rPr>
          <w:rFonts w:ascii="Calibri" w:hAnsi="Calibri" w:cs="Calibri"/>
          <w:b/>
          <w:bCs/>
          <w:color w:val="FF0000"/>
          <w:sz w:val="28"/>
          <w:szCs w:val="28"/>
          <w:u w:val="single"/>
        </w:rPr>
      </w:pPr>
      <w:r w:rsidRPr="00BF4BF8">
        <w:rPr>
          <w:rFonts w:ascii="Calibri" w:hAnsi="Calibri" w:cs="Calibri"/>
          <w:b/>
          <w:bCs/>
          <w:color w:val="FF0000"/>
          <w:sz w:val="28"/>
          <w:szCs w:val="28"/>
          <w:u w:val="single"/>
        </w:rPr>
        <w:t>Instructions for Completing Form:</w:t>
      </w:r>
    </w:p>
    <w:p w:rsidR="00BF4BF8" w:rsidRPr="00BF4BF8" w:rsidRDefault="00BF4BF8" w:rsidP="00BF4BF8">
      <w:pPr>
        <w:pStyle w:val="ListParagraph"/>
        <w:numPr>
          <w:ilvl w:val="0"/>
          <w:numId w:val="3"/>
        </w:numPr>
        <w:autoSpaceDE w:val="0"/>
        <w:autoSpaceDN w:val="0"/>
        <w:adjustRightInd w:val="0"/>
        <w:spacing w:after="0" w:line="240" w:lineRule="auto"/>
        <w:rPr>
          <w:rFonts w:ascii="Calibri" w:hAnsi="Calibri" w:cs="Calibri"/>
          <w:color w:val="FF0000"/>
          <w:sz w:val="24"/>
          <w:szCs w:val="24"/>
        </w:rPr>
      </w:pPr>
      <w:r w:rsidRPr="00BF4BF8">
        <w:rPr>
          <w:rFonts w:ascii="Calibri" w:hAnsi="Calibri" w:cs="Calibri"/>
          <w:color w:val="FF0000"/>
          <w:sz w:val="24"/>
          <w:szCs w:val="24"/>
        </w:rPr>
        <w:t>Carefully read the ACCJC statement for Standard I listed below</w:t>
      </w:r>
    </w:p>
    <w:p w:rsidR="00BF4BF8" w:rsidRDefault="00BF4BF8" w:rsidP="00BF4BF8">
      <w:pPr>
        <w:pStyle w:val="ListParagraph"/>
        <w:numPr>
          <w:ilvl w:val="0"/>
          <w:numId w:val="3"/>
        </w:numPr>
        <w:autoSpaceDE w:val="0"/>
        <w:autoSpaceDN w:val="0"/>
        <w:adjustRightInd w:val="0"/>
        <w:spacing w:after="0" w:line="240" w:lineRule="auto"/>
        <w:rPr>
          <w:rFonts w:ascii="Calibri" w:hAnsi="Calibri" w:cs="Calibri"/>
          <w:color w:val="FF0000"/>
          <w:sz w:val="24"/>
          <w:szCs w:val="24"/>
        </w:rPr>
      </w:pPr>
      <w:r w:rsidRPr="00BF4BF8">
        <w:rPr>
          <w:rFonts w:ascii="Calibri" w:hAnsi="Calibri" w:cs="Calibri"/>
          <w:color w:val="FF0000"/>
          <w:sz w:val="24"/>
          <w:szCs w:val="24"/>
        </w:rPr>
        <w:t xml:space="preserve">For each of the nine (9) criteria associated with Standard I.B, list responses </w:t>
      </w:r>
      <w:r>
        <w:rPr>
          <w:rFonts w:ascii="Calibri" w:hAnsi="Calibri" w:cs="Calibri"/>
          <w:color w:val="FF0000"/>
          <w:sz w:val="24"/>
          <w:szCs w:val="24"/>
        </w:rPr>
        <w:t>(b</w:t>
      </w:r>
      <w:r w:rsidRPr="00BF4BF8">
        <w:rPr>
          <w:rFonts w:ascii="Calibri" w:hAnsi="Calibri" w:cs="Calibri"/>
          <w:color w:val="FF0000"/>
          <w:sz w:val="24"/>
          <w:szCs w:val="24"/>
        </w:rPr>
        <w:t>ullet</w:t>
      </w:r>
      <w:r>
        <w:rPr>
          <w:rFonts w:ascii="Calibri" w:hAnsi="Calibri" w:cs="Calibri"/>
          <w:color w:val="FF0000"/>
          <w:sz w:val="24"/>
          <w:szCs w:val="24"/>
        </w:rPr>
        <w:t xml:space="preserve"> format)</w:t>
      </w:r>
      <w:r w:rsidRPr="00BF4BF8">
        <w:rPr>
          <w:rFonts w:ascii="Calibri" w:hAnsi="Calibri" w:cs="Calibri"/>
          <w:color w:val="FF0000"/>
          <w:sz w:val="24"/>
          <w:szCs w:val="24"/>
        </w:rPr>
        <w:t xml:space="preserve"> for each appropriate column (BC Strengths; Evidence to Support Strengths; Areas for Improvement)</w:t>
      </w:r>
      <w:r>
        <w:rPr>
          <w:rFonts w:ascii="Calibri" w:hAnsi="Calibri" w:cs="Calibri"/>
          <w:color w:val="FF0000"/>
          <w:sz w:val="24"/>
          <w:szCs w:val="24"/>
        </w:rPr>
        <w:t>.</w:t>
      </w:r>
    </w:p>
    <w:p w:rsidR="00BF4BF8" w:rsidRPr="00BF4BF8" w:rsidRDefault="00BF4BF8" w:rsidP="00BF4BF8">
      <w:pPr>
        <w:pStyle w:val="ListParagraph"/>
        <w:numPr>
          <w:ilvl w:val="0"/>
          <w:numId w:val="3"/>
        </w:numPr>
        <w:autoSpaceDE w:val="0"/>
        <w:autoSpaceDN w:val="0"/>
        <w:adjustRightInd w:val="0"/>
        <w:spacing w:after="0" w:line="240" w:lineRule="auto"/>
        <w:rPr>
          <w:rFonts w:ascii="Calibri" w:hAnsi="Calibri" w:cs="Calibri"/>
          <w:color w:val="FF0000"/>
          <w:sz w:val="24"/>
          <w:szCs w:val="24"/>
        </w:rPr>
      </w:pPr>
      <w:r>
        <w:rPr>
          <w:rFonts w:ascii="Calibri" w:hAnsi="Calibri" w:cs="Calibri"/>
          <w:color w:val="FF0000"/>
          <w:sz w:val="24"/>
          <w:szCs w:val="24"/>
        </w:rPr>
        <w:t xml:space="preserve">Submit your completed form to Patt Davis </w:t>
      </w:r>
      <w:proofErr w:type="gramStart"/>
      <w:r>
        <w:rPr>
          <w:rFonts w:ascii="Calibri" w:hAnsi="Calibri" w:cs="Calibri"/>
          <w:color w:val="FF0000"/>
          <w:sz w:val="24"/>
          <w:szCs w:val="24"/>
        </w:rPr>
        <w:t xml:space="preserve">( </w:t>
      </w:r>
      <w:proofErr w:type="gramEnd"/>
      <w:r w:rsidR="008E4FFD">
        <w:fldChar w:fldCharType="begin"/>
      </w:r>
      <w:r w:rsidR="008E4FFD">
        <w:instrText xml:space="preserve"> HYPERLINK "mailto:Patricia.Davis@BakersfieldCollege.edu" </w:instrText>
      </w:r>
      <w:r w:rsidR="008E4FFD">
        <w:fldChar w:fldCharType="separate"/>
      </w:r>
      <w:r w:rsidRPr="00D13ABA">
        <w:rPr>
          <w:rStyle w:val="Hyperlink"/>
          <w:rFonts w:ascii="Calibri" w:hAnsi="Calibri" w:cs="Calibri"/>
          <w:sz w:val="24"/>
          <w:szCs w:val="24"/>
        </w:rPr>
        <w:t>Patricia.Davis@BakersfieldCollege.edu</w:t>
      </w:r>
      <w:r w:rsidR="008E4FFD">
        <w:rPr>
          <w:rStyle w:val="Hyperlink"/>
          <w:rFonts w:ascii="Calibri" w:hAnsi="Calibri" w:cs="Calibri"/>
          <w:sz w:val="24"/>
          <w:szCs w:val="24"/>
        </w:rPr>
        <w:fldChar w:fldCharType="end"/>
      </w:r>
      <w:r>
        <w:rPr>
          <w:rFonts w:ascii="Calibri" w:hAnsi="Calibri" w:cs="Calibri"/>
          <w:color w:val="FF0000"/>
          <w:sz w:val="24"/>
          <w:szCs w:val="24"/>
        </w:rPr>
        <w:t xml:space="preserve"> ) by noon on Monday, September 22, 2014.</w:t>
      </w:r>
    </w:p>
    <w:p w:rsidR="00BF4BF8" w:rsidRPr="00FE0E53" w:rsidRDefault="00BF4BF8" w:rsidP="00FE0E53">
      <w:pPr>
        <w:autoSpaceDE w:val="0"/>
        <w:autoSpaceDN w:val="0"/>
        <w:adjustRightInd w:val="0"/>
        <w:spacing w:after="0" w:line="240" w:lineRule="auto"/>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4072"/>
      </w:tblGrid>
      <w:tr w:rsidR="00FE0E53" w:rsidRPr="00FE0E53" w:rsidTr="002D4B9F">
        <w:trPr>
          <w:trHeight w:val="495"/>
        </w:trPr>
        <w:tc>
          <w:tcPr>
            <w:tcW w:w="14072" w:type="dxa"/>
          </w:tcPr>
          <w:p w:rsidR="00FE0E53" w:rsidRPr="00FE0E53" w:rsidRDefault="00FE0E53" w:rsidP="00FE0E53">
            <w:pPr>
              <w:autoSpaceDE w:val="0"/>
              <w:autoSpaceDN w:val="0"/>
              <w:adjustRightInd w:val="0"/>
              <w:spacing w:after="0" w:line="240" w:lineRule="auto"/>
              <w:rPr>
                <w:rFonts w:ascii="Calibri" w:hAnsi="Calibri" w:cs="Calibri"/>
                <w:color w:val="000000"/>
                <w:sz w:val="28"/>
                <w:szCs w:val="28"/>
              </w:rPr>
            </w:pPr>
            <w:r w:rsidRPr="00FE0E53">
              <w:rPr>
                <w:rFonts w:ascii="Calibri" w:hAnsi="Calibri" w:cs="Calibri"/>
                <w:b/>
                <w:bCs/>
                <w:color w:val="000000"/>
                <w:sz w:val="28"/>
                <w:szCs w:val="28"/>
              </w:rPr>
              <w:t xml:space="preserve">Standard I: Mission, Academic Quality and Institutional Effectiveness, and Integrity </w:t>
            </w:r>
          </w:p>
          <w:p w:rsidR="00FE0E53" w:rsidRPr="00FE0E53" w:rsidRDefault="00FE0E53" w:rsidP="00FE0E53">
            <w:pPr>
              <w:autoSpaceDE w:val="0"/>
              <w:autoSpaceDN w:val="0"/>
              <w:adjustRightInd w:val="0"/>
              <w:spacing w:after="0" w:line="240" w:lineRule="auto"/>
              <w:rPr>
                <w:rFonts w:ascii="Calibri" w:hAnsi="Calibri" w:cs="Calibri"/>
                <w:color w:val="000000"/>
              </w:rPr>
            </w:pPr>
            <w:r w:rsidRPr="00FE0E53">
              <w:rPr>
                <w:rFonts w:ascii="Calibri" w:hAnsi="Calibri" w:cs="Calibri"/>
                <w:color w:val="000000"/>
                <w:sz w:val="28"/>
                <w:szCs w:val="28"/>
              </w:rPr>
              <w:t>The institution demonstrates strong commitment to a mission that emphasizes student learning and student achievement. Using analysis of quantitative and qualitative data, the institution continuously and systematically evaluates, plans, implements, and improves the quality of its educational programs and services. The institution demonstrates integrity in all policies, actions, and communication. The administration, faculty, staff, and governing board members act honestly, ethically, and fairly in the performance of their duties</w:t>
            </w:r>
            <w:r w:rsidRPr="00FE0E53">
              <w:rPr>
                <w:rFonts w:ascii="Calibri" w:hAnsi="Calibri" w:cs="Calibri"/>
                <w:color w:val="000000"/>
              </w:rPr>
              <w:t xml:space="preserve">. </w:t>
            </w:r>
          </w:p>
        </w:tc>
      </w:tr>
    </w:tbl>
    <w:p w:rsidR="00FE0E53" w:rsidRDefault="00FE0E53"/>
    <w:p w:rsidR="00FE0E53" w:rsidRDefault="00FE0E53" w:rsidP="00FE0E53">
      <w:pPr>
        <w:spacing w:after="0"/>
        <w:rPr>
          <w:b/>
          <w:sz w:val="26"/>
          <w:szCs w:val="26"/>
        </w:rPr>
      </w:pPr>
      <w:r w:rsidRPr="00BF4BF8">
        <w:rPr>
          <w:b/>
          <w:sz w:val="26"/>
          <w:szCs w:val="26"/>
        </w:rPr>
        <w:t>Standard I.B.</w:t>
      </w:r>
      <w:r w:rsidRPr="00BF4BF8">
        <w:rPr>
          <w:b/>
          <w:sz w:val="26"/>
          <w:szCs w:val="26"/>
        </w:rPr>
        <w:tab/>
        <w:t>Assuring Academic Quality and Institutional Effectiveness</w:t>
      </w:r>
    </w:p>
    <w:p w:rsidR="00D861D7" w:rsidRPr="00D861D7" w:rsidRDefault="00D861D7" w:rsidP="00FE0E53">
      <w:pPr>
        <w:spacing w:after="0"/>
        <w:rPr>
          <w:b/>
          <w:color w:val="00B050"/>
          <w:sz w:val="26"/>
          <w:szCs w:val="26"/>
        </w:rPr>
      </w:pPr>
      <w:proofErr w:type="gramStart"/>
      <w:r>
        <w:rPr>
          <w:b/>
          <w:color w:val="00B050"/>
          <w:sz w:val="26"/>
          <w:szCs w:val="26"/>
        </w:rPr>
        <w:t>Completed by AIQ, September 16, 2014.</w:t>
      </w:r>
      <w:proofErr w:type="gramEnd"/>
      <w:r>
        <w:rPr>
          <w:b/>
          <w:color w:val="00B050"/>
          <w:sz w:val="26"/>
          <w:szCs w:val="26"/>
        </w:rPr>
        <w:t xml:space="preserve">  We focused on examples and evidence.</w:t>
      </w:r>
    </w:p>
    <w:p w:rsidR="00FE0E53" w:rsidRDefault="00FE0E53" w:rsidP="00FE0E53">
      <w:pPr>
        <w:spacing w:after="0"/>
      </w:pPr>
    </w:p>
    <w:p w:rsidR="00FE0E53" w:rsidRPr="00BF4BF8" w:rsidRDefault="00FE0E53" w:rsidP="00BF4BF8">
      <w:pPr>
        <w:spacing w:after="0"/>
        <w:jc w:val="center"/>
        <w:rPr>
          <w:i/>
          <w:sz w:val="26"/>
          <w:szCs w:val="26"/>
          <w:u w:val="single"/>
        </w:rPr>
      </w:pPr>
      <w:r w:rsidRPr="00BF4BF8">
        <w:rPr>
          <w:i/>
          <w:sz w:val="26"/>
          <w:szCs w:val="26"/>
          <w:u w:val="single"/>
        </w:rPr>
        <w:t>Academic Quality</w:t>
      </w:r>
    </w:p>
    <w:p w:rsidR="002D4B9F" w:rsidRPr="002D4B9F" w:rsidRDefault="002D4B9F" w:rsidP="00FE0E53">
      <w:pPr>
        <w:spacing w:after="0"/>
        <w:rPr>
          <w:i/>
          <w:sz w:val="24"/>
          <w:szCs w:val="24"/>
          <w:u w:val="single"/>
        </w:rPr>
      </w:pPr>
    </w:p>
    <w:tbl>
      <w:tblPr>
        <w:tblStyle w:val="TableGrid"/>
        <w:tblW w:w="14616" w:type="dxa"/>
        <w:tblLook w:val="04A0" w:firstRow="1" w:lastRow="0" w:firstColumn="1" w:lastColumn="0" w:noHBand="0" w:noVBand="1"/>
      </w:tblPr>
      <w:tblGrid>
        <w:gridCol w:w="3654"/>
        <w:gridCol w:w="3654"/>
        <w:gridCol w:w="3654"/>
        <w:gridCol w:w="3654"/>
      </w:tblGrid>
      <w:tr w:rsidR="00BF4BF8" w:rsidTr="00BF4BF8">
        <w:tc>
          <w:tcPr>
            <w:tcW w:w="3654" w:type="dxa"/>
            <w:shd w:val="clear" w:color="auto" w:fill="95B3D7" w:themeFill="accent1" w:themeFillTint="99"/>
          </w:tcPr>
          <w:p w:rsidR="00BF4BF8" w:rsidRPr="00FE0E53" w:rsidRDefault="00BF4BF8" w:rsidP="00FE0E53">
            <w:pPr>
              <w:jc w:val="center"/>
              <w:rPr>
                <w:b/>
                <w:i/>
                <w:sz w:val="24"/>
                <w:szCs w:val="24"/>
              </w:rPr>
            </w:pPr>
            <w:r w:rsidRPr="00FE0E53">
              <w:rPr>
                <w:b/>
                <w:i/>
                <w:sz w:val="24"/>
                <w:szCs w:val="24"/>
              </w:rPr>
              <w:t>ACCJC Criteria</w:t>
            </w:r>
          </w:p>
        </w:tc>
        <w:tc>
          <w:tcPr>
            <w:tcW w:w="3654" w:type="dxa"/>
            <w:shd w:val="clear" w:color="auto" w:fill="95B3D7" w:themeFill="accent1" w:themeFillTint="99"/>
          </w:tcPr>
          <w:p w:rsidR="00BF4BF8" w:rsidRPr="00FE0E53" w:rsidRDefault="00BF4BF8" w:rsidP="00DE4D63">
            <w:pPr>
              <w:jc w:val="center"/>
              <w:rPr>
                <w:b/>
                <w:i/>
                <w:sz w:val="24"/>
                <w:szCs w:val="24"/>
              </w:rPr>
            </w:pPr>
            <w:r w:rsidRPr="00FE0E53">
              <w:rPr>
                <w:b/>
                <w:i/>
                <w:sz w:val="24"/>
                <w:szCs w:val="24"/>
              </w:rPr>
              <w:t>Bakersfield College</w:t>
            </w:r>
            <w:r>
              <w:rPr>
                <w:b/>
                <w:i/>
                <w:sz w:val="24"/>
                <w:szCs w:val="24"/>
              </w:rPr>
              <w:t xml:space="preserve"> Strengths</w:t>
            </w:r>
          </w:p>
        </w:tc>
        <w:tc>
          <w:tcPr>
            <w:tcW w:w="3654" w:type="dxa"/>
            <w:shd w:val="clear" w:color="auto" w:fill="95B3D7" w:themeFill="accent1" w:themeFillTint="99"/>
          </w:tcPr>
          <w:p w:rsidR="00BF4BF8" w:rsidRPr="00FE0E53" w:rsidRDefault="00BF4BF8" w:rsidP="00C70303">
            <w:pPr>
              <w:jc w:val="center"/>
              <w:rPr>
                <w:b/>
                <w:i/>
                <w:sz w:val="24"/>
                <w:szCs w:val="24"/>
              </w:rPr>
            </w:pPr>
            <w:r>
              <w:rPr>
                <w:b/>
                <w:i/>
                <w:sz w:val="24"/>
                <w:szCs w:val="24"/>
              </w:rPr>
              <w:t>Evidence and Documentation</w:t>
            </w:r>
          </w:p>
        </w:tc>
        <w:tc>
          <w:tcPr>
            <w:tcW w:w="3654" w:type="dxa"/>
            <w:shd w:val="clear" w:color="auto" w:fill="95B3D7" w:themeFill="accent1" w:themeFillTint="99"/>
          </w:tcPr>
          <w:p w:rsidR="00BF4BF8" w:rsidRDefault="00BF4BF8" w:rsidP="00FE0E53">
            <w:pPr>
              <w:jc w:val="center"/>
            </w:pPr>
            <w:r>
              <w:rPr>
                <w:b/>
                <w:i/>
                <w:sz w:val="24"/>
                <w:szCs w:val="24"/>
              </w:rPr>
              <w:t>BC Areas for Improvement</w:t>
            </w:r>
          </w:p>
        </w:tc>
      </w:tr>
      <w:tr w:rsidR="00BF4BF8" w:rsidTr="00BF4BF8">
        <w:tc>
          <w:tcPr>
            <w:tcW w:w="3654" w:type="dxa"/>
          </w:tcPr>
          <w:p w:rsidR="00BF4BF8" w:rsidRDefault="00BF4BF8" w:rsidP="00FE0E53">
            <w:r w:rsidRPr="00FE0E53">
              <w:rPr>
                <w:b/>
              </w:rPr>
              <w:t>I.B.1.</w:t>
            </w:r>
            <w:r>
              <w:t xml:space="preserve"> The institution demonstrates a sustained and collegial dialog about student outcomes, student equity, academic quality, institutional effectiveness, and continuous improvement of student learning and achievement.</w:t>
            </w:r>
          </w:p>
        </w:tc>
        <w:tc>
          <w:tcPr>
            <w:tcW w:w="3654" w:type="dxa"/>
          </w:tcPr>
          <w:p w:rsidR="00BF4BF8" w:rsidRDefault="00BF4BF8" w:rsidP="002D4B9F">
            <w:pPr>
              <w:pStyle w:val="ListParagraph"/>
              <w:numPr>
                <w:ilvl w:val="0"/>
                <w:numId w:val="2"/>
              </w:numPr>
              <w:ind w:left="126" w:hanging="180"/>
            </w:pPr>
          </w:p>
        </w:tc>
        <w:tc>
          <w:tcPr>
            <w:tcW w:w="3654" w:type="dxa"/>
          </w:tcPr>
          <w:p w:rsidR="00BF4BF8" w:rsidRDefault="00D861D7" w:rsidP="00BE3F4D">
            <w:pPr>
              <w:pStyle w:val="ListParagraph"/>
              <w:numPr>
                <w:ilvl w:val="0"/>
                <w:numId w:val="2"/>
              </w:numPr>
              <w:ind w:left="126" w:hanging="180"/>
            </w:pPr>
            <w:r>
              <w:t>AIQ charge</w:t>
            </w:r>
          </w:p>
          <w:p w:rsidR="00D861D7" w:rsidRDefault="00D861D7" w:rsidP="00BE3F4D">
            <w:pPr>
              <w:pStyle w:val="ListParagraph"/>
              <w:numPr>
                <w:ilvl w:val="0"/>
                <w:numId w:val="2"/>
              </w:numPr>
              <w:ind w:left="126" w:hanging="180"/>
            </w:pPr>
            <w:r>
              <w:t>Assessment Committee work</w:t>
            </w:r>
          </w:p>
          <w:p w:rsidR="00D861D7" w:rsidRDefault="00D861D7" w:rsidP="00BE3F4D">
            <w:pPr>
              <w:pStyle w:val="ListParagraph"/>
              <w:numPr>
                <w:ilvl w:val="0"/>
                <w:numId w:val="2"/>
              </w:numPr>
              <w:ind w:left="126" w:hanging="180"/>
            </w:pPr>
            <w:r>
              <w:t>Student Equity Plan</w:t>
            </w:r>
          </w:p>
          <w:p w:rsidR="00D861D7" w:rsidRDefault="00D861D7" w:rsidP="00BE3F4D">
            <w:pPr>
              <w:pStyle w:val="ListParagraph"/>
              <w:numPr>
                <w:ilvl w:val="0"/>
                <w:numId w:val="2"/>
              </w:numPr>
              <w:ind w:left="126" w:hanging="180"/>
            </w:pPr>
            <w:r>
              <w:t>EODAC work</w:t>
            </w:r>
          </w:p>
          <w:p w:rsidR="00D861D7" w:rsidRDefault="00D861D7" w:rsidP="00BE3F4D">
            <w:pPr>
              <w:pStyle w:val="ListParagraph"/>
              <w:numPr>
                <w:ilvl w:val="0"/>
                <w:numId w:val="2"/>
              </w:numPr>
              <w:ind w:left="126" w:hanging="180"/>
            </w:pPr>
            <w:r>
              <w:t>Curriculum Committee</w:t>
            </w:r>
          </w:p>
          <w:p w:rsidR="00D861D7" w:rsidRDefault="00D861D7" w:rsidP="00BE3F4D">
            <w:pPr>
              <w:pStyle w:val="ListParagraph"/>
              <w:numPr>
                <w:ilvl w:val="0"/>
                <w:numId w:val="2"/>
              </w:numPr>
              <w:ind w:left="126" w:hanging="180"/>
            </w:pPr>
            <w:r>
              <w:t>Ed Master Plan</w:t>
            </w:r>
          </w:p>
          <w:p w:rsidR="00D861D7" w:rsidRDefault="00D861D7" w:rsidP="00BE3F4D">
            <w:pPr>
              <w:pStyle w:val="ListParagraph"/>
              <w:numPr>
                <w:ilvl w:val="0"/>
                <w:numId w:val="2"/>
              </w:numPr>
              <w:ind w:left="126" w:hanging="180"/>
            </w:pPr>
            <w:r>
              <w:t>ILOs</w:t>
            </w:r>
            <w:r>
              <w:sym w:font="Wingdings" w:char="F0E0"/>
            </w:r>
            <w:r>
              <w:t>critical thinking MIH project</w:t>
            </w:r>
          </w:p>
        </w:tc>
        <w:tc>
          <w:tcPr>
            <w:tcW w:w="3654" w:type="dxa"/>
          </w:tcPr>
          <w:p w:rsidR="00BF4BF8" w:rsidRDefault="00BF4BF8" w:rsidP="00BE3F4D">
            <w:pPr>
              <w:pStyle w:val="ListParagraph"/>
              <w:numPr>
                <w:ilvl w:val="0"/>
                <w:numId w:val="2"/>
              </w:numPr>
              <w:ind w:left="126" w:hanging="180"/>
            </w:pPr>
          </w:p>
        </w:tc>
      </w:tr>
      <w:tr w:rsidR="00BF4BF8" w:rsidTr="00BF4BF8">
        <w:tc>
          <w:tcPr>
            <w:tcW w:w="3654" w:type="dxa"/>
          </w:tcPr>
          <w:p w:rsidR="00BF4BF8" w:rsidRDefault="00BF4BF8" w:rsidP="00FE0E53">
            <w:r w:rsidRPr="00FE0E53">
              <w:rPr>
                <w:b/>
              </w:rPr>
              <w:t>I.B.2.</w:t>
            </w:r>
            <w:r>
              <w:t xml:space="preserve"> The institution defines and assesses student learning outcomes for all instructional programs and student and learning support services. </w:t>
            </w:r>
            <w:r>
              <w:lastRenderedPageBreak/>
              <w:t>(ER 11)</w:t>
            </w:r>
          </w:p>
        </w:tc>
        <w:tc>
          <w:tcPr>
            <w:tcW w:w="3654" w:type="dxa"/>
          </w:tcPr>
          <w:p w:rsidR="00BF4BF8" w:rsidRDefault="00BF4BF8" w:rsidP="00BE3F4D">
            <w:pPr>
              <w:pStyle w:val="ListParagraph"/>
              <w:numPr>
                <w:ilvl w:val="0"/>
                <w:numId w:val="2"/>
              </w:numPr>
              <w:ind w:left="126" w:hanging="180"/>
            </w:pPr>
          </w:p>
        </w:tc>
        <w:tc>
          <w:tcPr>
            <w:tcW w:w="3654" w:type="dxa"/>
          </w:tcPr>
          <w:p w:rsidR="00D861D7" w:rsidRDefault="00D861D7" w:rsidP="00D861D7">
            <w:r>
              <w:t>Assessment Committee</w:t>
            </w:r>
            <w:r>
              <w:sym w:font="Wingdings" w:char="F0E0"/>
            </w:r>
            <w:r>
              <w:t>CurricUNET</w:t>
            </w:r>
          </w:p>
        </w:tc>
        <w:tc>
          <w:tcPr>
            <w:tcW w:w="3654" w:type="dxa"/>
          </w:tcPr>
          <w:p w:rsidR="00BF4BF8" w:rsidRDefault="00BF4BF8" w:rsidP="00BE3F4D">
            <w:pPr>
              <w:pStyle w:val="ListParagraph"/>
              <w:numPr>
                <w:ilvl w:val="0"/>
                <w:numId w:val="2"/>
              </w:numPr>
              <w:ind w:left="126" w:hanging="180"/>
            </w:pPr>
          </w:p>
        </w:tc>
      </w:tr>
      <w:tr w:rsidR="00BF4BF8" w:rsidTr="00BF4BF8">
        <w:tc>
          <w:tcPr>
            <w:tcW w:w="3654" w:type="dxa"/>
          </w:tcPr>
          <w:p w:rsidR="00BF4BF8" w:rsidRDefault="00BF4BF8" w:rsidP="00FE0E53">
            <w:r w:rsidRPr="00FE0E53">
              <w:rPr>
                <w:b/>
              </w:rPr>
              <w:lastRenderedPageBreak/>
              <w:t>I.B.3.</w:t>
            </w:r>
            <w:r>
              <w:t xml:space="preserve"> The institution establishes institution-set standards for student achievement, appropriate to its mission, assesses how well it is achieving them in pursuit of continuous improvement, and publishes this information. (ER 11)</w:t>
            </w:r>
          </w:p>
        </w:tc>
        <w:tc>
          <w:tcPr>
            <w:tcW w:w="3654" w:type="dxa"/>
          </w:tcPr>
          <w:p w:rsidR="00BF4BF8" w:rsidRDefault="00BF4BF8" w:rsidP="00BE3F4D">
            <w:pPr>
              <w:pStyle w:val="ListParagraph"/>
              <w:numPr>
                <w:ilvl w:val="0"/>
                <w:numId w:val="2"/>
              </w:numPr>
              <w:ind w:left="126" w:hanging="180"/>
            </w:pPr>
          </w:p>
        </w:tc>
        <w:tc>
          <w:tcPr>
            <w:tcW w:w="3654" w:type="dxa"/>
          </w:tcPr>
          <w:p w:rsidR="00BF4BF8" w:rsidRDefault="00D861D7" w:rsidP="00BE3F4D">
            <w:pPr>
              <w:pStyle w:val="ListParagraph"/>
              <w:numPr>
                <w:ilvl w:val="0"/>
                <w:numId w:val="2"/>
              </w:numPr>
              <w:ind w:left="126" w:hanging="180"/>
            </w:pPr>
            <w:r>
              <w:t>Scorecard</w:t>
            </w:r>
            <w:r>
              <w:sym w:font="Wingdings" w:char="F0E0"/>
            </w:r>
            <w:r>
              <w:t>Janet, survey, website</w:t>
            </w:r>
          </w:p>
        </w:tc>
        <w:tc>
          <w:tcPr>
            <w:tcW w:w="3654" w:type="dxa"/>
          </w:tcPr>
          <w:p w:rsidR="00BF4BF8" w:rsidRDefault="00BF4BF8" w:rsidP="00BE3F4D">
            <w:pPr>
              <w:pStyle w:val="ListParagraph"/>
              <w:numPr>
                <w:ilvl w:val="0"/>
                <w:numId w:val="2"/>
              </w:numPr>
              <w:ind w:left="126" w:hanging="180"/>
            </w:pPr>
          </w:p>
        </w:tc>
      </w:tr>
      <w:tr w:rsidR="00BF4BF8" w:rsidTr="00BF4BF8">
        <w:tc>
          <w:tcPr>
            <w:tcW w:w="3654" w:type="dxa"/>
          </w:tcPr>
          <w:p w:rsidR="00BF4BF8" w:rsidRDefault="00BF4BF8" w:rsidP="00FE0E53">
            <w:r w:rsidRPr="00FE0E53">
              <w:rPr>
                <w:b/>
              </w:rPr>
              <w:t>I.B.4.</w:t>
            </w:r>
            <w:r>
              <w:t xml:space="preserve"> The institution uses assessment data and organizes its institutional processes to support student learning and student achievement. </w:t>
            </w:r>
          </w:p>
        </w:tc>
        <w:tc>
          <w:tcPr>
            <w:tcW w:w="3654" w:type="dxa"/>
          </w:tcPr>
          <w:p w:rsidR="00BF4BF8" w:rsidRDefault="00BF4BF8" w:rsidP="00BE3F4D">
            <w:pPr>
              <w:pStyle w:val="ListParagraph"/>
              <w:numPr>
                <w:ilvl w:val="0"/>
                <w:numId w:val="2"/>
              </w:numPr>
              <w:ind w:left="126" w:hanging="180"/>
            </w:pPr>
          </w:p>
        </w:tc>
        <w:tc>
          <w:tcPr>
            <w:tcW w:w="3654" w:type="dxa"/>
          </w:tcPr>
          <w:p w:rsidR="00BF4BF8" w:rsidRDefault="00D861D7" w:rsidP="00BE3F4D">
            <w:pPr>
              <w:pStyle w:val="ListParagraph"/>
              <w:numPr>
                <w:ilvl w:val="0"/>
                <w:numId w:val="2"/>
              </w:numPr>
              <w:ind w:left="126" w:hanging="180"/>
            </w:pPr>
            <w:r>
              <w:t>Data strands</w:t>
            </w:r>
          </w:p>
          <w:p w:rsidR="00D861D7" w:rsidRDefault="00D861D7" w:rsidP="00BE3F4D">
            <w:pPr>
              <w:pStyle w:val="ListParagraph"/>
              <w:numPr>
                <w:ilvl w:val="0"/>
                <w:numId w:val="2"/>
              </w:numPr>
              <w:ind w:left="126" w:hanging="180"/>
            </w:pPr>
            <w:r>
              <w:t>Program review</w:t>
            </w:r>
          </w:p>
        </w:tc>
        <w:tc>
          <w:tcPr>
            <w:tcW w:w="3654" w:type="dxa"/>
          </w:tcPr>
          <w:p w:rsidR="00BF4BF8" w:rsidRDefault="00BF4BF8" w:rsidP="00BE3F4D">
            <w:pPr>
              <w:pStyle w:val="ListParagraph"/>
              <w:numPr>
                <w:ilvl w:val="0"/>
                <w:numId w:val="2"/>
              </w:numPr>
              <w:ind w:left="126" w:hanging="180"/>
            </w:pPr>
          </w:p>
        </w:tc>
      </w:tr>
    </w:tbl>
    <w:p w:rsidR="00FE0E53" w:rsidRDefault="00FE0E53" w:rsidP="00FE0E53">
      <w:pPr>
        <w:spacing w:after="0"/>
      </w:pPr>
    </w:p>
    <w:p w:rsidR="00FE0E53" w:rsidRDefault="00FE0E53" w:rsidP="00FE0E53">
      <w:pPr>
        <w:spacing w:after="0"/>
      </w:pPr>
    </w:p>
    <w:p w:rsidR="00FE0E53" w:rsidRPr="00BF4BF8" w:rsidRDefault="00FE0E53" w:rsidP="00BF4BF8">
      <w:pPr>
        <w:spacing w:after="0"/>
        <w:jc w:val="center"/>
        <w:rPr>
          <w:i/>
          <w:sz w:val="26"/>
          <w:szCs w:val="26"/>
          <w:u w:val="single"/>
        </w:rPr>
      </w:pPr>
      <w:r w:rsidRPr="00BF4BF8">
        <w:rPr>
          <w:i/>
          <w:sz w:val="26"/>
          <w:szCs w:val="26"/>
          <w:u w:val="single"/>
        </w:rPr>
        <w:t>Institutional Effectiveness</w:t>
      </w:r>
    </w:p>
    <w:p w:rsidR="002D4B9F" w:rsidRPr="002D4B9F" w:rsidRDefault="002D4B9F" w:rsidP="00FE0E53">
      <w:pPr>
        <w:spacing w:after="0"/>
        <w:rPr>
          <w:i/>
          <w:sz w:val="24"/>
          <w:szCs w:val="24"/>
          <w:u w:val="single"/>
        </w:rPr>
      </w:pPr>
    </w:p>
    <w:tbl>
      <w:tblPr>
        <w:tblStyle w:val="TableGrid"/>
        <w:tblW w:w="0" w:type="auto"/>
        <w:tblLook w:val="04A0" w:firstRow="1" w:lastRow="0" w:firstColumn="1" w:lastColumn="0" w:noHBand="0" w:noVBand="1"/>
      </w:tblPr>
      <w:tblGrid>
        <w:gridCol w:w="3654"/>
        <w:gridCol w:w="3654"/>
        <w:gridCol w:w="3654"/>
        <w:gridCol w:w="3654"/>
      </w:tblGrid>
      <w:tr w:rsidR="002D4B9F" w:rsidTr="00BE3F4D">
        <w:tc>
          <w:tcPr>
            <w:tcW w:w="3654" w:type="dxa"/>
            <w:shd w:val="clear" w:color="auto" w:fill="95B3D7" w:themeFill="accent1" w:themeFillTint="99"/>
          </w:tcPr>
          <w:p w:rsidR="002D4B9F" w:rsidRPr="00FE0E53" w:rsidRDefault="002D4B9F" w:rsidP="00BE3F4D">
            <w:pPr>
              <w:jc w:val="center"/>
              <w:rPr>
                <w:b/>
                <w:i/>
                <w:sz w:val="24"/>
                <w:szCs w:val="24"/>
              </w:rPr>
            </w:pPr>
            <w:r w:rsidRPr="00FE0E53">
              <w:rPr>
                <w:b/>
                <w:i/>
                <w:sz w:val="24"/>
                <w:szCs w:val="24"/>
              </w:rPr>
              <w:t>ACCJC Criteria</w:t>
            </w:r>
          </w:p>
        </w:tc>
        <w:tc>
          <w:tcPr>
            <w:tcW w:w="3654" w:type="dxa"/>
            <w:shd w:val="clear" w:color="auto" w:fill="95B3D7" w:themeFill="accent1" w:themeFillTint="99"/>
          </w:tcPr>
          <w:p w:rsidR="002D4B9F" w:rsidRPr="00FE0E53" w:rsidRDefault="002D4B9F" w:rsidP="00BE3F4D">
            <w:pPr>
              <w:jc w:val="center"/>
              <w:rPr>
                <w:b/>
                <w:i/>
                <w:sz w:val="24"/>
                <w:szCs w:val="24"/>
              </w:rPr>
            </w:pPr>
            <w:r w:rsidRPr="00FE0E53">
              <w:rPr>
                <w:b/>
                <w:i/>
                <w:sz w:val="24"/>
                <w:szCs w:val="24"/>
              </w:rPr>
              <w:t>Bakersfield College</w:t>
            </w:r>
            <w:r>
              <w:rPr>
                <w:b/>
                <w:i/>
                <w:sz w:val="24"/>
                <w:szCs w:val="24"/>
              </w:rPr>
              <w:t xml:space="preserve"> Strengths</w:t>
            </w:r>
          </w:p>
        </w:tc>
        <w:tc>
          <w:tcPr>
            <w:tcW w:w="3654" w:type="dxa"/>
            <w:shd w:val="clear" w:color="auto" w:fill="95B3D7" w:themeFill="accent1" w:themeFillTint="99"/>
          </w:tcPr>
          <w:p w:rsidR="002D4B9F" w:rsidRPr="00FE0E53" w:rsidRDefault="002D4B9F" w:rsidP="00BE3F4D">
            <w:pPr>
              <w:jc w:val="center"/>
              <w:rPr>
                <w:b/>
                <w:i/>
                <w:sz w:val="24"/>
                <w:szCs w:val="24"/>
              </w:rPr>
            </w:pPr>
            <w:r>
              <w:rPr>
                <w:b/>
                <w:i/>
                <w:sz w:val="24"/>
                <w:szCs w:val="24"/>
              </w:rPr>
              <w:t>Evidence and Documentation</w:t>
            </w:r>
          </w:p>
        </w:tc>
        <w:tc>
          <w:tcPr>
            <w:tcW w:w="3654" w:type="dxa"/>
            <w:shd w:val="clear" w:color="auto" w:fill="95B3D7" w:themeFill="accent1" w:themeFillTint="99"/>
          </w:tcPr>
          <w:p w:rsidR="002D4B9F" w:rsidRDefault="002D4B9F" w:rsidP="00BE3F4D">
            <w:pPr>
              <w:jc w:val="center"/>
            </w:pPr>
            <w:r>
              <w:rPr>
                <w:b/>
                <w:i/>
                <w:sz w:val="24"/>
                <w:szCs w:val="24"/>
              </w:rPr>
              <w:t>BC Are</w:t>
            </w:r>
            <w:r w:rsidR="00BF4BF8">
              <w:rPr>
                <w:b/>
                <w:i/>
                <w:sz w:val="24"/>
                <w:szCs w:val="24"/>
              </w:rPr>
              <w:t>a</w:t>
            </w:r>
            <w:r>
              <w:rPr>
                <w:b/>
                <w:i/>
                <w:sz w:val="24"/>
                <w:szCs w:val="24"/>
              </w:rPr>
              <w:t>s for Improvement</w:t>
            </w:r>
          </w:p>
        </w:tc>
      </w:tr>
      <w:tr w:rsidR="00BF4BF8" w:rsidTr="00BE3F4D">
        <w:tc>
          <w:tcPr>
            <w:tcW w:w="3654" w:type="dxa"/>
          </w:tcPr>
          <w:p w:rsidR="00BF4BF8" w:rsidRDefault="00BF4BF8" w:rsidP="002D4B9F">
            <w:r>
              <w:rPr>
                <w:b/>
              </w:rPr>
              <w:t>I.B.5</w:t>
            </w:r>
            <w:r w:rsidRPr="00FE0E53">
              <w:rPr>
                <w:b/>
              </w:rPr>
              <w:t>.</w:t>
            </w:r>
            <w:r>
              <w:t xml:space="preserve"> The institution assesses accomplishment of its mission through program review and evaluation of goals and objectives, student learning outcomes, and student achievement. Quantitative and qualitative data are disaggregated for analysis by program type and mode of delivery.</w:t>
            </w:r>
          </w:p>
        </w:tc>
        <w:tc>
          <w:tcPr>
            <w:tcW w:w="3654" w:type="dxa"/>
          </w:tcPr>
          <w:p w:rsidR="00BF4BF8" w:rsidRDefault="00BF4BF8" w:rsidP="00BF4BF8">
            <w:pPr>
              <w:pStyle w:val="ListParagraph"/>
              <w:numPr>
                <w:ilvl w:val="0"/>
                <w:numId w:val="2"/>
              </w:numPr>
              <w:ind w:left="126" w:hanging="180"/>
            </w:pPr>
          </w:p>
        </w:tc>
        <w:tc>
          <w:tcPr>
            <w:tcW w:w="3654" w:type="dxa"/>
          </w:tcPr>
          <w:p w:rsidR="00BF4BF8" w:rsidRDefault="00D861D7" w:rsidP="00BF4BF8">
            <w:pPr>
              <w:pStyle w:val="ListParagraph"/>
              <w:numPr>
                <w:ilvl w:val="0"/>
                <w:numId w:val="2"/>
              </w:numPr>
              <w:ind w:left="126" w:hanging="180"/>
            </w:pPr>
            <w:r>
              <w:t>Program Review process</w:t>
            </w:r>
          </w:p>
        </w:tc>
        <w:tc>
          <w:tcPr>
            <w:tcW w:w="3654" w:type="dxa"/>
          </w:tcPr>
          <w:p w:rsidR="00BF4BF8" w:rsidRDefault="00BF4BF8" w:rsidP="00BF4BF8">
            <w:pPr>
              <w:pStyle w:val="ListParagraph"/>
              <w:numPr>
                <w:ilvl w:val="0"/>
                <w:numId w:val="2"/>
              </w:numPr>
              <w:ind w:left="126" w:hanging="180"/>
            </w:pPr>
          </w:p>
        </w:tc>
      </w:tr>
      <w:tr w:rsidR="00BF4BF8" w:rsidTr="00BE3F4D">
        <w:tc>
          <w:tcPr>
            <w:tcW w:w="3654" w:type="dxa"/>
          </w:tcPr>
          <w:p w:rsidR="00BF4BF8" w:rsidRDefault="00BF4BF8" w:rsidP="002D4B9F">
            <w:r>
              <w:rPr>
                <w:b/>
              </w:rPr>
              <w:t>I.B.6</w:t>
            </w:r>
            <w:r w:rsidRPr="00FE0E53">
              <w:rPr>
                <w:b/>
              </w:rPr>
              <w:t>.</w:t>
            </w:r>
            <w:r>
              <w:t xml:space="preserve"> The institution disaggregates and analyzes learning outcomes and achievement for subpopulations of students. When the institution identifies performance gaps, it implements strategies, which may include allocation or reallocation of human, fiscal and other resources, to mitigate those gaps and evaluates the efficacy of those strategies.</w:t>
            </w:r>
          </w:p>
        </w:tc>
        <w:tc>
          <w:tcPr>
            <w:tcW w:w="3654" w:type="dxa"/>
          </w:tcPr>
          <w:p w:rsidR="00BF4BF8" w:rsidRDefault="00BF4BF8" w:rsidP="00BF4BF8">
            <w:pPr>
              <w:pStyle w:val="ListParagraph"/>
              <w:numPr>
                <w:ilvl w:val="0"/>
                <w:numId w:val="2"/>
              </w:numPr>
              <w:ind w:left="126" w:hanging="180"/>
            </w:pPr>
          </w:p>
        </w:tc>
        <w:tc>
          <w:tcPr>
            <w:tcW w:w="3654" w:type="dxa"/>
          </w:tcPr>
          <w:p w:rsidR="00BF4BF8" w:rsidRDefault="00D861D7" w:rsidP="00BF4BF8">
            <w:pPr>
              <w:pStyle w:val="ListParagraph"/>
              <w:numPr>
                <w:ilvl w:val="0"/>
                <w:numId w:val="2"/>
              </w:numPr>
              <w:ind w:left="126" w:hanging="180"/>
            </w:pPr>
            <w:r>
              <w:t xml:space="preserve">MIH, AAMP, </w:t>
            </w:r>
            <w:proofErr w:type="spellStart"/>
            <w:r>
              <w:t>Odella’s</w:t>
            </w:r>
            <w:proofErr w:type="spellEnd"/>
            <w:r>
              <w:t xml:space="preserve"> and Paula’s project</w:t>
            </w:r>
          </w:p>
        </w:tc>
        <w:tc>
          <w:tcPr>
            <w:tcW w:w="3654" w:type="dxa"/>
          </w:tcPr>
          <w:p w:rsidR="00BF4BF8" w:rsidRDefault="00BF4BF8" w:rsidP="00BF4BF8">
            <w:pPr>
              <w:pStyle w:val="ListParagraph"/>
              <w:numPr>
                <w:ilvl w:val="0"/>
                <w:numId w:val="2"/>
              </w:numPr>
              <w:ind w:left="126" w:hanging="180"/>
            </w:pPr>
          </w:p>
        </w:tc>
      </w:tr>
      <w:tr w:rsidR="00BF4BF8" w:rsidTr="00BE3F4D">
        <w:tc>
          <w:tcPr>
            <w:tcW w:w="3654" w:type="dxa"/>
          </w:tcPr>
          <w:p w:rsidR="00BF4BF8" w:rsidRDefault="00BF4BF8" w:rsidP="002D4B9F">
            <w:r>
              <w:rPr>
                <w:b/>
              </w:rPr>
              <w:t>I.B.7</w:t>
            </w:r>
            <w:r w:rsidRPr="00FE0E53">
              <w:rPr>
                <w:b/>
              </w:rPr>
              <w:t>.</w:t>
            </w:r>
            <w:r>
              <w:t xml:space="preserve"> The institution regularly evaluates its policies and practices </w:t>
            </w:r>
            <w:r>
              <w:lastRenderedPageBreak/>
              <w:t>across all areas of the institution, including instructional programs, student and learning support services, resource management, and governance processes to assure their effectiveness in supporting academic quality and accomplishment of mission.</w:t>
            </w:r>
          </w:p>
        </w:tc>
        <w:tc>
          <w:tcPr>
            <w:tcW w:w="3654" w:type="dxa"/>
          </w:tcPr>
          <w:p w:rsidR="00BF4BF8" w:rsidRDefault="00BF4BF8" w:rsidP="00BF4BF8">
            <w:pPr>
              <w:pStyle w:val="ListParagraph"/>
              <w:numPr>
                <w:ilvl w:val="0"/>
                <w:numId w:val="2"/>
              </w:numPr>
              <w:ind w:left="126" w:hanging="180"/>
            </w:pPr>
          </w:p>
        </w:tc>
        <w:tc>
          <w:tcPr>
            <w:tcW w:w="3654" w:type="dxa"/>
          </w:tcPr>
          <w:p w:rsidR="00BF4BF8" w:rsidRDefault="00D861D7" w:rsidP="00BF4BF8">
            <w:pPr>
              <w:pStyle w:val="ListParagraph"/>
              <w:numPr>
                <w:ilvl w:val="0"/>
                <w:numId w:val="2"/>
              </w:numPr>
              <w:ind w:left="126" w:hanging="180"/>
            </w:pPr>
            <w:r>
              <w:t>Program review</w:t>
            </w:r>
          </w:p>
          <w:p w:rsidR="00D861D7" w:rsidRDefault="00D861D7" w:rsidP="00BF4BF8">
            <w:pPr>
              <w:pStyle w:val="ListParagraph"/>
              <w:numPr>
                <w:ilvl w:val="0"/>
                <w:numId w:val="2"/>
              </w:numPr>
              <w:ind w:left="126" w:hanging="180"/>
            </w:pPr>
            <w:r>
              <w:t xml:space="preserve">Decision-making document—is it </w:t>
            </w:r>
            <w:r>
              <w:lastRenderedPageBreak/>
              <w:t>updated regularly?</w:t>
            </w:r>
          </w:p>
          <w:p w:rsidR="00D861D7" w:rsidRDefault="00D861D7" w:rsidP="00BF4BF8">
            <w:pPr>
              <w:pStyle w:val="ListParagraph"/>
              <w:numPr>
                <w:ilvl w:val="0"/>
                <w:numId w:val="2"/>
              </w:numPr>
              <w:ind w:left="126" w:hanging="180"/>
            </w:pPr>
          </w:p>
        </w:tc>
        <w:tc>
          <w:tcPr>
            <w:tcW w:w="3654" w:type="dxa"/>
          </w:tcPr>
          <w:p w:rsidR="00BF4BF8" w:rsidRDefault="00D861D7" w:rsidP="00BF4BF8">
            <w:pPr>
              <w:pStyle w:val="ListParagraph"/>
              <w:numPr>
                <w:ilvl w:val="0"/>
                <w:numId w:val="2"/>
              </w:numPr>
              <w:ind w:left="126" w:hanging="180"/>
            </w:pPr>
            <w:r>
              <w:lastRenderedPageBreak/>
              <w:t>Are governance processes evaluated regularly?</w:t>
            </w:r>
          </w:p>
        </w:tc>
      </w:tr>
      <w:tr w:rsidR="00BF4BF8" w:rsidTr="00BE3F4D">
        <w:tc>
          <w:tcPr>
            <w:tcW w:w="3654" w:type="dxa"/>
          </w:tcPr>
          <w:p w:rsidR="00BF4BF8" w:rsidRDefault="00BF4BF8" w:rsidP="002D4B9F">
            <w:r>
              <w:rPr>
                <w:b/>
              </w:rPr>
              <w:lastRenderedPageBreak/>
              <w:t>I.B.8</w:t>
            </w:r>
            <w:r w:rsidRPr="00FE0E53">
              <w:rPr>
                <w:b/>
              </w:rPr>
              <w:t>.</w:t>
            </w:r>
            <w:r>
              <w:t xml:space="preserve"> The institution broadly communicates the results of all of its assessment and evaluation activities so that the institution has a shared understanding of its strengths and weaknesses and sets appropriate priorities.</w:t>
            </w:r>
          </w:p>
        </w:tc>
        <w:tc>
          <w:tcPr>
            <w:tcW w:w="3654" w:type="dxa"/>
          </w:tcPr>
          <w:p w:rsidR="00BF4BF8" w:rsidRDefault="00BF4BF8" w:rsidP="00BF4BF8">
            <w:pPr>
              <w:pStyle w:val="ListParagraph"/>
              <w:numPr>
                <w:ilvl w:val="0"/>
                <w:numId w:val="2"/>
              </w:numPr>
              <w:ind w:left="126" w:hanging="180"/>
            </w:pPr>
          </w:p>
        </w:tc>
        <w:tc>
          <w:tcPr>
            <w:tcW w:w="3654" w:type="dxa"/>
          </w:tcPr>
          <w:p w:rsidR="00BF4BF8" w:rsidRDefault="00D861D7" w:rsidP="00BF4BF8">
            <w:pPr>
              <w:pStyle w:val="ListParagraph"/>
              <w:numPr>
                <w:ilvl w:val="0"/>
                <w:numId w:val="2"/>
              </w:numPr>
              <w:ind w:left="126" w:hanging="180"/>
            </w:pPr>
            <w:r>
              <w:t>Within committees</w:t>
            </w:r>
          </w:p>
          <w:p w:rsidR="00D861D7" w:rsidRDefault="00D861D7" w:rsidP="00BF4BF8">
            <w:pPr>
              <w:pStyle w:val="ListParagraph"/>
              <w:numPr>
                <w:ilvl w:val="0"/>
                <w:numId w:val="2"/>
              </w:numPr>
              <w:ind w:left="126" w:hanging="180"/>
            </w:pPr>
            <w:r>
              <w:t>Committee pages</w:t>
            </w:r>
          </w:p>
          <w:p w:rsidR="00D861D7" w:rsidRDefault="00D861D7" w:rsidP="00BF4BF8">
            <w:pPr>
              <w:pStyle w:val="ListParagraph"/>
              <w:numPr>
                <w:ilvl w:val="0"/>
                <w:numId w:val="2"/>
              </w:numPr>
              <w:ind w:left="126" w:hanging="180"/>
            </w:pPr>
            <w:r>
              <w:t>Committee co-chairs’ reports</w:t>
            </w:r>
          </w:p>
          <w:p w:rsidR="00D861D7" w:rsidRDefault="00D861D7" w:rsidP="00BF4BF8">
            <w:pPr>
              <w:pStyle w:val="ListParagraph"/>
              <w:numPr>
                <w:ilvl w:val="0"/>
                <w:numId w:val="2"/>
              </w:numPr>
              <w:ind w:left="126" w:hanging="180"/>
            </w:pPr>
            <w:r>
              <w:t>Assessment</w:t>
            </w:r>
            <w:r>
              <w:sym w:font="Wingdings" w:char="F0E0"/>
            </w:r>
            <w:r w:rsidR="008E4FFD">
              <w:t>SLO/PLO/ILO</w:t>
            </w:r>
          </w:p>
        </w:tc>
        <w:tc>
          <w:tcPr>
            <w:tcW w:w="3654" w:type="dxa"/>
          </w:tcPr>
          <w:p w:rsidR="00BF4BF8" w:rsidRDefault="00BF4BF8" w:rsidP="00BF4BF8">
            <w:pPr>
              <w:pStyle w:val="ListParagraph"/>
              <w:numPr>
                <w:ilvl w:val="0"/>
                <w:numId w:val="2"/>
              </w:numPr>
              <w:ind w:left="126" w:hanging="180"/>
            </w:pPr>
          </w:p>
        </w:tc>
      </w:tr>
      <w:tr w:rsidR="00BF4BF8" w:rsidTr="00BE3F4D">
        <w:tc>
          <w:tcPr>
            <w:tcW w:w="3654" w:type="dxa"/>
          </w:tcPr>
          <w:p w:rsidR="00BF4BF8" w:rsidRPr="002D4B9F" w:rsidRDefault="00BF4BF8" w:rsidP="00BE3F4D">
            <w:r>
              <w:rPr>
                <w:b/>
              </w:rPr>
              <w:t>I.B.9.</w:t>
            </w:r>
            <w:r>
              <w:t xml:space="preserve"> The institution engages in continuous, broad based, systematic evaluation and planning. The institution integrates program review, planning, and resource allocation into a comprehensive process that leads to accomplishment of its mission and improvement of institutional effectiveness and academic quality. Institutional planning addresses short- and long-range needs for educational programs and services and for human, physical, technology, and financial resources. (ER 19)</w:t>
            </w:r>
          </w:p>
        </w:tc>
        <w:tc>
          <w:tcPr>
            <w:tcW w:w="3654" w:type="dxa"/>
          </w:tcPr>
          <w:p w:rsidR="00BF4BF8" w:rsidRDefault="00BF4BF8" w:rsidP="00BF4BF8">
            <w:pPr>
              <w:pStyle w:val="ListParagraph"/>
              <w:numPr>
                <w:ilvl w:val="0"/>
                <w:numId w:val="2"/>
              </w:numPr>
              <w:ind w:left="126" w:hanging="180"/>
            </w:pPr>
          </w:p>
          <w:p w:rsidR="00BF4BF8" w:rsidRDefault="00BF4BF8" w:rsidP="00BF4BF8">
            <w:pPr>
              <w:ind w:left="-54"/>
            </w:pPr>
          </w:p>
        </w:tc>
        <w:tc>
          <w:tcPr>
            <w:tcW w:w="3654" w:type="dxa"/>
          </w:tcPr>
          <w:p w:rsidR="00BF4BF8" w:rsidRDefault="008E4FFD" w:rsidP="00BF4BF8">
            <w:pPr>
              <w:pStyle w:val="ListParagraph"/>
              <w:numPr>
                <w:ilvl w:val="0"/>
                <w:numId w:val="2"/>
              </w:numPr>
              <w:ind w:left="126" w:hanging="180"/>
            </w:pPr>
            <w:r>
              <w:t>Yes, but</w:t>
            </w:r>
            <w:r>
              <w:sym w:font="Wingdings" w:char="F0E0"/>
            </w:r>
          </w:p>
          <w:p w:rsidR="008E4FFD" w:rsidRDefault="008E4FFD" w:rsidP="00BF4BF8">
            <w:pPr>
              <w:pStyle w:val="ListParagraph"/>
              <w:numPr>
                <w:ilvl w:val="0"/>
                <w:numId w:val="2"/>
              </w:numPr>
              <w:ind w:left="126" w:hanging="180"/>
            </w:pPr>
            <w:r>
              <w:t>Program review</w:t>
            </w:r>
            <w:bookmarkStart w:id="0" w:name="_GoBack"/>
            <w:bookmarkEnd w:id="0"/>
          </w:p>
        </w:tc>
        <w:tc>
          <w:tcPr>
            <w:tcW w:w="3654" w:type="dxa"/>
          </w:tcPr>
          <w:p w:rsidR="00BF4BF8" w:rsidRDefault="008E4FFD" w:rsidP="00BF4BF8">
            <w:pPr>
              <w:pStyle w:val="ListParagraph"/>
              <w:numPr>
                <w:ilvl w:val="0"/>
                <w:numId w:val="2"/>
              </w:numPr>
              <w:ind w:left="126" w:hanging="180"/>
            </w:pPr>
            <w:r>
              <w:t>Not systematically</w:t>
            </w:r>
          </w:p>
        </w:tc>
      </w:tr>
    </w:tbl>
    <w:p w:rsidR="00FE0E53" w:rsidRDefault="00FE0E53" w:rsidP="00FE0E53">
      <w:pPr>
        <w:spacing w:after="0"/>
      </w:pPr>
    </w:p>
    <w:p w:rsidR="00FE0E53" w:rsidRDefault="00FE0E53" w:rsidP="00FE0E53">
      <w:pPr>
        <w:spacing w:after="0"/>
      </w:pPr>
    </w:p>
    <w:sectPr w:rsidR="00FE0E53" w:rsidSect="00FE0E5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55B20"/>
    <w:multiLevelType w:val="hybridMultilevel"/>
    <w:tmpl w:val="1248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EF01DC"/>
    <w:multiLevelType w:val="hybridMultilevel"/>
    <w:tmpl w:val="B4FE2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FE35E0"/>
    <w:multiLevelType w:val="hybridMultilevel"/>
    <w:tmpl w:val="16B6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E53"/>
    <w:rsid w:val="002D4B9F"/>
    <w:rsid w:val="006322E6"/>
    <w:rsid w:val="008E4FFD"/>
    <w:rsid w:val="00BF4BF8"/>
    <w:rsid w:val="00D861D7"/>
    <w:rsid w:val="00FE0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0E5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E0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0E53"/>
    <w:pPr>
      <w:ind w:left="720"/>
      <w:contextualSpacing/>
    </w:pPr>
  </w:style>
  <w:style w:type="character" w:styleId="Hyperlink">
    <w:name w:val="Hyperlink"/>
    <w:basedOn w:val="DefaultParagraphFont"/>
    <w:uiPriority w:val="99"/>
    <w:unhideWhenUsed/>
    <w:rsid w:val="00BF4B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0E5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E0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0E53"/>
    <w:pPr>
      <w:ind w:left="720"/>
      <w:contextualSpacing/>
    </w:pPr>
  </w:style>
  <w:style w:type="character" w:styleId="Hyperlink">
    <w:name w:val="Hyperlink"/>
    <w:basedOn w:val="DefaultParagraphFont"/>
    <w:uiPriority w:val="99"/>
    <w:unhideWhenUsed/>
    <w:rsid w:val="00BF4B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Manny</dc:creator>
  <cp:lastModifiedBy>imguser</cp:lastModifiedBy>
  <cp:revision>2</cp:revision>
  <dcterms:created xsi:type="dcterms:W3CDTF">2014-09-17T17:46:00Z</dcterms:created>
  <dcterms:modified xsi:type="dcterms:W3CDTF">2014-09-17T17:46:00Z</dcterms:modified>
</cp:coreProperties>
</file>