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3" w:rsidRPr="002D4B9F" w:rsidRDefault="00FE0E53" w:rsidP="002D4B9F">
      <w:pPr>
        <w:spacing w:after="0"/>
        <w:jc w:val="center"/>
        <w:rPr>
          <w:b/>
          <w:sz w:val="32"/>
          <w:szCs w:val="32"/>
        </w:rPr>
      </w:pPr>
      <w:bookmarkStart w:id="0" w:name="_GoBack"/>
      <w:bookmarkEnd w:id="0"/>
      <w:r w:rsidRPr="002D4B9F">
        <w:rPr>
          <w:b/>
          <w:sz w:val="32"/>
          <w:szCs w:val="32"/>
        </w:rPr>
        <w:t>Midterm Accreditation Report</w:t>
      </w:r>
    </w:p>
    <w:p w:rsidR="00FE0E53" w:rsidRPr="002D4B9F" w:rsidRDefault="00FE0E53" w:rsidP="002D4B9F">
      <w:pPr>
        <w:jc w:val="center"/>
        <w:rPr>
          <w:b/>
          <w:sz w:val="32"/>
          <w:szCs w:val="32"/>
        </w:rPr>
      </w:pPr>
      <w:r w:rsidRPr="002D4B9F">
        <w:rPr>
          <w:b/>
          <w:sz w:val="32"/>
          <w:szCs w:val="32"/>
        </w:rPr>
        <w:t>Review of Standard I.B</w:t>
      </w:r>
    </w:p>
    <w:p w:rsidR="00FE0E53" w:rsidRPr="00BF4BF8" w:rsidRDefault="00BF4BF8" w:rsidP="00FE0E53">
      <w:pPr>
        <w:autoSpaceDE w:val="0"/>
        <w:autoSpaceDN w:val="0"/>
        <w:adjustRightInd w:val="0"/>
        <w:spacing w:after="0" w:line="240" w:lineRule="auto"/>
        <w:rPr>
          <w:rFonts w:ascii="Calibri" w:hAnsi="Calibri" w:cs="Calibri"/>
          <w:b/>
          <w:bCs/>
          <w:color w:val="FF0000"/>
          <w:sz w:val="28"/>
          <w:szCs w:val="28"/>
          <w:u w:val="single"/>
        </w:rPr>
      </w:pPr>
      <w:r w:rsidRPr="00BF4BF8">
        <w:rPr>
          <w:rFonts w:ascii="Calibri" w:hAnsi="Calibri" w:cs="Calibri"/>
          <w:b/>
          <w:bCs/>
          <w:color w:val="FF0000"/>
          <w:sz w:val="28"/>
          <w:szCs w:val="28"/>
          <w:u w:val="single"/>
        </w:rPr>
        <w:t>Instructions for Completing Form:</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Carefully read the ACCJC statement for Standard I listed below</w:t>
      </w:r>
    </w:p>
    <w:p w:rsid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 xml:space="preserve">For each of the nine (9) criteria associated with Standard I.B, list responses </w:t>
      </w:r>
      <w:r>
        <w:rPr>
          <w:rFonts w:ascii="Calibri" w:hAnsi="Calibri" w:cs="Calibri"/>
          <w:color w:val="FF0000"/>
          <w:sz w:val="24"/>
          <w:szCs w:val="24"/>
        </w:rPr>
        <w:t>(b</w:t>
      </w:r>
      <w:r w:rsidRPr="00BF4BF8">
        <w:rPr>
          <w:rFonts w:ascii="Calibri" w:hAnsi="Calibri" w:cs="Calibri"/>
          <w:color w:val="FF0000"/>
          <w:sz w:val="24"/>
          <w:szCs w:val="24"/>
        </w:rPr>
        <w:t>ullet</w:t>
      </w:r>
      <w:r>
        <w:rPr>
          <w:rFonts w:ascii="Calibri" w:hAnsi="Calibri" w:cs="Calibri"/>
          <w:color w:val="FF0000"/>
          <w:sz w:val="24"/>
          <w:szCs w:val="24"/>
        </w:rPr>
        <w:t xml:space="preserve"> format)</w:t>
      </w:r>
      <w:r w:rsidRPr="00BF4BF8">
        <w:rPr>
          <w:rFonts w:ascii="Calibri" w:hAnsi="Calibri" w:cs="Calibri"/>
          <w:color w:val="FF0000"/>
          <w:sz w:val="24"/>
          <w:szCs w:val="24"/>
        </w:rPr>
        <w:t xml:space="preserve"> for each appropriate column (BC Strengths; Evidence to Support Strengths; Areas for Improvement)</w:t>
      </w:r>
      <w:r>
        <w:rPr>
          <w:rFonts w:ascii="Calibri" w:hAnsi="Calibri" w:cs="Calibri"/>
          <w:color w:val="FF0000"/>
          <w:sz w:val="24"/>
          <w:szCs w:val="24"/>
        </w:rPr>
        <w:t>.</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 xml:space="preserve">Submit your completed form to Patt Davis </w:t>
      </w:r>
      <w:proofErr w:type="gramStart"/>
      <w:r>
        <w:rPr>
          <w:rFonts w:ascii="Calibri" w:hAnsi="Calibri" w:cs="Calibri"/>
          <w:color w:val="FF0000"/>
          <w:sz w:val="24"/>
          <w:szCs w:val="24"/>
        </w:rPr>
        <w:t xml:space="preserve">( </w:t>
      </w:r>
      <w:proofErr w:type="gramEnd"/>
      <w:r w:rsidR="00222691">
        <w:fldChar w:fldCharType="begin"/>
      </w:r>
      <w:r w:rsidR="00222691">
        <w:instrText xml:space="preserve"> HYPERLINK "mailto:Patricia.Davis@BakersfieldCollege.edu" </w:instrText>
      </w:r>
      <w:r w:rsidR="00222691">
        <w:fldChar w:fldCharType="separate"/>
      </w:r>
      <w:r w:rsidRPr="00D13ABA">
        <w:rPr>
          <w:rStyle w:val="Hyperlink"/>
          <w:rFonts w:ascii="Calibri" w:hAnsi="Calibri" w:cs="Calibri"/>
          <w:sz w:val="24"/>
          <w:szCs w:val="24"/>
        </w:rPr>
        <w:t>Patricia.Davis@BakersfieldCollege.edu</w:t>
      </w:r>
      <w:r w:rsidR="00222691">
        <w:rPr>
          <w:rStyle w:val="Hyperlink"/>
          <w:rFonts w:ascii="Calibri" w:hAnsi="Calibri" w:cs="Calibri"/>
          <w:sz w:val="24"/>
          <w:szCs w:val="24"/>
        </w:rPr>
        <w:fldChar w:fldCharType="end"/>
      </w:r>
      <w:r>
        <w:rPr>
          <w:rFonts w:ascii="Calibri" w:hAnsi="Calibri" w:cs="Calibri"/>
          <w:color w:val="FF0000"/>
          <w:sz w:val="24"/>
          <w:szCs w:val="24"/>
        </w:rPr>
        <w:t xml:space="preserve"> ) by noon on Monday, September 22, 2014.</w:t>
      </w:r>
    </w:p>
    <w:p w:rsidR="00BF4BF8" w:rsidRPr="00FE0E53" w:rsidRDefault="00BF4BF8" w:rsidP="00FE0E53">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072"/>
      </w:tblGrid>
      <w:tr w:rsidR="00FE0E53" w:rsidRPr="00FE0E53" w:rsidTr="002D4B9F">
        <w:trPr>
          <w:trHeight w:val="495"/>
        </w:trPr>
        <w:tc>
          <w:tcPr>
            <w:tcW w:w="14072" w:type="dxa"/>
          </w:tcPr>
          <w:p w:rsidR="00FE0E53" w:rsidRPr="00FE0E53" w:rsidRDefault="00FE0E53" w:rsidP="00FE0E53">
            <w:pPr>
              <w:autoSpaceDE w:val="0"/>
              <w:autoSpaceDN w:val="0"/>
              <w:adjustRightInd w:val="0"/>
              <w:spacing w:after="0" w:line="240" w:lineRule="auto"/>
              <w:rPr>
                <w:rFonts w:ascii="Calibri" w:hAnsi="Calibri" w:cs="Calibri"/>
                <w:color w:val="000000"/>
                <w:sz w:val="28"/>
                <w:szCs w:val="28"/>
              </w:rPr>
            </w:pPr>
            <w:r w:rsidRPr="00FE0E53">
              <w:rPr>
                <w:rFonts w:ascii="Calibri" w:hAnsi="Calibri" w:cs="Calibri"/>
                <w:b/>
                <w:bCs/>
                <w:color w:val="000000"/>
                <w:sz w:val="28"/>
                <w:szCs w:val="28"/>
              </w:rPr>
              <w:t xml:space="preserve">Standard I: Mission, Academic Quality and Institutional Effectiveness, and Integrity </w:t>
            </w:r>
          </w:p>
          <w:p w:rsidR="00FE0E53" w:rsidRPr="00FE0E53" w:rsidRDefault="00FE0E53" w:rsidP="00FE0E53">
            <w:pPr>
              <w:autoSpaceDE w:val="0"/>
              <w:autoSpaceDN w:val="0"/>
              <w:adjustRightInd w:val="0"/>
              <w:spacing w:after="0" w:line="240" w:lineRule="auto"/>
              <w:rPr>
                <w:rFonts w:ascii="Calibri" w:hAnsi="Calibri" w:cs="Calibri"/>
                <w:color w:val="000000"/>
              </w:rPr>
            </w:pPr>
            <w:r w:rsidRPr="00FE0E53">
              <w:rPr>
                <w:rFonts w:ascii="Calibri" w:hAnsi="Calibri" w:cs="Calibri"/>
                <w:color w:val="000000"/>
                <w:sz w:val="28"/>
                <w:szCs w:val="28"/>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FE0E53">
              <w:rPr>
                <w:rFonts w:ascii="Calibri" w:hAnsi="Calibri" w:cs="Calibri"/>
                <w:color w:val="000000"/>
              </w:rPr>
              <w:t xml:space="preserve">. </w:t>
            </w:r>
          </w:p>
        </w:tc>
      </w:tr>
    </w:tbl>
    <w:p w:rsidR="00FE0E53" w:rsidRDefault="00FE0E53"/>
    <w:p w:rsidR="00FE0E53" w:rsidRPr="00BF4BF8" w:rsidRDefault="00FE0E53" w:rsidP="00FE0E53">
      <w:pPr>
        <w:spacing w:after="0"/>
        <w:rPr>
          <w:b/>
          <w:sz w:val="26"/>
          <w:szCs w:val="26"/>
        </w:rPr>
      </w:pPr>
      <w:r w:rsidRPr="00BF4BF8">
        <w:rPr>
          <w:b/>
          <w:sz w:val="26"/>
          <w:szCs w:val="26"/>
        </w:rPr>
        <w:t>Standard I.B.</w:t>
      </w:r>
      <w:r w:rsidRPr="00BF4BF8">
        <w:rPr>
          <w:b/>
          <w:sz w:val="26"/>
          <w:szCs w:val="26"/>
        </w:rPr>
        <w:tab/>
        <w:t>Assuring Academic Quality and Institutional Effectiveness</w:t>
      </w:r>
    </w:p>
    <w:p w:rsidR="00FE0E53" w:rsidRDefault="00FE0E53" w:rsidP="00FE0E53">
      <w:pPr>
        <w:spacing w:after="0"/>
      </w:pPr>
    </w:p>
    <w:p w:rsidR="00FE0E53" w:rsidRPr="00BF4BF8" w:rsidRDefault="00FE0E53" w:rsidP="00BF4BF8">
      <w:pPr>
        <w:spacing w:after="0"/>
        <w:jc w:val="center"/>
        <w:rPr>
          <w:i/>
          <w:sz w:val="26"/>
          <w:szCs w:val="26"/>
          <w:u w:val="single"/>
        </w:rPr>
      </w:pPr>
      <w:r w:rsidRPr="00BF4BF8">
        <w:rPr>
          <w:i/>
          <w:sz w:val="26"/>
          <w:szCs w:val="26"/>
          <w:u w:val="single"/>
        </w:rPr>
        <w:t>Academic Quality</w:t>
      </w:r>
    </w:p>
    <w:p w:rsidR="002D4B9F" w:rsidRPr="002D4B9F" w:rsidRDefault="002D4B9F" w:rsidP="00FE0E53">
      <w:pPr>
        <w:spacing w:after="0"/>
        <w:rPr>
          <w:i/>
          <w:sz w:val="24"/>
          <w:szCs w:val="24"/>
          <w:u w:val="single"/>
        </w:rPr>
      </w:pPr>
    </w:p>
    <w:tbl>
      <w:tblPr>
        <w:tblStyle w:val="TableGrid"/>
        <w:tblW w:w="14616" w:type="dxa"/>
        <w:tblLook w:val="04A0" w:firstRow="1" w:lastRow="0" w:firstColumn="1" w:lastColumn="0" w:noHBand="0" w:noVBand="1"/>
      </w:tblPr>
      <w:tblGrid>
        <w:gridCol w:w="3654"/>
        <w:gridCol w:w="3654"/>
        <w:gridCol w:w="3654"/>
        <w:gridCol w:w="3654"/>
      </w:tblGrid>
      <w:tr w:rsidR="00BF4BF8" w:rsidTr="00BF4BF8">
        <w:tc>
          <w:tcPr>
            <w:tcW w:w="3654" w:type="dxa"/>
            <w:shd w:val="clear" w:color="auto" w:fill="95B3D7" w:themeFill="accent1" w:themeFillTint="99"/>
          </w:tcPr>
          <w:p w:rsidR="00BF4BF8" w:rsidRPr="00FE0E53" w:rsidRDefault="00BF4BF8" w:rsidP="00FE0E53">
            <w:pPr>
              <w:jc w:val="center"/>
              <w:rPr>
                <w:b/>
                <w:i/>
                <w:sz w:val="24"/>
                <w:szCs w:val="24"/>
              </w:rPr>
            </w:pPr>
            <w:r w:rsidRPr="00FE0E53">
              <w:rPr>
                <w:b/>
                <w:i/>
                <w:sz w:val="24"/>
                <w:szCs w:val="24"/>
              </w:rPr>
              <w:t>ACCJC Criteria</w:t>
            </w:r>
          </w:p>
        </w:tc>
        <w:tc>
          <w:tcPr>
            <w:tcW w:w="3654" w:type="dxa"/>
            <w:shd w:val="clear" w:color="auto" w:fill="95B3D7" w:themeFill="accent1" w:themeFillTint="99"/>
          </w:tcPr>
          <w:p w:rsidR="00BF4BF8" w:rsidRPr="00FE0E53" w:rsidRDefault="00BF4BF8" w:rsidP="00DE4D63">
            <w:pPr>
              <w:jc w:val="center"/>
              <w:rPr>
                <w:b/>
                <w:i/>
                <w:sz w:val="24"/>
                <w:szCs w:val="24"/>
              </w:rPr>
            </w:pPr>
            <w:r w:rsidRPr="00FE0E53">
              <w:rPr>
                <w:b/>
                <w:i/>
                <w:sz w:val="24"/>
                <w:szCs w:val="24"/>
              </w:rPr>
              <w:t>Bakersfield College</w:t>
            </w:r>
            <w:r>
              <w:rPr>
                <w:b/>
                <w:i/>
                <w:sz w:val="24"/>
                <w:szCs w:val="24"/>
              </w:rPr>
              <w:t xml:space="preserve"> Strengths</w:t>
            </w:r>
          </w:p>
        </w:tc>
        <w:tc>
          <w:tcPr>
            <w:tcW w:w="3654" w:type="dxa"/>
            <w:shd w:val="clear" w:color="auto" w:fill="95B3D7" w:themeFill="accent1" w:themeFillTint="99"/>
          </w:tcPr>
          <w:p w:rsidR="00BF4BF8" w:rsidRPr="00FE0E53" w:rsidRDefault="00BF4BF8" w:rsidP="00C70303">
            <w:pPr>
              <w:jc w:val="center"/>
              <w:rPr>
                <w:b/>
                <w:i/>
                <w:sz w:val="24"/>
                <w:szCs w:val="24"/>
              </w:rPr>
            </w:pPr>
            <w:r>
              <w:rPr>
                <w:b/>
                <w:i/>
                <w:sz w:val="24"/>
                <w:szCs w:val="24"/>
              </w:rPr>
              <w:t>Evidence and Documentation</w:t>
            </w:r>
          </w:p>
        </w:tc>
        <w:tc>
          <w:tcPr>
            <w:tcW w:w="3654" w:type="dxa"/>
            <w:shd w:val="clear" w:color="auto" w:fill="95B3D7" w:themeFill="accent1" w:themeFillTint="99"/>
          </w:tcPr>
          <w:p w:rsidR="00BF4BF8" w:rsidRDefault="00BF4BF8" w:rsidP="00FE0E53">
            <w:pPr>
              <w:jc w:val="center"/>
            </w:pPr>
            <w:r>
              <w:rPr>
                <w:b/>
                <w:i/>
                <w:sz w:val="24"/>
                <w:szCs w:val="24"/>
              </w:rPr>
              <w:t>BC Areas for Improvement</w:t>
            </w:r>
          </w:p>
        </w:tc>
      </w:tr>
      <w:tr w:rsidR="00BF4BF8" w:rsidTr="00BF4BF8">
        <w:tc>
          <w:tcPr>
            <w:tcW w:w="3654" w:type="dxa"/>
          </w:tcPr>
          <w:p w:rsidR="00BF4BF8" w:rsidRDefault="00BF4BF8" w:rsidP="00FE0E53">
            <w:r w:rsidRPr="00FE0E53">
              <w:rPr>
                <w:b/>
              </w:rPr>
              <w:t>I.B.1.</w:t>
            </w:r>
            <w:r>
              <w:t xml:space="preserve"> The institution demonstrates a sustained and collegial dialog about student outcomes, student equity, academic quality, </w:t>
            </w:r>
            <w:r w:rsidRPr="00584004">
              <w:rPr>
                <w:b/>
                <w:color w:val="FF0000"/>
              </w:rPr>
              <w:t>institutional effectiveness, and continuous improvement of student learning and achievement.</w:t>
            </w:r>
          </w:p>
        </w:tc>
        <w:tc>
          <w:tcPr>
            <w:tcW w:w="3654" w:type="dxa"/>
          </w:tcPr>
          <w:p w:rsidR="00BF4BF8" w:rsidRPr="00A5384A" w:rsidRDefault="000639BA" w:rsidP="002D4B9F">
            <w:pPr>
              <w:pStyle w:val="ListParagraph"/>
              <w:numPr>
                <w:ilvl w:val="0"/>
                <w:numId w:val="2"/>
              </w:numPr>
              <w:ind w:left="126" w:hanging="180"/>
              <w:rPr>
                <w:b/>
                <w:color w:val="1F497D" w:themeColor="text2"/>
              </w:rPr>
            </w:pPr>
            <w:r w:rsidRPr="00A5384A">
              <w:rPr>
                <w:b/>
                <w:color w:val="1F497D" w:themeColor="text2"/>
              </w:rPr>
              <w:t>BC worked collegially to lower units in both major and general education courses for ADT implementation.</w:t>
            </w:r>
          </w:p>
          <w:p w:rsidR="009A1733" w:rsidRPr="00A5384A" w:rsidRDefault="009A1733" w:rsidP="002D4B9F">
            <w:pPr>
              <w:pStyle w:val="ListParagraph"/>
              <w:numPr>
                <w:ilvl w:val="0"/>
                <w:numId w:val="2"/>
              </w:numPr>
              <w:ind w:left="126" w:hanging="180"/>
              <w:rPr>
                <w:b/>
              </w:rPr>
            </w:pPr>
            <w:r w:rsidRPr="00A5384A">
              <w:rPr>
                <w:b/>
                <w:color w:val="E36C0A" w:themeColor="accent6" w:themeShade="BF"/>
              </w:rPr>
              <w:t>Additional faculty release time has been allocated to effectively meet the demands of BC’s curricular needs (e.g., campus wide training for the creation and review of curriculum and the use of CurricUNET).</w:t>
            </w:r>
          </w:p>
        </w:tc>
        <w:tc>
          <w:tcPr>
            <w:tcW w:w="3654" w:type="dxa"/>
          </w:tcPr>
          <w:p w:rsidR="00BF4BF8" w:rsidRPr="00A5384A" w:rsidRDefault="000639BA" w:rsidP="00BE3F4D">
            <w:pPr>
              <w:pStyle w:val="ListParagraph"/>
              <w:numPr>
                <w:ilvl w:val="0"/>
                <w:numId w:val="2"/>
              </w:numPr>
              <w:ind w:left="126" w:hanging="180"/>
              <w:rPr>
                <w:b/>
                <w:color w:val="1F497D" w:themeColor="text2"/>
              </w:rPr>
            </w:pPr>
            <w:r w:rsidRPr="00A5384A">
              <w:rPr>
                <w:b/>
                <w:color w:val="1F497D" w:themeColor="text2"/>
              </w:rPr>
              <w:t xml:space="preserve">GE pattern can be achieved in 39 units through the lowering of units in key disciplines and by increasing offerings in specific courses </w:t>
            </w:r>
          </w:p>
          <w:p w:rsidR="000639BA" w:rsidRPr="00A5384A" w:rsidRDefault="000639BA" w:rsidP="00BE3F4D">
            <w:pPr>
              <w:pStyle w:val="ListParagraph"/>
              <w:numPr>
                <w:ilvl w:val="0"/>
                <w:numId w:val="2"/>
              </w:numPr>
              <w:ind w:left="126" w:hanging="180"/>
              <w:rPr>
                <w:b/>
                <w:color w:val="1F497D" w:themeColor="text2"/>
              </w:rPr>
            </w:pPr>
            <w:r w:rsidRPr="00A5384A">
              <w:rPr>
                <w:b/>
                <w:color w:val="1F497D" w:themeColor="text2"/>
              </w:rPr>
              <w:t>Have established the use of the “High Unit Justification” form for all courses undergoing review that are higher than the standard 3 units</w:t>
            </w:r>
          </w:p>
          <w:p w:rsidR="000639BA" w:rsidRPr="00A5384A" w:rsidRDefault="000639BA" w:rsidP="00BE3F4D">
            <w:pPr>
              <w:pStyle w:val="ListParagraph"/>
              <w:numPr>
                <w:ilvl w:val="0"/>
                <w:numId w:val="2"/>
              </w:numPr>
              <w:ind w:left="126" w:hanging="180"/>
              <w:rPr>
                <w:b/>
                <w:color w:val="1F497D" w:themeColor="text2"/>
              </w:rPr>
            </w:pPr>
            <w:r w:rsidRPr="00A5384A">
              <w:rPr>
                <w:b/>
                <w:color w:val="1F497D" w:themeColor="text2"/>
              </w:rPr>
              <w:t xml:space="preserve">Units lowered: </w:t>
            </w:r>
          </w:p>
          <w:p w:rsidR="000639BA" w:rsidRPr="00A5384A" w:rsidRDefault="000639BA" w:rsidP="000639BA">
            <w:pPr>
              <w:rPr>
                <w:b/>
                <w:color w:val="1F497D" w:themeColor="text2"/>
              </w:rPr>
            </w:pPr>
            <w:r w:rsidRPr="00A5384A">
              <w:rPr>
                <w:b/>
                <w:color w:val="1F497D" w:themeColor="text2"/>
              </w:rPr>
              <w:t xml:space="preserve">Managerial Accounting from 4 to 3 </w:t>
            </w:r>
          </w:p>
          <w:p w:rsidR="000639BA" w:rsidRPr="00A5384A" w:rsidRDefault="000639BA" w:rsidP="000639BA">
            <w:pPr>
              <w:rPr>
                <w:b/>
                <w:color w:val="1F497D" w:themeColor="text2"/>
              </w:rPr>
            </w:pPr>
            <w:r w:rsidRPr="00A5384A">
              <w:rPr>
                <w:b/>
                <w:color w:val="1F497D" w:themeColor="text2"/>
              </w:rPr>
              <w:t>Expository Composition from 4 to 3</w:t>
            </w:r>
          </w:p>
          <w:p w:rsidR="000639BA" w:rsidRPr="00A5384A" w:rsidRDefault="000639BA" w:rsidP="000639BA">
            <w:pPr>
              <w:rPr>
                <w:b/>
                <w:color w:val="1F497D" w:themeColor="text2"/>
              </w:rPr>
            </w:pPr>
            <w:r w:rsidRPr="00A5384A">
              <w:rPr>
                <w:b/>
                <w:color w:val="1F497D" w:themeColor="text2"/>
              </w:rPr>
              <w:t>Elementary Spanish I from 5 to 4</w:t>
            </w:r>
          </w:p>
          <w:p w:rsidR="000639BA" w:rsidRPr="00A5384A" w:rsidRDefault="000639BA" w:rsidP="000639BA">
            <w:pPr>
              <w:rPr>
                <w:b/>
                <w:color w:val="1F497D" w:themeColor="text2"/>
              </w:rPr>
            </w:pPr>
            <w:r w:rsidRPr="00A5384A">
              <w:rPr>
                <w:b/>
                <w:color w:val="1F497D" w:themeColor="text2"/>
              </w:rPr>
              <w:t xml:space="preserve">Elementary Spanish 2 from 5 to 4 </w:t>
            </w:r>
          </w:p>
          <w:p w:rsidR="000639BA" w:rsidRPr="00A5384A" w:rsidRDefault="000639BA" w:rsidP="000639BA">
            <w:pPr>
              <w:rPr>
                <w:b/>
                <w:color w:val="1F497D" w:themeColor="text2"/>
              </w:rPr>
            </w:pPr>
            <w:r w:rsidRPr="00A5384A">
              <w:rPr>
                <w:b/>
                <w:color w:val="1F497D" w:themeColor="text2"/>
              </w:rPr>
              <w:lastRenderedPageBreak/>
              <w:t>Basic Functions and Calculus for Business from 5 to 4</w:t>
            </w:r>
          </w:p>
          <w:p w:rsidR="000639BA" w:rsidRPr="00A5384A" w:rsidRDefault="000639BA" w:rsidP="000639BA">
            <w:pPr>
              <w:rPr>
                <w:b/>
                <w:color w:val="1F497D" w:themeColor="text2"/>
              </w:rPr>
            </w:pPr>
            <w:r w:rsidRPr="00A5384A">
              <w:rPr>
                <w:b/>
                <w:color w:val="1F497D" w:themeColor="text2"/>
              </w:rPr>
              <w:t>Mathematics for Elementary School Teachers from 5 to 4</w:t>
            </w:r>
          </w:p>
          <w:p w:rsidR="00584004" w:rsidRDefault="000639BA" w:rsidP="000639BA">
            <w:pPr>
              <w:rPr>
                <w:b/>
                <w:color w:val="1F497D" w:themeColor="text2"/>
              </w:rPr>
            </w:pPr>
            <w:r w:rsidRPr="00A5384A">
              <w:rPr>
                <w:b/>
                <w:color w:val="1F497D" w:themeColor="text2"/>
              </w:rPr>
              <w:t>Elementary Probability and Statistics from 5 to 4</w:t>
            </w:r>
          </w:p>
          <w:p w:rsidR="00584004" w:rsidRPr="00584004" w:rsidRDefault="00584004" w:rsidP="00584004">
            <w:pPr>
              <w:pStyle w:val="ListParagraph"/>
              <w:numPr>
                <w:ilvl w:val="0"/>
                <w:numId w:val="7"/>
              </w:numPr>
              <w:rPr>
                <w:b/>
                <w:color w:val="E36C0A" w:themeColor="accent6" w:themeShade="BF"/>
              </w:rPr>
            </w:pPr>
            <w:r w:rsidRPr="00584004">
              <w:rPr>
                <w:b/>
                <w:color w:val="E36C0A" w:themeColor="accent6" w:themeShade="BF"/>
              </w:rPr>
              <w:t xml:space="preserve">Campus wide training through Curriculum/Assessment Clinics conducted every other week as well as training for committee members and faculty chairs and deans. </w:t>
            </w:r>
          </w:p>
          <w:p w:rsidR="000639BA" w:rsidRDefault="000639BA" w:rsidP="000639BA"/>
        </w:tc>
        <w:tc>
          <w:tcPr>
            <w:tcW w:w="3654" w:type="dxa"/>
          </w:tcPr>
          <w:p w:rsidR="00BF4BF8" w:rsidRDefault="00BF4BF8" w:rsidP="00BE3F4D">
            <w:pPr>
              <w:pStyle w:val="ListParagraph"/>
              <w:numPr>
                <w:ilvl w:val="0"/>
                <w:numId w:val="2"/>
              </w:numPr>
              <w:ind w:left="126" w:hanging="180"/>
            </w:pPr>
          </w:p>
        </w:tc>
      </w:tr>
      <w:tr w:rsidR="00BF4BF8" w:rsidTr="00BF4BF8">
        <w:tc>
          <w:tcPr>
            <w:tcW w:w="3654" w:type="dxa"/>
          </w:tcPr>
          <w:p w:rsidR="00BF4BF8" w:rsidRDefault="00BF4BF8" w:rsidP="00FE0E53">
            <w:r w:rsidRPr="00FE0E53">
              <w:rPr>
                <w:b/>
              </w:rPr>
              <w:lastRenderedPageBreak/>
              <w:t>I.B.2.</w:t>
            </w:r>
            <w:r>
              <w:t xml:space="preserve"> The institution defines and assesses student learning outcomes for all instructional programs and student and learning support services. (ER 11)</w:t>
            </w:r>
          </w:p>
        </w:tc>
        <w:tc>
          <w:tcPr>
            <w:tcW w:w="3654" w:type="dxa"/>
          </w:tcPr>
          <w:p w:rsidR="00BF4BF8" w:rsidRDefault="009A1733" w:rsidP="00BE3F4D">
            <w:pPr>
              <w:pStyle w:val="ListParagraph"/>
              <w:numPr>
                <w:ilvl w:val="0"/>
                <w:numId w:val="2"/>
              </w:numPr>
              <w:ind w:left="126" w:hanging="180"/>
            </w:pPr>
            <w:r>
              <w:t>NA</w:t>
            </w:r>
          </w:p>
        </w:tc>
        <w:tc>
          <w:tcPr>
            <w:tcW w:w="3654" w:type="dxa"/>
          </w:tcPr>
          <w:p w:rsidR="00BF4BF8" w:rsidRDefault="009A1733" w:rsidP="00BE3F4D">
            <w:pPr>
              <w:pStyle w:val="ListParagraph"/>
              <w:numPr>
                <w:ilvl w:val="0"/>
                <w:numId w:val="2"/>
              </w:numPr>
              <w:ind w:left="126" w:hanging="180"/>
            </w:pPr>
            <w:r>
              <w:t>NA</w:t>
            </w:r>
          </w:p>
        </w:tc>
        <w:tc>
          <w:tcPr>
            <w:tcW w:w="3654" w:type="dxa"/>
          </w:tcPr>
          <w:p w:rsidR="00BF4BF8" w:rsidRDefault="009A1733" w:rsidP="00BE3F4D">
            <w:pPr>
              <w:pStyle w:val="ListParagraph"/>
              <w:numPr>
                <w:ilvl w:val="0"/>
                <w:numId w:val="2"/>
              </w:numPr>
              <w:ind w:left="126" w:hanging="180"/>
            </w:pPr>
            <w:r>
              <w:t>NA</w:t>
            </w:r>
          </w:p>
        </w:tc>
      </w:tr>
      <w:tr w:rsidR="00BF4BF8" w:rsidTr="00BF4BF8">
        <w:tc>
          <w:tcPr>
            <w:tcW w:w="3654" w:type="dxa"/>
          </w:tcPr>
          <w:p w:rsidR="00BF4BF8" w:rsidRDefault="00BF4BF8" w:rsidP="00FE0E53">
            <w:r w:rsidRPr="00FE0E53">
              <w:rPr>
                <w:b/>
              </w:rPr>
              <w:t>I.B.3.</w:t>
            </w:r>
            <w:r>
              <w:t xml:space="preserve"> The institution establishes institution-set standards for student achievement, appropriate to its mission, assesses how well it is achieving them in pursuit of continuous improvement, and </w:t>
            </w:r>
            <w:r w:rsidRPr="00584004">
              <w:rPr>
                <w:b/>
                <w:color w:val="FF0000"/>
              </w:rPr>
              <w:t>publishes this information.</w:t>
            </w:r>
            <w:r w:rsidRPr="00584004">
              <w:rPr>
                <w:color w:val="FF0000"/>
              </w:rPr>
              <w:t xml:space="preserve"> </w:t>
            </w:r>
            <w:r>
              <w:t>(ER 11)</w:t>
            </w:r>
          </w:p>
        </w:tc>
        <w:tc>
          <w:tcPr>
            <w:tcW w:w="3654" w:type="dxa"/>
          </w:tcPr>
          <w:p w:rsidR="00BF4BF8" w:rsidRDefault="009A1733" w:rsidP="00C46822">
            <w:pPr>
              <w:pStyle w:val="ListParagraph"/>
              <w:numPr>
                <w:ilvl w:val="0"/>
                <w:numId w:val="2"/>
              </w:numPr>
              <w:ind w:left="126" w:hanging="180"/>
              <w:rPr>
                <w:b/>
                <w:color w:val="1F497D" w:themeColor="text2"/>
              </w:rPr>
            </w:pPr>
            <w:r w:rsidRPr="00584004">
              <w:rPr>
                <w:b/>
                <w:color w:val="1F497D" w:themeColor="text2"/>
              </w:rPr>
              <w:t>Additional faculty release time and a temporary curriculum technician</w:t>
            </w:r>
            <w:r w:rsidR="00584004" w:rsidRPr="00584004">
              <w:rPr>
                <w:b/>
                <w:color w:val="1F497D" w:themeColor="text2"/>
              </w:rPr>
              <w:t xml:space="preserve"> have</w:t>
            </w:r>
            <w:r w:rsidRPr="00584004">
              <w:rPr>
                <w:b/>
                <w:color w:val="1F497D" w:themeColor="text2"/>
              </w:rPr>
              <w:t xml:space="preserve"> been assigned been to </w:t>
            </w:r>
            <w:r w:rsidR="00C46822" w:rsidRPr="00584004">
              <w:rPr>
                <w:b/>
                <w:color w:val="1F497D" w:themeColor="text2"/>
              </w:rPr>
              <w:t>work to ensure the accuracy of our curriculum (i.e</w:t>
            </w:r>
            <w:r w:rsidR="00584004" w:rsidRPr="00584004">
              <w:rPr>
                <w:b/>
                <w:color w:val="1F497D" w:themeColor="text2"/>
              </w:rPr>
              <w:t>. courses and programs) to facilitate student registrations</w:t>
            </w:r>
            <w:r w:rsidR="00C46822" w:rsidRPr="00584004">
              <w:rPr>
                <w:b/>
                <w:color w:val="1F497D" w:themeColor="text2"/>
              </w:rPr>
              <w:t xml:space="preserve"> and accuracy of catalog.</w:t>
            </w:r>
          </w:p>
          <w:p w:rsidR="008D176D" w:rsidRPr="00584004" w:rsidRDefault="008D176D" w:rsidP="008D176D">
            <w:pPr>
              <w:pStyle w:val="ListParagraph"/>
              <w:ind w:left="126"/>
              <w:rPr>
                <w:b/>
                <w:color w:val="1F497D" w:themeColor="text2"/>
              </w:rPr>
            </w:pPr>
          </w:p>
        </w:tc>
        <w:tc>
          <w:tcPr>
            <w:tcW w:w="3654" w:type="dxa"/>
          </w:tcPr>
          <w:p w:rsidR="009A1733" w:rsidRPr="00584004" w:rsidRDefault="00C46822" w:rsidP="009A1733">
            <w:pPr>
              <w:pStyle w:val="ListParagraph"/>
              <w:numPr>
                <w:ilvl w:val="0"/>
                <w:numId w:val="2"/>
              </w:numPr>
              <w:ind w:left="126" w:hanging="180"/>
              <w:rPr>
                <w:b/>
                <w:color w:val="1F497D" w:themeColor="text2"/>
              </w:rPr>
            </w:pPr>
            <w:r w:rsidRPr="00584004">
              <w:rPr>
                <w:b/>
                <w:color w:val="1F497D" w:themeColor="text2"/>
              </w:rPr>
              <w:t xml:space="preserve">Committee has already started meeting for the production of the 2014-2015 catalog and 2013-2014 spring addendum has been published on the BC website. </w:t>
            </w:r>
          </w:p>
        </w:tc>
        <w:tc>
          <w:tcPr>
            <w:tcW w:w="3654" w:type="dxa"/>
          </w:tcPr>
          <w:p w:rsidR="00BF4BF8" w:rsidRPr="00584004" w:rsidRDefault="00C46822" w:rsidP="00BE3F4D">
            <w:pPr>
              <w:pStyle w:val="ListParagraph"/>
              <w:numPr>
                <w:ilvl w:val="0"/>
                <w:numId w:val="2"/>
              </w:numPr>
              <w:ind w:left="126" w:hanging="180"/>
              <w:rPr>
                <w:b/>
                <w:color w:val="1F497D" w:themeColor="text2"/>
              </w:rPr>
            </w:pPr>
            <w:r w:rsidRPr="00584004">
              <w:rPr>
                <w:b/>
                <w:color w:val="1F497D" w:themeColor="text2"/>
              </w:rPr>
              <w:t xml:space="preserve">Consider establishing a 4 year curriculum review cycle to ensure ongoing catalog accuracy. </w:t>
            </w:r>
          </w:p>
        </w:tc>
      </w:tr>
      <w:tr w:rsidR="00BF4BF8" w:rsidTr="00BF4BF8">
        <w:tc>
          <w:tcPr>
            <w:tcW w:w="3654" w:type="dxa"/>
          </w:tcPr>
          <w:p w:rsidR="00BF4BF8" w:rsidRDefault="00BF4BF8" w:rsidP="00FE0E53">
            <w:r w:rsidRPr="00FE0E53">
              <w:rPr>
                <w:b/>
              </w:rPr>
              <w:t>I.B.4.</w:t>
            </w:r>
            <w:r>
              <w:t xml:space="preserve"> The institution uses assessment data and organizes its institutional processes to support student learning and student achievement. </w:t>
            </w:r>
          </w:p>
        </w:tc>
        <w:tc>
          <w:tcPr>
            <w:tcW w:w="3654" w:type="dxa"/>
          </w:tcPr>
          <w:p w:rsidR="00BF4BF8" w:rsidRDefault="00C46822" w:rsidP="00BE3F4D">
            <w:pPr>
              <w:pStyle w:val="ListParagraph"/>
              <w:numPr>
                <w:ilvl w:val="0"/>
                <w:numId w:val="2"/>
              </w:numPr>
              <w:ind w:left="126" w:hanging="180"/>
            </w:pPr>
            <w:r>
              <w:t>NA</w:t>
            </w:r>
          </w:p>
        </w:tc>
        <w:tc>
          <w:tcPr>
            <w:tcW w:w="3654" w:type="dxa"/>
          </w:tcPr>
          <w:p w:rsidR="00BF4BF8" w:rsidRDefault="00C46822" w:rsidP="00BE3F4D">
            <w:pPr>
              <w:pStyle w:val="ListParagraph"/>
              <w:numPr>
                <w:ilvl w:val="0"/>
                <w:numId w:val="2"/>
              </w:numPr>
              <w:ind w:left="126" w:hanging="180"/>
            </w:pPr>
            <w:r>
              <w:t>NA</w:t>
            </w:r>
          </w:p>
        </w:tc>
        <w:tc>
          <w:tcPr>
            <w:tcW w:w="3654" w:type="dxa"/>
          </w:tcPr>
          <w:p w:rsidR="00BF4BF8" w:rsidRDefault="00C46822" w:rsidP="00BE3F4D">
            <w:pPr>
              <w:pStyle w:val="ListParagraph"/>
              <w:numPr>
                <w:ilvl w:val="0"/>
                <w:numId w:val="2"/>
              </w:numPr>
              <w:ind w:left="126" w:hanging="180"/>
            </w:pPr>
            <w:r>
              <w:t>NA</w:t>
            </w:r>
          </w:p>
        </w:tc>
      </w:tr>
    </w:tbl>
    <w:p w:rsidR="00FE0E53" w:rsidRDefault="00FE0E53" w:rsidP="00FE0E53">
      <w:pPr>
        <w:spacing w:after="0"/>
      </w:pPr>
    </w:p>
    <w:p w:rsidR="00FE0E53" w:rsidRDefault="00FE0E53" w:rsidP="00FE0E53">
      <w:pPr>
        <w:spacing w:after="0"/>
      </w:pPr>
    </w:p>
    <w:p w:rsidR="00FE0E53" w:rsidRPr="00BF4BF8" w:rsidRDefault="00FE0E53" w:rsidP="00BF4BF8">
      <w:pPr>
        <w:spacing w:after="0"/>
        <w:jc w:val="center"/>
        <w:rPr>
          <w:i/>
          <w:sz w:val="26"/>
          <w:szCs w:val="26"/>
          <w:u w:val="single"/>
        </w:rPr>
      </w:pPr>
      <w:r w:rsidRPr="00BF4BF8">
        <w:rPr>
          <w:i/>
          <w:sz w:val="26"/>
          <w:szCs w:val="26"/>
          <w:u w:val="single"/>
        </w:rPr>
        <w:t>Institutional Effectiveness</w:t>
      </w:r>
    </w:p>
    <w:p w:rsidR="002D4B9F" w:rsidRPr="002D4B9F" w:rsidRDefault="002D4B9F" w:rsidP="00FE0E53">
      <w:pPr>
        <w:spacing w:after="0"/>
        <w:rPr>
          <w:i/>
          <w:sz w:val="24"/>
          <w:szCs w:val="24"/>
          <w:u w:val="single"/>
        </w:rPr>
      </w:pPr>
    </w:p>
    <w:tbl>
      <w:tblPr>
        <w:tblStyle w:val="TableGrid"/>
        <w:tblW w:w="0" w:type="auto"/>
        <w:tblLook w:val="04A0" w:firstRow="1" w:lastRow="0" w:firstColumn="1" w:lastColumn="0" w:noHBand="0" w:noVBand="1"/>
      </w:tblPr>
      <w:tblGrid>
        <w:gridCol w:w="3654"/>
        <w:gridCol w:w="3654"/>
        <w:gridCol w:w="3654"/>
        <w:gridCol w:w="3654"/>
      </w:tblGrid>
      <w:tr w:rsidR="002D4B9F" w:rsidTr="00BE3F4D">
        <w:tc>
          <w:tcPr>
            <w:tcW w:w="3654" w:type="dxa"/>
            <w:shd w:val="clear" w:color="auto" w:fill="95B3D7" w:themeFill="accent1" w:themeFillTint="99"/>
          </w:tcPr>
          <w:p w:rsidR="002D4B9F" w:rsidRPr="00FE0E53" w:rsidRDefault="002D4B9F" w:rsidP="00BE3F4D">
            <w:pPr>
              <w:jc w:val="center"/>
              <w:rPr>
                <w:b/>
                <w:i/>
                <w:sz w:val="24"/>
                <w:szCs w:val="24"/>
              </w:rPr>
            </w:pPr>
            <w:r w:rsidRPr="00FE0E53">
              <w:rPr>
                <w:b/>
                <w:i/>
                <w:sz w:val="24"/>
                <w:szCs w:val="24"/>
              </w:rPr>
              <w:t>ACCJC Criteria</w:t>
            </w:r>
          </w:p>
        </w:tc>
        <w:tc>
          <w:tcPr>
            <w:tcW w:w="3654" w:type="dxa"/>
            <w:shd w:val="clear" w:color="auto" w:fill="95B3D7" w:themeFill="accent1" w:themeFillTint="99"/>
          </w:tcPr>
          <w:p w:rsidR="002D4B9F" w:rsidRPr="00FE0E53" w:rsidRDefault="002D4B9F" w:rsidP="00BE3F4D">
            <w:pPr>
              <w:jc w:val="center"/>
              <w:rPr>
                <w:b/>
                <w:i/>
                <w:sz w:val="24"/>
                <w:szCs w:val="24"/>
              </w:rPr>
            </w:pPr>
            <w:r w:rsidRPr="00FE0E53">
              <w:rPr>
                <w:b/>
                <w:i/>
                <w:sz w:val="24"/>
                <w:szCs w:val="24"/>
              </w:rPr>
              <w:t>Bakersfield College</w:t>
            </w:r>
            <w:r>
              <w:rPr>
                <w:b/>
                <w:i/>
                <w:sz w:val="24"/>
                <w:szCs w:val="24"/>
              </w:rPr>
              <w:t xml:space="preserve"> Strengths</w:t>
            </w:r>
          </w:p>
        </w:tc>
        <w:tc>
          <w:tcPr>
            <w:tcW w:w="3654" w:type="dxa"/>
            <w:shd w:val="clear" w:color="auto" w:fill="95B3D7" w:themeFill="accent1" w:themeFillTint="99"/>
          </w:tcPr>
          <w:p w:rsidR="002D4B9F" w:rsidRPr="00FE0E53" w:rsidRDefault="002D4B9F" w:rsidP="00BE3F4D">
            <w:pPr>
              <w:jc w:val="center"/>
              <w:rPr>
                <w:b/>
                <w:i/>
                <w:sz w:val="24"/>
                <w:szCs w:val="24"/>
              </w:rPr>
            </w:pPr>
            <w:r>
              <w:rPr>
                <w:b/>
                <w:i/>
                <w:sz w:val="24"/>
                <w:szCs w:val="24"/>
              </w:rPr>
              <w:t>Evidence and Documentation</w:t>
            </w:r>
          </w:p>
        </w:tc>
        <w:tc>
          <w:tcPr>
            <w:tcW w:w="3654" w:type="dxa"/>
            <w:shd w:val="clear" w:color="auto" w:fill="95B3D7" w:themeFill="accent1" w:themeFillTint="99"/>
          </w:tcPr>
          <w:p w:rsidR="002D4B9F" w:rsidRDefault="002D4B9F" w:rsidP="00BE3F4D">
            <w:pPr>
              <w:jc w:val="center"/>
            </w:pPr>
            <w:r>
              <w:rPr>
                <w:b/>
                <w:i/>
                <w:sz w:val="24"/>
                <w:szCs w:val="24"/>
              </w:rPr>
              <w:t>BC Are</w:t>
            </w:r>
            <w:r w:rsidR="00BF4BF8">
              <w:rPr>
                <w:b/>
                <w:i/>
                <w:sz w:val="24"/>
                <w:szCs w:val="24"/>
              </w:rPr>
              <w:t>a</w:t>
            </w:r>
            <w:r>
              <w:rPr>
                <w:b/>
                <w:i/>
                <w:sz w:val="24"/>
                <w:szCs w:val="24"/>
              </w:rPr>
              <w:t>s for Improvement</w:t>
            </w:r>
          </w:p>
        </w:tc>
      </w:tr>
      <w:tr w:rsidR="00BF4BF8" w:rsidTr="00BE3F4D">
        <w:tc>
          <w:tcPr>
            <w:tcW w:w="3654" w:type="dxa"/>
          </w:tcPr>
          <w:p w:rsidR="00BF4BF8" w:rsidRDefault="00BF4BF8" w:rsidP="002D4B9F">
            <w:r>
              <w:rPr>
                <w:b/>
              </w:rPr>
              <w:t>I.B.5</w:t>
            </w:r>
            <w:r w:rsidRPr="00FE0E53">
              <w:rPr>
                <w:b/>
              </w:rPr>
              <w:t>.</w:t>
            </w:r>
            <w:r>
              <w:t xml:space="preserve"> The institution assesses accomplishment of its mission </w:t>
            </w:r>
            <w:r>
              <w:lastRenderedPageBreak/>
              <w:t>through program review and evaluation of goals and objectives, student learning outcomes, and student achievement. Quantitative and qualitative data are disaggregated for analysis by program type and mode of delivery.</w:t>
            </w:r>
          </w:p>
        </w:tc>
        <w:tc>
          <w:tcPr>
            <w:tcW w:w="3654" w:type="dxa"/>
          </w:tcPr>
          <w:p w:rsidR="00BF4BF8" w:rsidRDefault="00C46822" w:rsidP="00BF4BF8">
            <w:pPr>
              <w:pStyle w:val="ListParagraph"/>
              <w:numPr>
                <w:ilvl w:val="0"/>
                <w:numId w:val="2"/>
              </w:numPr>
              <w:ind w:left="126" w:hanging="180"/>
            </w:pPr>
            <w:r>
              <w:lastRenderedPageBreak/>
              <w:t>NA</w:t>
            </w:r>
          </w:p>
        </w:tc>
        <w:tc>
          <w:tcPr>
            <w:tcW w:w="3654" w:type="dxa"/>
          </w:tcPr>
          <w:p w:rsidR="00BF4BF8" w:rsidRDefault="00C46822" w:rsidP="00BF4BF8">
            <w:pPr>
              <w:pStyle w:val="ListParagraph"/>
              <w:numPr>
                <w:ilvl w:val="0"/>
                <w:numId w:val="2"/>
              </w:numPr>
              <w:ind w:left="126" w:hanging="180"/>
            </w:pPr>
            <w:r>
              <w:t>NA</w:t>
            </w:r>
          </w:p>
        </w:tc>
        <w:tc>
          <w:tcPr>
            <w:tcW w:w="3654" w:type="dxa"/>
          </w:tcPr>
          <w:p w:rsidR="00BF4BF8" w:rsidRDefault="00C46822" w:rsidP="00BF4BF8">
            <w:pPr>
              <w:pStyle w:val="ListParagraph"/>
              <w:numPr>
                <w:ilvl w:val="0"/>
                <w:numId w:val="2"/>
              </w:numPr>
              <w:ind w:left="126" w:hanging="180"/>
            </w:pPr>
            <w:r>
              <w:t>NA</w:t>
            </w:r>
          </w:p>
        </w:tc>
      </w:tr>
      <w:tr w:rsidR="00BF4BF8" w:rsidTr="00BE3F4D">
        <w:tc>
          <w:tcPr>
            <w:tcW w:w="3654" w:type="dxa"/>
          </w:tcPr>
          <w:p w:rsidR="00BF4BF8" w:rsidRDefault="00BF4BF8" w:rsidP="002D4B9F">
            <w:r>
              <w:rPr>
                <w:b/>
              </w:rPr>
              <w:lastRenderedPageBreak/>
              <w:t>I.B.6</w:t>
            </w:r>
            <w:r w:rsidRPr="00FE0E53">
              <w:rPr>
                <w:b/>
              </w:rPr>
              <w:t>.</w:t>
            </w:r>
            <w:r>
              <w:t xml:space="preserve">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c>
        <w:tc>
          <w:tcPr>
            <w:tcW w:w="3654" w:type="dxa"/>
          </w:tcPr>
          <w:p w:rsidR="00BF4BF8" w:rsidRDefault="00C46822" w:rsidP="00BF4BF8">
            <w:pPr>
              <w:pStyle w:val="ListParagraph"/>
              <w:numPr>
                <w:ilvl w:val="0"/>
                <w:numId w:val="2"/>
              </w:numPr>
              <w:ind w:left="126" w:hanging="180"/>
            </w:pPr>
            <w:r>
              <w:t>NA</w:t>
            </w:r>
          </w:p>
        </w:tc>
        <w:tc>
          <w:tcPr>
            <w:tcW w:w="3654" w:type="dxa"/>
          </w:tcPr>
          <w:p w:rsidR="00BF4BF8" w:rsidRDefault="00C46822" w:rsidP="00BF4BF8">
            <w:pPr>
              <w:pStyle w:val="ListParagraph"/>
              <w:numPr>
                <w:ilvl w:val="0"/>
                <w:numId w:val="2"/>
              </w:numPr>
              <w:ind w:left="126" w:hanging="180"/>
            </w:pPr>
            <w:r>
              <w:t>NA</w:t>
            </w:r>
          </w:p>
        </w:tc>
        <w:tc>
          <w:tcPr>
            <w:tcW w:w="3654" w:type="dxa"/>
          </w:tcPr>
          <w:p w:rsidR="00BF4BF8" w:rsidRDefault="00C46822" w:rsidP="00BF4BF8">
            <w:pPr>
              <w:pStyle w:val="ListParagraph"/>
              <w:numPr>
                <w:ilvl w:val="0"/>
                <w:numId w:val="2"/>
              </w:numPr>
              <w:ind w:left="126" w:hanging="180"/>
            </w:pPr>
            <w:r>
              <w:t>NA</w:t>
            </w:r>
          </w:p>
        </w:tc>
      </w:tr>
      <w:tr w:rsidR="00BF4BF8" w:rsidTr="00BE3F4D">
        <w:tc>
          <w:tcPr>
            <w:tcW w:w="3654" w:type="dxa"/>
          </w:tcPr>
          <w:p w:rsidR="00BF4BF8" w:rsidRDefault="00BF4BF8" w:rsidP="002D4B9F">
            <w:r>
              <w:rPr>
                <w:b/>
              </w:rPr>
              <w:t>I.B.7</w:t>
            </w:r>
            <w:r w:rsidRPr="00FE0E53">
              <w:rPr>
                <w:b/>
              </w:rPr>
              <w:t>.</w:t>
            </w:r>
            <w:r>
              <w:t xml:space="preserve"> The institution regularly evaluates its policies and practices across all areas of the institution, including instructional programs, student and learning support services, resource management, and </w:t>
            </w:r>
            <w:r w:rsidRPr="00584004">
              <w:rPr>
                <w:b/>
                <w:color w:val="FF0000"/>
              </w:rPr>
              <w:t>governance processes to assure their effectiveness in supporting academic quality and accomplishment of mission.</w:t>
            </w:r>
          </w:p>
        </w:tc>
        <w:tc>
          <w:tcPr>
            <w:tcW w:w="3654" w:type="dxa"/>
          </w:tcPr>
          <w:p w:rsidR="00BF4BF8" w:rsidRPr="00A82981" w:rsidRDefault="00C46822" w:rsidP="00C46822">
            <w:pPr>
              <w:pStyle w:val="ListParagraph"/>
              <w:numPr>
                <w:ilvl w:val="0"/>
                <w:numId w:val="6"/>
              </w:numPr>
              <w:rPr>
                <w:b/>
                <w:color w:val="1F497D" w:themeColor="text2"/>
              </w:rPr>
            </w:pPr>
            <w:r w:rsidRPr="00A82981">
              <w:rPr>
                <w:b/>
                <w:color w:val="1F497D" w:themeColor="text2"/>
              </w:rPr>
              <w:t>Committe</w:t>
            </w:r>
            <w:r w:rsidR="00584004" w:rsidRPr="00A82981">
              <w:rPr>
                <w:b/>
                <w:color w:val="1F497D" w:themeColor="text2"/>
              </w:rPr>
              <w:t>e</w:t>
            </w:r>
            <w:r w:rsidRPr="00A82981">
              <w:rPr>
                <w:b/>
                <w:color w:val="1F497D" w:themeColor="text2"/>
              </w:rPr>
              <w:t xml:space="preserve"> s</w:t>
            </w:r>
            <w:r w:rsidR="00584004" w:rsidRPr="00A82981">
              <w:rPr>
                <w:b/>
                <w:color w:val="1F497D" w:themeColor="text2"/>
              </w:rPr>
              <w:t>ets goals annually.</w:t>
            </w:r>
          </w:p>
          <w:p w:rsidR="00C46822" w:rsidRPr="00A82981" w:rsidRDefault="00C46822" w:rsidP="00C46822">
            <w:pPr>
              <w:pStyle w:val="ListParagraph"/>
              <w:numPr>
                <w:ilvl w:val="0"/>
                <w:numId w:val="6"/>
              </w:numPr>
              <w:rPr>
                <w:b/>
                <w:color w:val="E36C0A" w:themeColor="accent6" w:themeShade="BF"/>
              </w:rPr>
            </w:pPr>
            <w:r w:rsidRPr="00A82981">
              <w:rPr>
                <w:b/>
                <w:color w:val="E36C0A" w:themeColor="accent6" w:themeShade="BF"/>
              </w:rPr>
              <w:t xml:space="preserve">Curriculum Committee goals </w:t>
            </w:r>
            <w:r w:rsidR="00584004" w:rsidRPr="00A82981">
              <w:rPr>
                <w:b/>
                <w:color w:val="E36C0A" w:themeColor="accent6" w:themeShade="BF"/>
              </w:rPr>
              <w:t xml:space="preserve">are mapped directly </w:t>
            </w:r>
            <w:r w:rsidRPr="00A82981">
              <w:rPr>
                <w:b/>
                <w:color w:val="E36C0A" w:themeColor="accent6" w:themeShade="BF"/>
              </w:rPr>
              <w:t xml:space="preserve">to the Academic Senate </w:t>
            </w:r>
            <w:r w:rsidR="00584004" w:rsidRPr="00A82981">
              <w:rPr>
                <w:b/>
                <w:color w:val="E36C0A" w:themeColor="accent6" w:themeShade="BF"/>
              </w:rPr>
              <w:t xml:space="preserve">goals and to </w:t>
            </w:r>
            <w:r w:rsidRPr="00A82981">
              <w:rPr>
                <w:b/>
                <w:color w:val="E36C0A" w:themeColor="accent6" w:themeShade="BF"/>
              </w:rPr>
              <w:t>the Strategic plan</w:t>
            </w:r>
            <w:r w:rsidR="00584004" w:rsidRPr="00A82981">
              <w:rPr>
                <w:b/>
                <w:color w:val="E36C0A" w:themeColor="accent6" w:themeShade="BF"/>
              </w:rPr>
              <w:t xml:space="preserve"> supporting the mission of the college</w:t>
            </w:r>
            <w:r w:rsidRPr="00A82981">
              <w:rPr>
                <w:b/>
                <w:color w:val="E36C0A" w:themeColor="accent6" w:themeShade="BF"/>
              </w:rPr>
              <w:t xml:space="preserve">. </w:t>
            </w:r>
          </w:p>
          <w:p w:rsidR="00C46822" w:rsidRPr="00A82981" w:rsidRDefault="00C46822" w:rsidP="00C46822">
            <w:pPr>
              <w:pStyle w:val="ListParagraph"/>
              <w:numPr>
                <w:ilvl w:val="0"/>
                <w:numId w:val="6"/>
              </w:numPr>
              <w:rPr>
                <w:b/>
              </w:rPr>
            </w:pPr>
            <w:r w:rsidRPr="00A82981">
              <w:rPr>
                <w:b/>
                <w:color w:val="4F6228" w:themeColor="accent3" w:themeShade="80"/>
              </w:rPr>
              <w:t>Committees report bi-month</w:t>
            </w:r>
            <w:r w:rsidR="00A5384A" w:rsidRPr="00A82981">
              <w:rPr>
                <w:b/>
                <w:color w:val="4F6228" w:themeColor="accent3" w:themeShade="80"/>
              </w:rPr>
              <w:t>l</w:t>
            </w:r>
            <w:r w:rsidRPr="00A82981">
              <w:rPr>
                <w:b/>
                <w:color w:val="4F6228" w:themeColor="accent3" w:themeShade="80"/>
              </w:rPr>
              <w:t>y to the Academic Senate representatives</w:t>
            </w:r>
            <w:r w:rsidR="00A82981" w:rsidRPr="00A82981">
              <w:rPr>
                <w:b/>
                <w:color w:val="4F6228" w:themeColor="accent3" w:themeShade="80"/>
              </w:rPr>
              <w:t>.</w:t>
            </w:r>
          </w:p>
        </w:tc>
        <w:tc>
          <w:tcPr>
            <w:tcW w:w="3654" w:type="dxa"/>
          </w:tcPr>
          <w:p w:rsidR="00BF4BF8" w:rsidRPr="00A82981" w:rsidRDefault="00584004" w:rsidP="00BF4BF8">
            <w:pPr>
              <w:pStyle w:val="ListParagraph"/>
              <w:numPr>
                <w:ilvl w:val="0"/>
                <w:numId w:val="2"/>
              </w:numPr>
              <w:ind w:left="126" w:hanging="180"/>
              <w:rPr>
                <w:b/>
                <w:color w:val="1F497D" w:themeColor="text2"/>
              </w:rPr>
            </w:pPr>
            <w:r w:rsidRPr="00A82981">
              <w:rPr>
                <w:b/>
                <w:color w:val="1F497D" w:themeColor="text2"/>
              </w:rPr>
              <w:t>Committee reports on the progress of the goals at the end of each semester (i.e. Co-Chair’s report) located on the Co-Chair’s committee webpage.</w:t>
            </w:r>
          </w:p>
          <w:p w:rsidR="00584004" w:rsidRPr="00A82981" w:rsidRDefault="00584004" w:rsidP="00BF4BF8">
            <w:pPr>
              <w:pStyle w:val="ListParagraph"/>
              <w:numPr>
                <w:ilvl w:val="0"/>
                <w:numId w:val="2"/>
              </w:numPr>
              <w:ind w:left="126" w:hanging="180"/>
              <w:rPr>
                <w:b/>
                <w:color w:val="E36C0A" w:themeColor="accent6" w:themeShade="BF"/>
              </w:rPr>
            </w:pPr>
            <w:r w:rsidRPr="00A82981">
              <w:rPr>
                <w:b/>
                <w:color w:val="E36C0A" w:themeColor="accent6" w:themeShade="BF"/>
              </w:rPr>
              <w:t>Mapped goals are on the Curriculum Committee webpage and listed on each meeting’s agenda.</w:t>
            </w:r>
          </w:p>
          <w:p w:rsidR="00A82981" w:rsidRPr="00A82981" w:rsidRDefault="00A82981" w:rsidP="00BF4BF8">
            <w:pPr>
              <w:pStyle w:val="ListParagraph"/>
              <w:numPr>
                <w:ilvl w:val="0"/>
                <w:numId w:val="2"/>
              </w:numPr>
              <w:ind w:left="126" w:hanging="180"/>
              <w:rPr>
                <w:b/>
              </w:rPr>
            </w:pPr>
            <w:r w:rsidRPr="00A82981">
              <w:rPr>
                <w:b/>
                <w:color w:val="4F6228" w:themeColor="accent3" w:themeShade="80"/>
              </w:rPr>
              <w:t>Documented in Academic Senate meeting minutes.</w:t>
            </w:r>
          </w:p>
        </w:tc>
        <w:tc>
          <w:tcPr>
            <w:tcW w:w="3654" w:type="dxa"/>
          </w:tcPr>
          <w:p w:rsidR="00BF4BF8" w:rsidRDefault="00BF4BF8" w:rsidP="00BF4BF8">
            <w:pPr>
              <w:pStyle w:val="ListParagraph"/>
              <w:numPr>
                <w:ilvl w:val="0"/>
                <w:numId w:val="2"/>
              </w:numPr>
              <w:ind w:left="126" w:hanging="180"/>
            </w:pPr>
          </w:p>
        </w:tc>
      </w:tr>
      <w:tr w:rsidR="00BF4BF8" w:rsidTr="00BE3F4D">
        <w:tc>
          <w:tcPr>
            <w:tcW w:w="3654" w:type="dxa"/>
          </w:tcPr>
          <w:p w:rsidR="00BF4BF8" w:rsidRDefault="00BF4BF8" w:rsidP="002D4B9F">
            <w:r>
              <w:rPr>
                <w:b/>
              </w:rPr>
              <w:t>I.B.8</w:t>
            </w:r>
            <w:r w:rsidRPr="00FE0E53">
              <w:rPr>
                <w:b/>
              </w:rPr>
              <w:t>.</w:t>
            </w:r>
            <w:r>
              <w:t xml:space="preserve"> The institution broadly communicates the results of all of its assessment and evaluation activities so that the institution has a shared understanding of its strengths and weaknesses and sets appropriate priorities.</w:t>
            </w:r>
          </w:p>
        </w:tc>
        <w:tc>
          <w:tcPr>
            <w:tcW w:w="3654" w:type="dxa"/>
          </w:tcPr>
          <w:p w:rsidR="00BF4BF8" w:rsidRDefault="00A5384A" w:rsidP="00BF4BF8">
            <w:pPr>
              <w:pStyle w:val="ListParagraph"/>
              <w:numPr>
                <w:ilvl w:val="0"/>
                <w:numId w:val="2"/>
              </w:numPr>
              <w:ind w:left="126" w:hanging="180"/>
            </w:pPr>
            <w:r>
              <w:t>NA</w:t>
            </w:r>
          </w:p>
        </w:tc>
        <w:tc>
          <w:tcPr>
            <w:tcW w:w="3654" w:type="dxa"/>
          </w:tcPr>
          <w:p w:rsidR="00BF4BF8" w:rsidRDefault="00A5384A" w:rsidP="00BF4BF8">
            <w:pPr>
              <w:pStyle w:val="ListParagraph"/>
              <w:numPr>
                <w:ilvl w:val="0"/>
                <w:numId w:val="2"/>
              </w:numPr>
              <w:ind w:left="126" w:hanging="180"/>
            </w:pPr>
            <w:r>
              <w:t>NA</w:t>
            </w:r>
          </w:p>
        </w:tc>
        <w:tc>
          <w:tcPr>
            <w:tcW w:w="3654" w:type="dxa"/>
          </w:tcPr>
          <w:p w:rsidR="00BF4BF8" w:rsidRDefault="00A5384A" w:rsidP="00BF4BF8">
            <w:pPr>
              <w:pStyle w:val="ListParagraph"/>
              <w:numPr>
                <w:ilvl w:val="0"/>
                <w:numId w:val="2"/>
              </w:numPr>
              <w:ind w:left="126" w:hanging="180"/>
            </w:pPr>
            <w:r>
              <w:t>NA</w:t>
            </w:r>
          </w:p>
        </w:tc>
      </w:tr>
      <w:tr w:rsidR="00BF4BF8" w:rsidTr="00BE3F4D">
        <w:tc>
          <w:tcPr>
            <w:tcW w:w="3654" w:type="dxa"/>
          </w:tcPr>
          <w:p w:rsidR="00BF4BF8" w:rsidRPr="002D4B9F" w:rsidRDefault="00BF4BF8" w:rsidP="00BE3F4D">
            <w:r>
              <w:rPr>
                <w:b/>
              </w:rPr>
              <w:t>I.B.9.</w:t>
            </w:r>
            <w:r>
              <w:t xml:space="preserve"> The institution engages in continuous, broad based, systematic evaluation and planning. The institution </w:t>
            </w:r>
            <w:r w:rsidRPr="00A82981">
              <w:rPr>
                <w:b/>
                <w:color w:val="FF0000"/>
              </w:rPr>
              <w:t xml:space="preserve">integrates program </w:t>
            </w:r>
            <w:r w:rsidRPr="00A82981">
              <w:rPr>
                <w:b/>
                <w:color w:val="FF0000"/>
              </w:rPr>
              <w:lastRenderedPageBreak/>
              <w:t>review, planning, and resource allocation into a comprehensive process that leads to accomplishment of its mission and improvement of institutional effectiveness and academic quality.</w:t>
            </w:r>
            <w:r w:rsidRPr="00A82981">
              <w:rPr>
                <w:color w:val="FF0000"/>
              </w:rPr>
              <w:t xml:space="preserve"> </w:t>
            </w:r>
            <w:r>
              <w:t>Institutional planning addresses short- and long-range needs for educational programs and services and for human, physical, technology, and financial resources. (ER 19)</w:t>
            </w:r>
          </w:p>
        </w:tc>
        <w:tc>
          <w:tcPr>
            <w:tcW w:w="3654" w:type="dxa"/>
          </w:tcPr>
          <w:p w:rsidR="008D176D" w:rsidRPr="00222691" w:rsidRDefault="008D176D" w:rsidP="008D176D">
            <w:pPr>
              <w:pStyle w:val="ListParagraph"/>
              <w:numPr>
                <w:ilvl w:val="0"/>
                <w:numId w:val="2"/>
              </w:numPr>
              <w:rPr>
                <w:b/>
                <w:color w:val="1F497D" w:themeColor="text2"/>
              </w:rPr>
            </w:pPr>
            <w:r w:rsidRPr="00222691">
              <w:rPr>
                <w:b/>
                <w:color w:val="1F497D" w:themeColor="text2"/>
              </w:rPr>
              <w:lastRenderedPageBreak/>
              <w:t xml:space="preserve">Curriculum Co-Chair’s </w:t>
            </w:r>
            <w:proofErr w:type="gramStart"/>
            <w:r w:rsidRPr="00222691">
              <w:rPr>
                <w:b/>
                <w:color w:val="1F497D" w:themeColor="text2"/>
              </w:rPr>
              <w:t>serve</w:t>
            </w:r>
            <w:proofErr w:type="gramEnd"/>
            <w:r w:rsidRPr="00222691">
              <w:rPr>
                <w:b/>
                <w:color w:val="1F497D" w:themeColor="text2"/>
              </w:rPr>
              <w:t xml:space="preserve"> on the Program Review Committee and have worked collaboratively to close the </w:t>
            </w:r>
            <w:r w:rsidRPr="00222691">
              <w:rPr>
                <w:b/>
                <w:color w:val="1F497D" w:themeColor="text2"/>
              </w:rPr>
              <w:lastRenderedPageBreak/>
              <w:t>loop in evaluating program vitality.</w:t>
            </w:r>
          </w:p>
          <w:p w:rsidR="00A36FC5" w:rsidRPr="00222691" w:rsidRDefault="00A36FC5" w:rsidP="00A36FC5">
            <w:pPr>
              <w:pStyle w:val="ListParagraph"/>
              <w:numPr>
                <w:ilvl w:val="0"/>
                <w:numId w:val="2"/>
              </w:numPr>
              <w:rPr>
                <w:b/>
                <w:color w:val="E36C0A" w:themeColor="accent6" w:themeShade="BF"/>
              </w:rPr>
            </w:pPr>
            <w:r w:rsidRPr="00222691">
              <w:rPr>
                <w:b/>
                <w:color w:val="E36C0A" w:themeColor="accent6" w:themeShade="BF"/>
              </w:rPr>
              <w:t xml:space="preserve">Work closely with the Program Review Committee and the Assessment Committee to determine strengths and </w:t>
            </w:r>
            <w:r w:rsidR="00222691" w:rsidRPr="00222691">
              <w:rPr>
                <w:b/>
                <w:color w:val="E36C0A" w:themeColor="accent6" w:themeShade="BF"/>
              </w:rPr>
              <w:t>weaknesses</w:t>
            </w:r>
            <w:r w:rsidRPr="00222691">
              <w:rPr>
                <w:b/>
                <w:color w:val="E36C0A" w:themeColor="accent6" w:themeShade="BF"/>
              </w:rPr>
              <w:t xml:space="preserve"> of the curriculum implementation and review process.</w:t>
            </w:r>
          </w:p>
          <w:p w:rsidR="008D176D" w:rsidRPr="00222691" w:rsidRDefault="008D176D" w:rsidP="008D176D">
            <w:pPr>
              <w:pStyle w:val="ListParagraph"/>
              <w:numPr>
                <w:ilvl w:val="0"/>
                <w:numId w:val="2"/>
              </w:numPr>
              <w:rPr>
                <w:b/>
                <w:color w:val="00B050"/>
              </w:rPr>
            </w:pPr>
            <w:r w:rsidRPr="00222691">
              <w:rPr>
                <w:b/>
                <w:color w:val="00B050"/>
              </w:rPr>
              <w:t>Creation of 18 ADTs.</w:t>
            </w:r>
          </w:p>
          <w:p w:rsidR="008D176D" w:rsidRPr="00222691" w:rsidRDefault="008D176D" w:rsidP="008D176D">
            <w:pPr>
              <w:pStyle w:val="ListParagraph"/>
              <w:numPr>
                <w:ilvl w:val="0"/>
                <w:numId w:val="2"/>
              </w:numPr>
              <w:rPr>
                <w:b/>
                <w:color w:val="5F497A" w:themeColor="accent4" w:themeShade="BF"/>
              </w:rPr>
            </w:pPr>
            <w:r w:rsidRPr="00222691">
              <w:rPr>
                <w:b/>
                <w:color w:val="5F497A" w:themeColor="accent4" w:themeShade="BF"/>
              </w:rPr>
              <w:t>Implementation of procedural policy for all new programs to submit a Student Education Plan Pathway</w:t>
            </w:r>
            <w:r w:rsidR="00222691" w:rsidRPr="00222691">
              <w:rPr>
                <w:b/>
                <w:color w:val="5F497A" w:themeColor="accent4" w:themeShade="BF"/>
              </w:rPr>
              <w:t xml:space="preserve"> (SEP) to create clear pathways for students when registering. </w:t>
            </w:r>
          </w:p>
          <w:p w:rsidR="009A1733" w:rsidRDefault="009A1733" w:rsidP="00BF4BF8">
            <w:pPr>
              <w:ind w:left="-54"/>
            </w:pPr>
          </w:p>
          <w:p w:rsidR="009A1733" w:rsidRDefault="009A1733" w:rsidP="00BF4BF8">
            <w:pPr>
              <w:ind w:left="-54"/>
            </w:pPr>
          </w:p>
        </w:tc>
        <w:tc>
          <w:tcPr>
            <w:tcW w:w="3654" w:type="dxa"/>
          </w:tcPr>
          <w:p w:rsidR="008D176D" w:rsidRPr="00222691" w:rsidRDefault="00A36FC5" w:rsidP="00BF4BF8">
            <w:pPr>
              <w:pStyle w:val="ListParagraph"/>
              <w:numPr>
                <w:ilvl w:val="0"/>
                <w:numId w:val="2"/>
              </w:numPr>
              <w:ind w:left="126" w:hanging="180"/>
              <w:rPr>
                <w:b/>
                <w:color w:val="1F497D" w:themeColor="text2"/>
              </w:rPr>
            </w:pPr>
            <w:r w:rsidRPr="00222691">
              <w:rPr>
                <w:b/>
                <w:color w:val="1F497D" w:themeColor="text2"/>
              </w:rPr>
              <w:lastRenderedPageBreak/>
              <w:t xml:space="preserve">New Program Review form established and encourages consistency between CurricUNET, </w:t>
            </w:r>
            <w:r w:rsidR="008D176D" w:rsidRPr="00222691">
              <w:rPr>
                <w:b/>
                <w:color w:val="1F497D" w:themeColor="text2"/>
              </w:rPr>
              <w:t>Catalog and the Chancellor’s office.</w:t>
            </w:r>
            <w:r w:rsidRPr="00222691">
              <w:rPr>
                <w:b/>
                <w:color w:val="1F497D" w:themeColor="text2"/>
              </w:rPr>
              <w:t xml:space="preserve"> </w:t>
            </w:r>
          </w:p>
          <w:p w:rsidR="008D176D" w:rsidRPr="00222691" w:rsidRDefault="00A36FC5" w:rsidP="00BF4BF8">
            <w:pPr>
              <w:pStyle w:val="ListParagraph"/>
              <w:numPr>
                <w:ilvl w:val="0"/>
                <w:numId w:val="2"/>
              </w:numPr>
              <w:ind w:left="126" w:hanging="180"/>
              <w:rPr>
                <w:b/>
                <w:color w:val="E36C0A" w:themeColor="accent6" w:themeShade="BF"/>
              </w:rPr>
            </w:pPr>
            <w:r w:rsidRPr="00222691">
              <w:rPr>
                <w:b/>
                <w:color w:val="E36C0A" w:themeColor="accent6" w:themeShade="BF"/>
              </w:rPr>
              <w:lastRenderedPageBreak/>
              <w:t xml:space="preserve">The Assessment Committee works closely with curriculum efforts for the approval of PLO and </w:t>
            </w:r>
            <w:r w:rsidR="008D176D" w:rsidRPr="00222691">
              <w:rPr>
                <w:b/>
                <w:color w:val="E36C0A" w:themeColor="accent6" w:themeShade="BF"/>
              </w:rPr>
              <w:t>SLO components of curriculum.</w:t>
            </w:r>
          </w:p>
          <w:p w:rsidR="00BF4BF8" w:rsidRPr="00222691" w:rsidRDefault="008D176D" w:rsidP="00BF4BF8">
            <w:pPr>
              <w:pStyle w:val="ListParagraph"/>
              <w:numPr>
                <w:ilvl w:val="0"/>
                <w:numId w:val="2"/>
              </w:numPr>
              <w:ind w:left="126" w:hanging="180"/>
              <w:rPr>
                <w:b/>
              </w:rPr>
            </w:pPr>
            <w:r>
              <w:t xml:space="preserve"> </w:t>
            </w:r>
            <w:r w:rsidRPr="00222691">
              <w:rPr>
                <w:b/>
                <w:color w:val="E36C0A" w:themeColor="accent6" w:themeShade="BF"/>
              </w:rPr>
              <w:t>C</w:t>
            </w:r>
            <w:r w:rsidR="00A36FC5" w:rsidRPr="00222691">
              <w:rPr>
                <w:b/>
                <w:color w:val="E36C0A" w:themeColor="accent6" w:themeShade="BF"/>
              </w:rPr>
              <w:t>urriculum and assessment training was combined and well attended.</w:t>
            </w:r>
          </w:p>
          <w:p w:rsidR="008D176D" w:rsidRPr="00222691" w:rsidRDefault="008D176D" w:rsidP="00BF4BF8">
            <w:pPr>
              <w:pStyle w:val="ListParagraph"/>
              <w:numPr>
                <w:ilvl w:val="0"/>
                <w:numId w:val="2"/>
              </w:numPr>
              <w:ind w:left="126" w:hanging="180"/>
              <w:rPr>
                <w:b/>
                <w:color w:val="E36C0A" w:themeColor="accent6" w:themeShade="BF"/>
              </w:rPr>
            </w:pPr>
            <w:r w:rsidRPr="00222691">
              <w:rPr>
                <w:b/>
                <w:color w:val="E36C0A" w:themeColor="accent6" w:themeShade="BF"/>
              </w:rPr>
              <w:t xml:space="preserve">Expanded committee membership on the Curriculum, Assessment, and Program Review committees to reach a wider audience to increase campus-wide awareness and training for improvement and on-going institutional effectiveness. </w:t>
            </w:r>
          </w:p>
          <w:p w:rsidR="00A36FC5" w:rsidRPr="00222691" w:rsidRDefault="00222691" w:rsidP="00222691">
            <w:pPr>
              <w:pStyle w:val="ListParagraph"/>
              <w:numPr>
                <w:ilvl w:val="0"/>
                <w:numId w:val="2"/>
              </w:numPr>
              <w:rPr>
                <w:b/>
                <w:color w:val="00B050"/>
              </w:rPr>
            </w:pPr>
            <w:r w:rsidRPr="00222691">
              <w:rPr>
                <w:b/>
                <w:color w:val="00B050"/>
              </w:rPr>
              <w:t>Currently, there are 17 state approved ADTs that have been published in the spring catalog addendum.</w:t>
            </w:r>
          </w:p>
          <w:p w:rsidR="00222691" w:rsidRPr="00222691" w:rsidRDefault="00222691" w:rsidP="00222691">
            <w:pPr>
              <w:pStyle w:val="ListParagraph"/>
              <w:numPr>
                <w:ilvl w:val="0"/>
                <w:numId w:val="2"/>
              </w:numPr>
              <w:rPr>
                <w:b/>
              </w:rPr>
            </w:pPr>
            <w:r w:rsidRPr="00222691">
              <w:rPr>
                <w:b/>
                <w:color w:val="5F497A" w:themeColor="accent4" w:themeShade="BF"/>
              </w:rPr>
              <w:t xml:space="preserve">SEPs are submitted with each new program and then forwarded to the </w:t>
            </w:r>
            <w:proofErr w:type="spellStart"/>
            <w:r w:rsidRPr="00222691">
              <w:rPr>
                <w:b/>
                <w:color w:val="5F497A" w:themeColor="accent4" w:themeShade="BF"/>
              </w:rPr>
              <w:t>Mydegre</w:t>
            </w:r>
            <w:r>
              <w:rPr>
                <w:b/>
                <w:color w:val="5F497A" w:themeColor="accent4" w:themeShade="BF"/>
              </w:rPr>
              <w:t>eworks</w:t>
            </w:r>
            <w:proofErr w:type="spellEnd"/>
            <w:r>
              <w:rPr>
                <w:b/>
                <w:color w:val="5F497A" w:themeColor="accent4" w:themeShade="BF"/>
              </w:rPr>
              <w:t xml:space="preserve"> coordinator for scribing for student use.</w:t>
            </w:r>
          </w:p>
        </w:tc>
        <w:tc>
          <w:tcPr>
            <w:tcW w:w="3654" w:type="dxa"/>
          </w:tcPr>
          <w:p w:rsidR="00BF4BF8" w:rsidRDefault="00BF4BF8" w:rsidP="00BF4BF8">
            <w:pPr>
              <w:pStyle w:val="ListParagraph"/>
              <w:numPr>
                <w:ilvl w:val="0"/>
                <w:numId w:val="2"/>
              </w:numPr>
              <w:ind w:left="126" w:hanging="180"/>
            </w:pPr>
          </w:p>
        </w:tc>
      </w:tr>
    </w:tbl>
    <w:p w:rsidR="00FE0E53" w:rsidRDefault="00FE0E53" w:rsidP="00FE0E53">
      <w:pPr>
        <w:spacing w:after="0"/>
      </w:pPr>
    </w:p>
    <w:p w:rsidR="00FE0E53" w:rsidRDefault="00FE0E53" w:rsidP="00FE0E53">
      <w:pPr>
        <w:spacing w:after="0"/>
      </w:pPr>
    </w:p>
    <w:sectPr w:rsidR="00FE0E53" w:rsidSect="00FE0E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1CB"/>
    <w:multiLevelType w:val="hybridMultilevel"/>
    <w:tmpl w:val="AFF6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955B20"/>
    <w:multiLevelType w:val="hybridMultilevel"/>
    <w:tmpl w:val="750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A0226"/>
    <w:multiLevelType w:val="hybridMultilevel"/>
    <w:tmpl w:val="3E04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F01DC"/>
    <w:multiLevelType w:val="hybridMultilevel"/>
    <w:tmpl w:val="B4FE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E4594"/>
    <w:multiLevelType w:val="hybridMultilevel"/>
    <w:tmpl w:val="1A7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E35E0"/>
    <w:multiLevelType w:val="hybridMultilevel"/>
    <w:tmpl w:val="16B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E71A9"/>
    <w:multiLevelType w:val="hybridMultilevel"/>
    <w:tmpl w:val="820E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53"/>
    <w:rsid w:val="000639BA"/>
    <w:rsid w:val="00222691"/>
    <w:rsid w:val="002D4B9F"/>
    <w:rsid w:val="003B5605"/>
    <w:rsid w:val="00584004"/>
    <w:rsid w:val="006322E6"/>
    <w:rsid w:val="008D176D"/>
    <w:rsid w:val="00943898"/>
    <w:rsid w:val="009A1733"/>
    <w:rsid w:val="00A36FC5"/>
    <w:rsid w:val="00A5384A"/>
    <w:rsid w:val="00A82981"/>
    <w:rsid w:val="00BF4BF8"/>
    <w:rsid w:val="00C46822"/>
    <w:rsid w:val="00C56C09"/>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7266">
      <w:bodyDiv w:val="1"/>
      <w:marLeft w:val="0"/>
      <w:marRight w:val="0"/>
      <w:marTop w:val="0"/>
      <w:marBottom w:val="0"/>
      <w:divBdr>
        <w:top w:val="none" w:sz="0" w:space="0" w:color="auto"/>
        <w:left w:val="none" w:sz="0" w:space="0" w:color="auto"/>
        <w:bottom w:val="none" w:sz="0" w:space="0" w:color="auto"/>
        <w:right w:val="none" w:sz="0" w:space="0" w:color="auto"/>
      </w:divBdr>
    </w:div>
    <w:div w:id="698967748">
      <w:bodyDiv w:val="1"/>
      <w:marLeft w:val="0"/>
      <w:marRight w:val="0"/>
      <w:marTop w:val="0"/>
      <w:marBottom w:val="0"/>
      <w:divBdr>
        <w:top w:val="none" w:sz="0" w:space="0" w:color="auto"/>
        <w:left w:val="none" w:sz="0" w:space="0" w:color="auto"/>
        <w:bottom w:val="none" w:sz="0" w:space="0" w:color="auto"/>
        <w:right w:val="none" w:sz="0" w:space="0" w:color="auto"/>
      </w:divBdr>
    </w:div>
    <w:div w:id="1642417880">
      <w:bodyDiv w:val="1"/>
      <w:marLeft w:val="0"/>
      <w:marRight w:val="0"/>
      <w:marTop w:val="0"/>
      <w:marBottom w:val="0"/>
      <w:divBdr>
        <w:top w:val="none" w:sz="0" w:space="0" w:color="auto"/>
        <w:left w:val="none" w:sz="0" w:space="0" w:color="auto"/>
        <w:bottom w:val="none" w:sz="0" w:space="0" w:color="auto"/>
        <w:right w:val="none" w:sz="0" w:space="0" w:color="auto"/>
      </w:divBdr>
    </w:div>
    <w:div w:id="2074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imguser</cp:lastModifiedBy>
  <cp:revision>2</cp:revision>
  <dcterms:created xsi:type="dcterms:W3CDTF">2014-09-23T16:13:00Z</dcterms:created>
  <dcterms:modified xsi:type="dcterms:W3CDTF">2014-09-23T16:13:00Z</dcterms:modified>
</cp:coreProperties>
</file>