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firstLine="0"/>
        <w:rPr>
          <w:b w:val="1"/>
          <w:sz w:val="28"/>
          <w:szCs w:val="28"/>
          <w:u w:val="single"/>
        </w:rPr>
      </w:pPr>
      <w:r w:rsidDel="00000000" w:rsidR="00000000" w:rsidRPr="00000000">
        <w:rPr>
          <w:b w:val="1"/>
          <w:i w:val="1"/>
          <w:rtl w:val="0"/>
        </w:rPr>
        <w:tab/>
        <w:tab/>
        <w:tab/>
        <w:tab/>
      </w:r>
      <w:r w:rsidDel="00000000" w:rsidR="00000000" w:rsidRPr="00000000">
        <w:rPr>
          <w:b w:val="1"/>
          <w:sz w:val="28"/>
          <w:szCs w:val="28"/>
          <w:u w:val="single"/>
          <w:rtl w:val="0"/>
        </w:rPr>
        <w:t xml:space="preserve">More Mental Health Funding Resolution </w:t>
      </w:r>
    </w:p>
    <w:p w:rsidR="00000000" w:rsidDel="00000000" w:rsidP="00000000" w:rsidRDefault="00000000" w:rsidRPr="00000000" w14:paraId="00000001">
      <w:pPr>
        <w:spacing w:line="276" w:lineRule="auto"/>
        <w:ind w:left="2160" w:firstLine="0"/>
        <w:rPr/>
      </w:pPr>
      <w:r w:rsidDel="00000000" w:rsidR="00000000" w:rsidRPr="00000000">
        <w:rPr>
          <w:b w:val="1"/>
          <w:rtl w:val="0"/>
        </w:rPr>
        <w:t xml:space="preserve">Authors</w:t>
      </w:r>
      <w:r w:rsidDel="00000000" w:rsidR="00000000" w:rsidRPr="00000000">
        <w:rPr>
          <w:rtl w:val="0"/>
        </w:rPr>
        <w:t xml:space="preserve">: Mustafa Barraj</w:t>
      </w:r>
    </w:p>
    <w:p w:rsidR="00000000" w:rsidDel="00000000" w:rsidP="00000000" w:rsidRDefault="00000000" w:rsidRPr="00000000" w14:paraId="00000002">
      <w:pPr>
        <w:spacing w:line="276" w:lineRule="auto"/>
        <w:ind w:left="2160" w:firstLine="0"/>
        <w:rPr/>
      </w:pPr>
      <w:r w:rsidDel="00000000" w:rsidR="00000000" w:rsidRPr="00000000">
        <w:rPr>
          <w:b w:val="1"/>
          <w:rtl w:val="0"/>
        </w:rPr>
        <w:t xml:space="preserve">Sponsor</w:t>
      </w:r>
      <w:r w:rsidDel="00000000" w:rsidR="00000000" w:rsidRPr="00000000">
        <w:rPr>
          <w:rtl w:val="0"/>
        </w:rPr>
        <w:t xml:space="preserve">: Bakersfield College </w:t>
      </w:r>
    </w:p>
    <w:p w:rsidR="00000000" w:rsidDel="00000000" w:rsidP="00000000" w:rsidRDefault="00000000" w:rsidRPr="00000000" w14:paraId="00000003">
      <w:pPr>
        <w:spacing w:line="276" w:lineRule="auto"/>
        <w:ind w:left="2160" w:firstLine="0"/>
        <w:rPr/>
      </w:pPr>
      <w:r w:rsidDel="00000000" w:rsidR="00000000" w:rsidRPr="00000000">
        <w:rPr>
          <w:rtl w:val="0"/>
        </w:rPr>
      </w:r>
    </w:p>
    <w:p w:rsidR="00000000" w:rsidDel="00000000" w:rsidP="00000000" w:rsidRDefault="00000000" w:rsidRPr="00000000" w14:paraId="00000004">
      <w:pPr>
        <w:spacing w:line="276" w:lineRule="auto"/>
        <w:ind w:left="0" w:firstLine="0"/>
        <w:rPr/>
      </w:pPr>
      <w:r w:rsidDel="00000000" w:rsidR="00000000" w:rsidRPr="00000000">
        <w:rPr>
          <w:b w:val="1"/>
          <w:i w:val="1"/>
          <w:rtl w:val="0"/>
        </w:rPr>
        <w:t xml:space="preserve">WHEREAS</w:t>
      </w:r>
      <w:r w:rsidDel="00000000" w:rsidR="00000000" w:rsidRPr="00000000">
        <w:rPr>
          <w:rtl w:val="0"/>
        </w:rPr>
        <w:t xml:space="preserve">, </w:t>
      </w:r>
      <w:r w:rsidDel="00000000" w:rsidR="00000000" w:rsidRPr="00000000">
        <w:rPr>
          <w:rtl w:val="0"/>
        </w:rPr>
        <w:t xml:space="preserve">approximately 1 in 5 adults in the U.S.—43.8 million, or 18.5%—experiences mental illness in a given year (NHMI, 2015); </w:t>
      </w:r>
    </w:p>
    <w:p w:rsidR="00000000" w:rsidDel="00000000" w:rsidP="00000000" w:rsidRDefault="00000000" w:rsidRPr="00000000" w14:paraId="00000005">
      <w:pPr>
        <w:spacing w:line="276" w:lineRule="auto"/>
        <w:ind w:left="0" w:firstLine="0"/>
        <w:rPr/>
      </w:pPr>
      <w:r w:rsidDel="00000000" w:rsidR="00000000" w:rsidRPr="00000000">
        <w:rPr>
          <w:rtl w:val="0"/>
        </w:rPr>
      </w:r>
    </w:p>
    <w:p w:rsidR="00000000" w:rsidDel="00000000" w:rsidP="00000000" w:rsidRDefault="00000000" w:rsidRPr="00000000" w14:paraId="00000006">
      <w:pPr>
        <w:spacing w:line="276" w:lineRule="auto"/>
        <w:ind w:firstLine="0"/>
        <w:rPr>
          <w:highlight w:val="white"/>
        </w:rPr>
      </w:pPr>
      <w:r w:rsidDel="00000000" w:rsidR="00000000" w:rsidRPr="00000000">
        <w:rPr>
          <w:b w:val="1"/>
          <w:i w:val="1"/>
          <w:rtl w:val="0"/>
        </w:rPr>
        <w:t xml:space="preserve">WHEREAS​</w:t>
      </w:r>
      <w:r w:rsidDel="00000000" w:rsidR="00000000" w:rsidRPr="00000000">
        <w:rPr>
          <w:rtl w:val="0"/>
        </w:rPr>
        <w:t xml:space="preserve">,  one in four students have a diagnosable mental illness and 40% do not seek help while 50% have severe anxiety which later effects their educational endeavors (</w:t>
      </w:r>
      <w:r w:rsidDel="00000000" w:rsidR="00000000" w:rsidRPr="00000000">
        <w:rPr>
          <w:highlight w:val="white"/>
          <w:rtl w:val="0"/>
        </w:rPr>
        <w:t xml:space="preserve">NHMI, 2015); </w:t>
      </w:r>
    </w:p>
    <w:p w:rsidR="00000000" w:rsidDel="00000000" w:rsidP="00000000" w:rsidRDefault="00000000" w:rsidRPr="00000000" w14:paraId="00000007">
      <w:pPr>
        <w:spacing w:line="276" w:lineRule="auto"/>
        <w:ind w:firstLine="0"/>
        <w:rPr>
          <w:highlight w:val="white"/>
        </w:rPr>
      </w:pPr>
      <w:r w:rsidDel="00000000" w:rsidR="00000000" w:rsidRPr="00000000">
        <w:rPr>
          <w:rtl w:val="0"/>
        </w:rPr>
      </w:r>
    </w:p>
    <w:p w:rsidR="00000000" w:rsidDel="00000000" w:rsidP="00000000" w:rsidRDefault="00000000" w:rsidRPr="00000000" w14:paraId="00000008">
      <w:pPr>
        <w:spacing w:line="276" w:lineRule="auto"/>
        <w:ind w:firstLine="0"/>
        <w:rPr/>
      </w:pPr>
      <w:r w:rsidDel="00000000" w:rsidR="00000000" w:rsidRPr="00000000">
        <w:rPr>
          <w:b w:val="1"/>
          <w:i w:val="1"/>
          <w:rtl w:val="0"/>
        </w:rPr>
        <w:t xml:space="preserve">WHEREAS</w:t>
      </w:r>
      <w:r w:rsidDel="00000000" w:rsidR="00000000" w:rsidRPr="00000000">
        <w:rPr>
          <w:rtl w:val="0"/>
        </w:rPr>
        <w:t xml:space="preserve">,  </w:t>
      </w:r>
      <w:r w:rsidDel="00000000" w:rsidR="00000000" w:rsidRPr="00000000">
        <w:rPr>
          <w:rtl w:val="0"/>
        </w:rPr>
        <w:t xml:space="preserve">Young adults aged 18-25 years had the highest prevalence of mental illness (22.1%) compared to adults aged 26-49 years (21.1%) and aged 50 and older (14.5%)  (</w:t>
      </w:r>
      <w:r w:rsidDel="00000000" w:rsidR="00000000" w:rsidRPr="00000000">
        <w:rPr>
          <w:highlight w:val="white"/>
          <w:rtl w:val="0"/>
        </w:rPr>
        <w:t xml:space="preserve">NHMI, 2015); </w:t>
      </w:r>
      <w:r w:rsidDel="00000000" w:rsidR="00000000" w:rsidRPr="00000000">
        <w:rPr>
          <w:rtl w:val="0"/>
        </w:rPr>
      </w:r>
    </w:p>
    <w:p w:rsidR="00000000" w:rsidDel="00000000" w:rsidP="00000000" w:rsidRDefault="00000000" w:rsidRPr="00000000" w14:paraId="00000009">
      <w:pPr>
        <w:spacing w:line="276" w:lineRule="auto"/>
        <w:ind w:firstLine="0"/>
        <w:rPr/>
      </w:pPr>
      <w:r w:rsidDel="00000000" w:rsidR="00000000" w:rsidRPr="00000000">
        <w:rPr>
          <w:rtl w:val="0"/>
        </w:rPr>
      </w:r>
    </w:p>
    <w:p w:rsidR="00000000" w:rsidDel="00000000" w:rsidP="00000000" w:rsidRDefault="00000000" w:rsidRPr="00000000" w14:paraId="0000000A">
      <w:pPr>
        <w:spacing w:line="276" w:lineRule="auto"/>
        <w:ind w:firstLine="0"/>
        <w:rPr>
          <w:highlight w:val="white"/>
        </w:rPr>
      </w:pPr>
      <w:r w:rsidDel="00000000" w:rsidR="00000000" w:rsidRPr="00000000">
        <w:rPr>
          <w:b w:val="1"/>
          <w:i w:val="1"/>
          <w:rtl w:val="0"/>
        </w:rPr>
        <w:t xml:space="preserve">WHEREAS​</w:t>
      </w:r>
      <w:r w:rsidDel="00000000" w:rsidR="00000000" w:rsidRPr="00000000">
        <w:rPr>
          <w:rtl w:val="0"/>
        </w:rPr>
        <w:t xml:space="preserve">, </w:t>
      </w:r>
      <w:r w:rsidDel="00000000" w:rsidR="00000000" w:rsidRPr="00000000">
        <w:rPr>
          <w:color w:val="212121"/>
          <w:highlight w:val="white"/>
          <w:rtl w:val="0"/>
        </w:rPr>
        <w:t xml:space="preserve">t</w:t>
      </w:r>
      <w:r w:rsidDel="00000000" w:rsidR="00000000" w:rsidRPr="00000000">
        <w:rPr>
          <w:color w:val="212121"/>
          <w:highlight w:val="white"/>
          <w:rtl w:val="0"/>
        </w:rPr>
        <w:t xml:space="preserve">he University of California system follows the International Association of Counseling Services (IACS) recommendations formed off of the National Survey of Counseling Center Directors which recommends setting the ratio of mental health professionals to students as 1 to 1,600 (IACS 2013, AUCCCD 2016</w:t>
      </w:r>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highlight w:val="white"/>
          <w:rtl w:val="0"/>
        </w:rPr>
        <w:t xml:space="preserve">;</w:t>
      </w:r>
    </w:p>
    <w:p w:rsidR="00000000" w:rsidDel="00000000" w:rsidP="00000000" w:rsidRDefault="00000000" w:rsidRPr="00000000" w14:paraId="0000000B">
      <w:pPr>
        <w:spacing w:line="276" w:lineRule="auto"/>
        <w:ind w:firstLine="0"/>
        <w:rPr>
          <w:highlight w:val="white"/>
        </w:rPr>
      </w:pPr>
      <w:r w:rsidDel="00000000" w:rsidR="00000000" w:rsidRPr="00000000">
        <w:rPr>
          <w:rtl w:val="0"/>
        </w:rPr>
      </w:r>
    </w:p>
    <w:p w:rsidR="00000000" w:rsidDel="00000000" w:rsidP="00000000" w:rsidRDefault="00000000" w:rsidRPr="00000000" w14:paraId="0000000C">
      <w:pPr>
        <w:spacing w:line="276" w:lineRule="auto"/>
        <w:ind w:firstLine="0"/>
        <w:rPr/>
      </w:pPr>
      <w:r w:rsidDel="00000000" w:rsidR="00000000" w:rsidRPr="00000000">
        <w:rPr>
          <w:b w:val="1"/>
          <w:i w:val="1"/>
          <w:rtl w:val="0"/>
        </w:rPr>
        <w:t xml:space="preserve">RESOLVED, </w:t>
      </w:r>
      <w:r w:rsidDel="00000000" w:rsidR="00000000" w:rsidRPr="00000000">
        <w:rPr>
          <w:b w:val="1"/>
          <w:i w:val="1"/>
          <w:rtl w:val="0"/>
        </w:rPr>
        <w:t xml:space="preserve"> </w:t>
      </w:r>
      <w:r w:rsidDel="00000000" w:rsidR="00000000" w:rsidRPr="00000000">
        <w:rPr>
          <w:rtl w:val="0"/>
        </w:rPr>
        <w:t xml:space="preserve">that the SSCCC advocates for </w:t>
      </w:r>
      <w:r w:rsidDel="00000000" w:rsidR="00000000" w:rsidRPr="00000000">
        <w:rPr>
          <w:highlight w:val="white"/>
          <w:rtl w:val="0"/>
        </w:rPr>
        <w:t xml:space="preserve">more funding for mental health initiatives and push to have all California community colleges receive low- or no-cost mental health treatment on all California Community College campuses</w:t>
      </w:r>
      <w:r w:rsidDel="00000000" w:rsidR="00000000" w:rsidRPr="00000000">
        <w:rPr>
          <w:rtl w:val="0"/>
        </w:rPr>
      </w:r>
    </w:p>
    <w:p w:rsidR="00000000" w:rsidDel="00000000" w:rsidP="00000000" w:rsidRDefault="00000000" w:rsidRPr="00000000" w14:paraId="0000000D">
      <w:pPr>
        <w:spacing w:line="276" w:lineRule="auto"/>
        <w:ind w:firstLine="0"/>
        <w:rPr/>
      </w:pPr>
      <w:r w:rsidDel="00000000" w:rsidR="00000000" w:rsidRPr="00000000">
        <w:rPr>
          <w:rtl w:val="0"/>
        </w:rPr>
      </w:r>
    </w:p>
    <w:p w:rsidR="00000000" w:rsidDel="00000000" w:rsidP="00000000" w:rsidRDefault="00000000" w:rsidRPr="00000000" w14:paraId="0000000E">
      <w:pPr>
        <w:spacing w:line="276" w:lineRule="auto"/>
        <w:ind w:firstLine="0"/>
        <w:rPr>
          <w:highlight w:val="white"/>
        </w:rPr>
      </w:pPr>
      <w:r w:rsidDel="00000000" w:rsidR="00000000" w:rsidRPr="00000000">
        <w:rPr>
          <w:b w:val="1"/>
          <w:i w:val="1"/>
          <w:rtl w:val="0"/>
        </w:rPr>
        <w:t xml:space="preserve">RESOLVED</w:t>
      </w:r>
      <w:r w:rsidDel="00000000" w:rsidR="00000000" w:rsidRPr="00000000">
        <w:rPr>
          <w:rtl w:val="0"/>
        </w:rPr>
        <w:t xml:space="preserve">, that all California community colleges have adequate mental health professionals  to ensure students are able to see these mental health professionals according to the recommendations formed off the National Survey of Counseling Center Directors (</w:t>
      </w:r>
      <w:r w:rsidDel="00000000" w:rsidR="00000000" w:rsidRPr="00000000">
        <w:rPr>
          <w:color w:val="212121"/>
          <w:highlight w:val="white"/>
          <w:rtl w:val="0"/>
        </w:rPr>
        <w:t xml:space="preserve">1 to 1,600)  (AUCCCD 2016</w:t>
      </w:r>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highlight w:val="white"/>
          <w:rtl w:val="0"/>
        </w:rPr>
        <w:t xml:space="preserve">;</w:t>
      </w:r>
    </w:p>
    <w:p w:rsidR="00000000" w:rsidDel="00000000" w:rsidP="00000000" w:rsidRDefault="00000000" w:rsidRPr="00000000" w14:paraId="0000000F">
      <w:pPr>
        <w:spacing w:line="276" w:lineRule="auto"/>
        <w:ind w:firstLine="0"/>
        <w:rPr>
          <w:highlight w:val="white"/>
        </w:rPr>
      </w:pPr>
      <w:r w:rsidDel="00000000" w:rsidR="00000000" w:rsidRPr="00000000">
        <w:rPr>
          <w:rtl w:val="0"/>
        </w:rPr>
      </w:r>
    </w:p>
    <w:p w:rsidR="00000000" w:rsidDel="00000000" w:rsidP="00000000" w:rsidRDefault="00000000" w:rsidRPr="00000000" w14:paraId="00000010">
      <w:pPr>
        <w:spacing w:line="480" w:lineRule="auto"/>
        <w:ind w:firstLine="0"/>
        <w:rPr/>
      </w:pPr>
      <w:r w:rsidDel="00000000" w:rsidR="00000000" w:rsidRPr="00000000">
        <w:rPr>
          <w:rtl w:val="0"/>
        </w:rPr>
      </w:r>
    </w:p>
    <w:p w:rsidR="00000000" w:rsidDel="00000000" w:rsidP="00000000" w:rsidRDefault="00000000" w:rsidRPr="00000000" w14:paraId="00000011">
      <w:pPr>
        <w:spacing w:line="480" w:lineRule="auto"/>
        <w:ind w:firstLine="0"/>
        <w:rPr/>
      </w:pPr>
      <w:r w:rsidDel="00000000" w:rsidR="00000000" w:rsidRPr="00000000">
        <w:rPr>
          <w:rtl w:val="0"/>
        </w:rPr>
      </w:r>
    </w:p>
    <w:p w:rsidR="00000000" w:rsidDel="00000000" w:rsidP="00000000" w:rsidRDefault="00000000" w:rsidRPr="00000000" w14:paraId="00000012">
      <w:pPr>
        <w:spacing w:line="480" w:lineRule="auto"/>
        <w:ind w:firstLine="0"/>
        <w:rPr/>
      </w:pPr>
      <w:r w:rsidDel="00000000" w:rsidR="00000000" w:rsidRPr="00000000">
        <w:rPr>
          <w:rtl w:val="0"/>
        </w:rPr>
      </w:r>
    </w:p>
    <w:p w:rsidR="00000000" w:rsidDel="00000000" w:rsidP="00000000" w:rsidRDefault="00000000" w:rsidRPr="00000000" w14:paraId="00000013">
      <w:pPr>
        <w:spacing w:line="480" w:lineRule="auto"/>
        <w:ind w:firstLine="0"/>
        <w:rPr/>
      </w:pPr>
      <w:r w:rsidDel="00000000" w:rsidR="00000000" w:rsidRPr="00000000">
        <w:rPr>
          <w:rtl w:val="0"/>
        </w:rPr>
      </w:r>
    </w:p>
    <w:p w:rsidR="00000000" w:rsidDel="00000000" w:rsidP="00000000" w:rsidRDefault="00000000" w:rsidRPr="00000000" w14:paraId="00000014">
      <w:pPr>
        <w:spacing w:line="480" w:lineRule="auto"/>
        <w:ind w:firstLine="0"/>
        <w:rPr/>
      </w:pPr>
      <w:r w:rsidDel="00000000" w:rsidR="00000000" w:rsidRPr="00000000">
        <w:rPr>
          <w:rtl w:val="0"/>
        </w:rPr>
      </w:r>
    </w:p>
    <w:p w:rsidR="00000000" w:rsidDel="00000000" w:rsidP="00000000" w:rsidRDefault="00000000" w:rsidRPr="00000000" w14:paraId="00000015">
      <w:pPr>
        <w:spacing w:line="480" w:lineRule="auto"/>
        <w:ind w:firstLine="0"/>
        <w:rPr/>
      </w:pPr>
      <w:r w:rsidDel="00000000" w:rsidR="00000000" w:rsidRPr="00000000">
        <w:rPr>
          <w:rtl w:val="0"/>
        </w:rPr>
      </w:r>
    </w:p>
    <w:p w:rsidR="00000000" w:rsidDel="00000000" w:rsidP="00000000" w:rsidRDefault="00000000" w:rsidRPr="00000000" w14:paraId="00000016">
      <w:pPr>
        <w:spacing w:line="480" w:lineRule="auto"/>
        <w:ind w:left="2880" w:firstLine="720"/>
        <w:rPr/>
      </w:pPr>
      <w:r w:rsidDel="00000000" w:rsidR="00000000" w:rsidRPr="00000000">
        <w:rPr>
          <w:b w:val="1"/>
          <w:i w:val="1"/>
          <w:rtl w:val="0"/>
        </w:rPr>
        <w:t xml:space="preserve">Sources</w:t>
      </w:r>
      <w:r w:rsidDel="00000000" w:rsidR="00000000" w:rsidRPr="00000000">
        <w:rPr>
          <w:rtl w:val="0"/>
        </w:rPr>
      </w:r>
    </w:p>
    <w:p w:rsidR="00000000" w:rsidDel="00000000" w:rsidP="00000000" w:rsidRDefault="00000000" w:rsidRPr="00000000" w14:paraId="00000017">
      <w:pPr>
        <w:spacing w:line="480" w:lineRule="auto"/>
        <w:ind w:left="720" w:hanging="720"/>
        <w:rPr>
          <w:color w:val="333333"/>
          <w:highlight w:val="white"/>
        </w:rPr>
      </w:pPr>
      <w:r w:rsidDel="00000000" w:rsidR="00000000" w:rsidRPr="00000000">
        <w:rPr>
          <w:color w:val="333333"/>
          <w:highlight w:val="white"/>
          <w:rtl w:val="0"/>
        </w:rPr>
        <w:t xml:space="preserve">“Mental Illness.” </w:t>
      </w:r>
      <w:r w:rsidDel="00000000" w:rsidR="00000000" w:rsidRPr="00000000">
        <w:rPr>
          <w:i w:val="1"/>
          <w:color w:val="333333"/>
          <w:highlight w:val="white"/>
          <w:rtl w:val="0"/>
        </w:rPr>
        <w:t xml:space="preserve">National Institute of Mental Health</w:t>
      </w:r>
      <w:r w:rsidDel="00000000" w:rsidR="00000000" w:rsidRPr="00000000">
        <w:rPr>
          <w:color w:val="333333"/>
          <w:highlight w:val="white"/>
          <w:rtl w:val="0"/>
        </w:rPr>
        <w:t xml:space="preserve">, U.S. Department of Health and Human </w:t>
      </w:r>
      <w:r w:rsidDel="00000000" w:rsidR="00000000" w:rsidRPr="00000000">
        <w:rPr>
          <w:i w:val="1"/>
          <w:color w:val="333333"/>
          <w:highlight w:val="white"/>
          <w:rtl w:val="0"/>
        </w:rPr>
        <w:t xml:space="preserve">Services.</w:t>
      </w:r>
      <w:r w:rsidDel="00000000" w:rsidR="00000000" w:rsidRPr="00000000">
        <w:rPr>
          <w:color w:val="333333"/>
          <w:highlight w:val="white"/>
          <w:rtl w:val="0"/>
        </w:rPr>
        <w:t xml:space="preserve"> Retrieved from </w:t>
      </w:r>
      <w:hyperlink r:id="rId6">
        <w:r w:rsidDel="00000000" w:rsidR="00000000" w:rsidRPr="00000000">
          <w:rPr>
            <w:color w:val="1155cc"/>
            <w:highlight w:val="white"/>
            <w:u w:val="single"/>
            <w:rtl w:val="0"/>
          </w:rPr>
          <w:t xml:space="preserve">www.nimh.nih.gov/health/statistics/mental-illness.shtml</w:t>
        </w:r>
      </w:hyperlink>
      <w:r w:rsidDel="00000000" w:rsidR="00000000" w:rsidRPr="00000000">
        <w:rPr>
          <w:color w:val="333333"/>
          <w:highlight w:val="white"/>
          <w:rtl w:val="0"/>
        </w:rPr>
        <w:t xml:space="preserve">.</w:t>
      </w:r>
    </w:p>
    <w:p w:rsidR="00000000" w:rsidDel="00000000" w:rsidP="00000000" w:rsidRDefault="00000000" w:rsidRPr="00000000" w14:paraId="00000018">
      <w:pPr>
        <w:spacing w:line="480" w:lineRule="auto"/>
        <w:ind w:left="720" w:hanging="720"/>
        <w:rPr/>
      </w:pPr>
      <w:r w:rsidDel="00000000" w:rsidR="00000000" w:rsidRPr="00000000">
        <w:rPr>
          <w:color w:val="333333"/>
          <w:highlight w:val="white"/>
          <w:rtl w:val="0"/>
        </w:rPr>
        <w:t xml:space="preserve">Reetz, David R, et al. “The Association for University and College Counseling Center Directors Annual Survey.” 31. Aug. 2016, pp. 45-58. Retrieved from </w:t>
      </w:r>
      <w:hyperlink r:id="rId7">
        <w:r w:rsidDel="00000000" w:rsidR="00000000" w:rsidRPr="00000000">
          <w:rPr>
            <w:color w:val="1155cc"/>
            <w:highlight w:val="white"/>
            <w:u w:val="single"/>
            <w:rtl w:val="0"/>
          </w:rPr>
          <w:t xml:space="preserve">https://www.aucccd.org/assets/documents/aucccd%202016%20monograph%20-%20public.pdf</w:t>
        </w:r>
      </w:hyperlink>
      <w:r w:rsidDel="00000000" w:rsidR="00000000" w:rsidRPr="00000000">
        <w:rPr>
          <w:rtl w:val="0"/>
        </w:rPr>
      </w:r>
    </w:p>
    <w:p w:rsidR="00000000" w:rsidDel="00000000" w:rsidP="00000000" w:rsidRDefault="00000000" w:rsidRPr="00000000" w14:paraId="00000019">
      <w:pPr>
        <w:spacing w:line="353.4545454545455" w:lineRule="auto"/>
        <w:ind w:left="720" w:hanging="720"/>
        <w:rPr/>
      </w:pPr>
      <w:r w:rsidDel="00000000" w:rsidR="00000000" w:rsidRPr="00000000">
        <w:rPr>
          <w:rFonts w:ascii="Roboto" w:cs="Roboto" w:eastAsia="Roboto" w:hAnsi="Roboto"/>
          <w:color w:val="333333"/>
          <w:sz w:val="18"/>
          <w:szCs w:val="18"/>
          <w:rtl w:val="0"/>
        </w:rPr>
        <w:t xml:space="preserve">“</w:t>
      </w:r>
      <w:r w:rsidDel="00000000" w:rsidR="00000000" w:rsidRPr="00000000">
        <w:rPr>
          <w:rtl w:val="0"/>
        </w:rPr>
        <w:t xml:space="preserve">Statement about Recommended Staff to Student Ratios.” </w:t>
      </w:r>
      <w:r w:rsidDel="00000000" w:rsidR="00000000" w:rsidRPr="00000000">
        <w:rPr>
          <w:i w:val="1"/>
          <w:rtl w:val="0"/>
        </w:rPr>
        <w:t xml:space="preserve">International Association of Counseling Services</w:t>
      </w:r>
      <w:r w:rsidDel="00000000" w:rsidR="00000000" w:rsidRPr="00000000">
        <w:rPr>
          <w:rtl w:val="0"/>
        </w:rPr>
        <w:t xml:space="preserve">, Retrieved from </w:t>
      </w:r>
      <w:hyperlink r:id="rId8">
        <w:r w:rsidDel="00000000" w:rsidR="00000000" w:rsidRPr="00000000">
          <w:rPr>
            <w:color w:val="1155cc"/>
            <w:u w:val="single"/>
            <w:rtl w:val="0"/>
          </w:rPr>
          <w:t xml:space="preserve">iacsinc.org/staff-to-student-ratios.html.</w:t>
        </w:r>
      </w:hyperlink>
      <w:r w:rsidDel="00000000" w:rsidR="00000000" w:rsidRPr="00000000">
        <w:rPr>
          <w:rtl w:val="0"/>
        </w:rPr>
      </w:r>
    </w:p>
    <w:p w:rsidR="00000000" w:rsidDel="00000000" w:rsidP="00000000" w:rsidRDefault="00000000" w:rsidRPr="00000000" w14:paraId="0000001A">
      <w:pPr>
        <w:spacing w:line="353.4545454545455" w:lineRule="auto"/>
        <w:ind w:left="720" w:hanging="720"/>
        <w:rPr>
          <w:rFonts w:ascii="Roboto" w:cs="Roboto" w:eastAsia="Roboto" w:hAnsi="Roboto"/>
          <w:color w:val="333333"/>
          <w:sz w:val="18"/>
          <w:szCs w:val="18"/>
        </w:rPr>
      </w:pPr>
      <w:r w:rsidDel="00000000" w:rsidR="00000000" w:rsidRPr="00000000">
        <w:rPr>
          <w:rtl w:val="0"/>
        </w:rPr>
      </w:r>
    </w:p>
    <w:p w:rsidR="00000000" w:rsidDel="00000000" w:rsidP="00000000" w:rsidRDefault="00000000" w:rsidRPr="00000000" w14:paraId="0000001B">
      <w:pPr>
        <w:spacing w:line="480" w:lineRule="auto"/>
        <w:ind w:left="720" w:hanging="720"/>
        <w:rPr>
          <w:color w:val="333333"/>
          <w:shd w:fill="fef1d2" w:val="clear"/>
        </w:rPr>
      </w:pPr>
      <w:r w:rsidDel="00000000" w:rsidR="00000000" w:rsidRPr="00000000">
        <w:rPr>
          <w:rtl w:val="0"/>
        </w:rPr>
      </w:r>
    </w:p>
    <w:p w:rsidR="00000000" w:rsidDel="00000000" w:rsidP="00000000" w:rsidRDefault="00000000" w:rsidRPr="00000000" w14:paraId="0000001C">
      <w:pPr>
        <w:spacing w:line="480" w:lineRule="auto"/>
        <w:ind w:left="720" w:hanging="720"/>
        <w:rPr/>
      </w:pPr>
      <w:r w:rsidDel="00000000" w:rsidR="00000000" w:rsidRPr="00000000">
        <w:rPr>
          <w:rtl w:val="0"/>
        </w:rPr>
      </w:r>
    </w:p>
    <w:p w:rsidR="00000000" w:rsidDel="00000000" w:rsidP="00000000" w:rsidRDefault="00000000" w:rsidRPr="00000000" w14:paraId="0000001D">
      <w:pPr>
        <w:spacing w:line="480" w:lineRule="auto"/>
        <w:ind w:left="720" w:hanging="720"/>
        <w:rPr/>
      </w:pPr>
      <w:r w:rsidDel="00000000" w:rsidR="00000000" w:rsidRPr="00000000">
        <w:rPr>
          <w:rtl w:val="0"/>
        </w:rPr>
      </w:r>
    </w:p>
    <w:p w:rsidR="00000000" w:rsidDel="00000000" w:rsidP="00000000" w:rsidRDefault="00000000" w:rsidRPr="00000000" w14:paraId="0000001E">
      <w:pPr>
        <w:spacing w:line="480" w:lineRule="auto"/>
        <w:ind w:firstLine="720"/>
        <w:rPr>
          <w:color w:val="333333"/>
          <w:highlight w:val="white"/>
        </w:rPr>
      </w:pPr>
      <w:r w:rsidDel="00000000" w:rsidR="00000000" w:rsidRPr="00000000">
        <w:rPr>
          <w:rtl w:val="0"/>
        </w:rPr>
      </w:r>
    </w:p>
    <w:p w:rsidR="00000000" w:rsidDel="00000000" w:rsidP="00000000" w:rsidRDefault="00000000" w:rsidRPr="00000000" w14:paraId="0000001F">
      <w:pPr>
        <w:ind w:firstLine="0"/>
        <w:rPr/>
      </w:pPr>
      <w:r w:rsidDel="00000000" w:rsidR="00000000" w:rsidRPr="00000000">
        <w:rPr>
          <w:rtl w:val="0"/>
        </w:rPr>
      </w:r>
    </w:p>
    <w:p w:rsidR="00000000" w:rsidDel="00000000" w:rsidP="00000000" w:rsidRDefault="00000000" w:rsidRPr="00000000" w14:paraId="00000020">
      <w:pPr>
        <w:spacing w:line="480" w:lineRule="auto"/>
        <w:ind w:firstLine="0"/>
        <w:rPr>
          <w:color w:val="333333"/>
          <w:highlight w:val="white"/>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nimh.nih.gov/health/statistics/mental-illness.shtml" TargetMode="External"/><Relationship Id="rId7" Type="http://schemas.openxmlformats.org/officeDocument/2006/relationships/hyperlink" Target="https://www.aucccd.org/assets/documents/aucccd%202016%20monograph%20-%20public.pdf" TargetMode="External"/><Relationship Id="rId8" Type="http://schemas.openxmlformats.org/officeDocument/2006/relationships/hyperlink" Target="http://iacsinc.org/staff-to-student-ratio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