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32" w:rsidP="00E37F05" w:rsidRDefault="00F40732" w14:paraId="689887C3" w14:textId="7FB4B43B">
      <w:pPr>
        <w:pStyle w:val="BodyText"/>
        <w:tabs>
          <w:tab w:val="left" w:pos="5536"/>
        </w:tabs>
        <w:spacing w:before="3"/>
        <w:rPr>
          <w:sz w:val="15"/>
        </w:rPr>
      </w:pPr>
    </w:p>
    <w:tbl>
      <w:tblPr>
        <w:tblStyle w:val="GridTable5Dark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2A0" w:firstRow="1" w:lastRow="0" w:firstColumn="1" w:lastColumn="0" w:noHBand="1" w:noVBand="0"/>
        <w:tblCaption w:val="BC Winter Intercession Task Force Charge"/>
        <w:tblDescription w:val="BC Winter Intercession Task Force Charge"/>
      </w:tblPr>
      <w:tblGrid>
        <w:gridCol w:w="2335"/>
        <w:gridCol w:w="11775"/>
      </w:tblGrid>
      <w:tr w:rsidRPr="004525BB" w:rsidR="00F40732" w:rsidTr="27E210F9" w14:paraId="689887C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shd w:val="clear" w:color="auto" w:fill="BFBFBF" w:themeFill="background1" w:themeFillShade="BF"/>
            <w:tcMar/>
          </w:tcPr>
          <w:p w:rsidRPr="004525BB" w:rsidR="00E14483" w:rsidP="00E14483" w:rsidRDefault="00837CC2" w14:paraId="689887C4" w14:textId="4AB4BD65">
            <w:pPr>
              <w:pStyle w:val="TableParagraph"/>
              <w:ind w:left="338" w:hanging="270"/>
              <w:rPr>
                <w:color w:val="auto"/>
              </w:rPr>
            </w:pPr>
            <w:r w:rsidRPr="004525BB">
              <w:rPr>
                <w:color w:val="auto"/>
              </w:rPr>
              <w:t xml:space="preserve">NAME OF </w:t>
            </w:r>
            <w:r w:rsidRPr="004525BB" w:rsidR="00E14483">
              <w:rPr>
                <w:color w:val="auto"/>
              </w:rPr>
              <w:t>TASKFORCE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5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shd w:val="clear" w:color="auto" w:fill="auto"/>
            <w:tcMar/>
          </w:tcPr>
          <w:p w:rsidRPr="004525BB" w:rsidR="00F40732" w:rsidRDefault="002B4AB3" w14:paraId="689887C5" w14:textId="39719AE0">
            <w:pPr>
              <w:pStyle w:val="TableParagraph"/>
              <w:ind w:left="108"/>
              <w:rPr>
                <w:b w:val="0"/>
                <w:i/>
              </w:rPr>
            </w:pPr>
            <w:r w:rsidRPr="004525BB">
              <w:rPr>
                <w:color w:val="auto"/>
              </w:rPr>
              <w:t>BC AB 928 Implementation Task Force</w:t>
            </w:r>
          </w:p>
        </w:tc>
      </w:tr>
      <w:tr w:rsidRPr="004525BB" w:rsidR="00F40732" w:rsidTr="27E210F9" w14:paraId="689887CE" w14:textId="77777777">
        <w:trPr>
          <w:trHeight w:val="3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none" w:color="auto" w:sz="0" w:space="0"/>
            </w:tcBorders>
            <w:shd w:val="clear" w:color="auto" w:fill="BFBFBF" w:themeFill="background1" w:themeFillShade="BF"/>
            <w:tcMar/>
          </w:tcPr>
          <w:p w:rsidRPr="004525BB" w:rsidR="00F40732" w:rsidP="00E14483" w:rsidRDefault="00837CC2" w14:paraId="689887C7" w14:textId="685FEA42">
            <w:pPr>
              <w:pStyle w:val="TableParagraph"/>
              <w:ind w:left="338" w:hanging="270"/>
              <w:rPr>
                <w:color w:val="auto"/>
              </w:rPr>
            </w:pPr>
            <w:r w:rsidRPr="004525BB">
              <w:rPr>
                <w:color w:val="auto"/>
              </w:rPr>
              <w:t>COMMITTEE</w:t>
            </w:r>
            <w:r w:rsidRPr="004525BB" w:rsidR="00E14483">
              <w:rPr>
                <w:color w:val="auto"/>
              </w:rPr>
              <w:t xml:space="preserve"> / TASKFORCE</w:t>
            </w:r>
            <w:r w:rsidRPr="004525BB">
              <w:rPr>
                <w:color w:val="auto"/>
              </w:rPr>
              <w:t xml:space="preserve"> 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5" w:type="dxa"/>
            <w:shd w:val="clear" w:color="auto" w:fill="auto"/>
            <w:tcMar/>
          </w:tcPr>
          <w:p w:rsidRPr="004525BB" w:rsidR="00E14483" w:rsidRDefault="005B4DB7" w14:paraId="75292BC9" w14:textId="3A427B14">
            <w:pPr>
              <w:pStyle w:val="TableParagraph"/>
              <w:spacing w:line="276" w:lineRule="auto"/>
              <w:ind w:left="108"/>
            </w:pPr>
            <w:r w:rsidR="005B4DB7">
              <w:rPr/>
              <w:t xml:space="preserve">The </w:t>
            </w:r>
            <w:r w:rsidR="002B4AB3">
              <w:rPr/>
              <w:t>AB 928 Implementation Task Force</w:t>
            </w:r>
            <w:r w:rsidR="00E14483">
              <w:rPr/>
              <w:t xml:space="preserve"> </w:t>
            </w:r>
            <w:r w:rsidR="00837CC2">
              <w:rPr/>
              <w:t xml:space="preserve">is </w:t>
            </w:r>
            <w:r w:rsidR="00E14483">
              <w:rPr/>
              <w:t>a</w:t>
            </w:r>
            <w:r w:rsidR="000B4C94">
              <w:rPr/>
              <w:t xml:space="preserve"> 2 -year </w:t>
            </w:r>
            <w:r w:rsidR="00AD1F26">
              <w:rPr/>
              <w:t>ad hoc task force of the Academic Senate.</w:t>
            </w:r>
            <w:r w:rsidR="00837CC2">
              <w:rPr/>
              <w:t xml:space="preserve"> The primary purpose of this </w:t>
            </w:r>
            <w:r w:rsidR="00E14483">
              <w:rPr/>
              <w:t>taskforce</w:t>
            </w:r>
            <w:r w:rsidR="00AD1F26">
              <w:rPr/>
              <w:t xml:space="preserve"> is to</w:t>
            </w:r>
            <w:r w:rsidR="00A33B12">
              <w:rPr/>
              <w:t xml:space="preserve"> </w:t>
            </w:r>
            <w:r w:rsidR="00F3573C">
              <w:rPr/>
              <w:t xml:space="preserve">explore and plan implementation processes for Bakersfield College related to AB 928, </w:t>
            </w:r>
            <w:r w:rsidR="00D22BB0">
              <w:rPr/>
              <w:t>namely</w:t>
            </w:r>
            <w:r w:rsidR="00F3573C">
              <w:rPr/>
              <w:t xml:space="preserve"> </w:t>
            </w:r>
            <w:r w:rsidR="00FB6C16">
              <w:rPr/>
              <w:t>automatic enrollment of students who declare transfer as their goal into transfer degree paths</w:t>
            </w:r>
            <w:r w:rsidR="00D22BB0">
              <w:rPr/>
              <w:t xml:space="preserve"> and </w:t>
            </w:r>
            <w:r w:rsidR="00D22BB0">
              <w:rPr/>
              <w:t>C</w:t>
            </w:r>
            <w:r w:rsidR="27A98C8A">
              <w:rPr/>
              <w:t xml:space="preserve">alifornia </w:t>
            </w:r>
            <w:r w:rsidR="51B938F4">
              <w:rPr/>
              <w:t xml:space="preserve">General Education Transfer Curriculum (Cal-GETC) </w:t>
            </w:r>
            <w:r w:rsidR="00D22BB0">
              <w:rPr/>
              <w:t xml:space="preserve">alignment. </w:t>
            </w:r>
          </w:p>
          <w:p w:rsidRPr="004525BB" w:rsidR="000B58DF" w:rsidRDefault="000B58DF" w14:paraId="464F3450" w14:textId="77777777">
            <w:pPr>
              <w:pStyle w:val="TableParagraph"/>
              <w:spacing w:line="276" w:lineRule="auto"/>
              <w:ind w:left="108"/>
            </w:pPr>
          </w:p>
          <w:p w:rsidRPr="004525BB" w:rsidR="00F40732" w:rsidRDefault="00837CC2" w14:paraId="689887C8" w14:textId="7DCD3A69">
            <w:pPr>
              <w:pStyle w:val="TableParagraph"/>
              <w:spacing w:line="276" w:lineRule="auto"/>
              <w:ind w:left="108"/>
            </w:pPr>
            <w:r w:rsidRPr="004525BB">
              <w:t>The</w:t>
            </w:r>
            <w:r w:rsidRPr="004525BB" w:rsidR="00A33B12">
              <w:t xml:space="preserve"> taskforce will: </w:t>
            </w:r>
          </w:p>
          <w:p w:rsidRPr="004525BB" w:rsidR="004525BB" w:rsidP="00D324BA" w:rsidRDefault="00074770" w14:paraId="7AD3F919" w14:textId="322D74AA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4"/>
              </w:tabs>
              <w:spacing w:before="6" w:line="268" w:lineRule="exact"/>
              <w:ind w:right="387"/>
              <w:rPr/>
            </w:pPr>
            <w:r w:rsidR="00074770">
              <w:rPr/>
              <w:t>review guidance materials from the</w:t>
            </w:r>
            <w:r w:rsidR="3B5B0901">
              <w:rPr/>
              <w:t xml:space="preserve"> California Community Colleges Chancellor’s Office</w:t>
            </w:r>
            <w:r w:rsidR="00074770">
              <w:rPr/>
              <w:t xml:space="preserve"> </w:t>
            </w:r>
            <w:r w:rsidR="43ABABD1">
              <w:rPr/>
              <w:t>(</w:t>
            </w:r>
            <w:r w:rsidR="00074770">
              <w:rPr/>
              <w:t>CCCC</w:t>
            </w:r>
            <w:r w:rsidR="194E18B2">
              <w:rPr/>
              <w:t>O)</w:t>
            </w:r>
            <w:r w:rsidR="00074770">
              <w:rPr/>
              <w:t xml:space="preserve"> and other related organizations.</w:t>
            </w:r>
          </w:p>
          <w:p w:rsidRPr="004525BB" w:rsidR="00036C5B" w:rsidP="00F3573C" w:rsidRDefault="00036C5B" w14:paraId="4F124391" w14:textId="15C93E22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4"/>
              </w:tabs>
              <w:spacing w:before="6" w:line="268" w:lineRule="exact"/>
              <w:ind w:right="387"/>
            </w:pPr>
            <w:r w:rsidRPr="004525BB">
              <w:t xml:space="preserve">examine </w:t>
            </w:r>
            <w:r w:rsidRPr="004525BB" w:rsidR="008001A6">
              <w:t xml:space="preserve">potential enrollment </w:t>
            </w:r>
            <w:r w:rsidRPr="004525BB" w:rsidR="004525BB">
              <w:t>impacts.</w:t>
            </w:r>
          </w:p>
          <w:p w:rsidRPr="004525BB" w:rsidR="008001A6" w:rsidP="00F3573C" w:rsidRDefault="008001A6" w14:paraId="2B38C559" w14:textId="61ED5E0A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4"/>
              </w:tabs>
              <w:spacing w:before="6" w:line="268" w:lineRule="exact"/>
              <w:ind w:right="387"/>
            </w:pPr>
            <w:r w:rsidRPr="004525BB">
              <w:t xml:space="preserve">examine potential student journey </w:t>
            </w:r>
            <w:r w:rsidRPr="004525BB" w:rsidR="004525BB">
              <w:t>impacts.</w:t>
            </w:r>
            <w:r w:rsidRPr="004525BB">
              <w:t xml:space="preserve"> </w:t>
            </w:r>
          </w:p>
          <w:p w:rsidRPr="004525BB" w:rsidR="008001A6" w:rsidP="00F3573C" w:rsidRDefault="008001A6" w14:paraId="3D302972" w14:textId="500005DE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4"/>
              </w:tabs>
              <w:spacing w:before="6" w:line="268" w:lineRule="exact"/>
              <w:ind w:right="387"/>
            </w:pPr>
            <w:r w:rsidRPr="004525BB">
              <w:t xml:space="preserve">examine potential </w:t>
            </w:r>
            <w:r w:rsidR="00D43FD7">
              <w:t>resource needs</w:t>
            </w:r>
            <w:r w:rsidRPr="004525BB" w:rsidR="004525BB">
              <w:t>.</w:t>
            </w:r>
          </w:p>
          <w:p w:rsidRPr="004525BB" w:rsidR="004525BB" w:rsidP="27E210F9" w:rsidRDefault="004525BB" w14:paraId="689887CD" w14:textId="02ED86D1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4"/>
              </w:tabs>
              <w:spacing w:before="6" w:line="268" w:lineRule="exact"/>
              <w:ind w:right="387"/>
              <w:rPr/>
            </w:pPr>
            <w:r w:rsidR="00D324BA">
              <w:rPr/>
              <w:t>develop an implementation plan and timeline</w:t>
            </w:r>
            <w:r w:rsidR="004525BB">
              <w:rPr/>
              <w:t>.</w:t>
            </w:r>
          </w:p>
        </w:tc>
      </w:tr>
      <w:tr w:rsidRPr="004525BB" w:rsidR="00F40732" w:rsidTr="27E210F9" w14:paraId="689887D1" w14:textId="77777777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none" w:color="auto" w:sz="0" w:space="0"/>
            </w:tcBorders>
            <w:shd w:val="clear" w:color="auto" w:fill="BFBFBF" w:themeFill="background1" w:themeFillShade="BF"/>
            <w:tcMar/>
          </w:tcPr>
          <w:p w:rsidRPr="004525BB" w:rsidR="00F40732" w:rsidRDefault="00837CC2" w14:paraId="689887CF" w14:textId="77777777">
            <w:pPr>
              <w:pStyle w:val="TableParagraph"/>
              <w:spacing w:before="1"/>
              <w:rPr>
                <w:color w:val="auto"/>
              </w:rPr>
            </w:pPr>
            <w:r w:rsidRPr="004525BB">
              <w:rPr>
                <w:color w:val="auto"/>
              </w:rPr>
              <w:t>SCOPE OF AUTHORITY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5" w:type="dxa"/>
            <w:shd w:val="clear" w:color="auto" w:fill="auto"/>
            <w:tcMar/>
          </w:tcPr>
          <w:p w:rsidRPr="004525BB" w:rsidR="00AA434C" w:rsidP="00BE68BB" w:rsidRDefault="002A6FD4" w14:paraId="689887D0" w14:textId="7E5988A6">
            <w:pPr>
              <w:pStyle w:val="TableParagraph"/>
              <w:spacing w:before="1" w:line="300" w:lineRule="atLeast"/>
              <w:ind w:left="108" w:right="138"/>
            </w:pPr>
            <w:r w:rsidRPr="004525BB">
              <w:t xml:space="preserve">Make recommendations to Academic Senate </w:t>
            </w:r>
            <w:r w:rsidR="00C5768E">
              <w:t xml:space="preserve">and </w:t>
            </w:r>
            <w:r w:rsidR="00401EB8">
              <w:t>Vice President of Instruction</w:t>
            </w:r>
            <w:r w:rsidRPr="004525BB" w:rsidR="00BE68BB">
              <w:t xml:space="preserve">. </w:t>
            </w:r>
            <w:r w:rsidR="000B4C94">
              <w:t>A report should be given to the Academic Senate every semester</w:t>
            </w:r>
            <w:r w:rsidR="00C62894">
              <w:t xml:space="preserve"> (Fall 23, Spring 24, Fall 24, Spring 25). </w:t>
            </w:r>
          </w:p>
        </w:tc>
      </w:tr>
      <w:tr w:rsidRPr="004525BB" w:rsidR="00CC2CB0" w:rsidTr="27E210F9" w14:paraId="689887D4" w14:textId="77777777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none" w:color="auto" w:sz="0" w:space="0"/>
            </w:tcBorders>
            <w:shd w:val="clear" w:color="auto" w:fill="BFBFBF" w:themeFill="background1" w:themeFillShade="BF"/>
            <w:tcMar/>
          </w:tcPr>
          <w:p w:rsidRPr="004525BB" w:rsidR="00CC2CB0" w:rsidP="00CC2CB0" w:rsidRDefault="00CC2CB0" w14:paraId="689887D2" w14:textId="4FE1EE24">
            <w:pPr>
              <w:pStyle w:val="TableParagraph"/>
              <w:rPr>
                <w:color w:val="auto"/>
              </w:rPr>
            </w:pPr>
            <w:r w:rsidRPr="004525BB">
              <w:rPr>
                <w:color w:val="auto"/>
              </w:rPr>
              <w:t xml:space="preserve">REPORTS </w:t>
            </w:r>
            <w:r>
              <w:rPr>
                <w:color w:val="auto"/>
              </w:rPr>
              <w:t xml:space="preserve">OUT </w:t>
            </w:r>
            <w:r w:rsidRPr="004525BB">
              <w:rPr>
                <w:color w:val="auto"/>
              </w:rPr>
              <w:t>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5" w:type="dxa"/>
            <w:shd w:val="clear" w:color="auto" w:fill="auto"/>
            <w:tcMar/>
          </w:tcPr>
          <w:p w:rsidRPr="004525BB" w:rsidR="00CC2CB0" w:rsidP="00CC2CB0" w:rsidRDefault="00CC2CB0" w14:paraId="689887D3" w14:textId="2F30615F">
            <w:pPr>
              <w:pStyle w:val="TableParagraph"/>
              <w:ind w:left="108"/>
            </w:pPr>
            <w:r w:rsidRPr="00980851">
              <w:t>Academic Senate</w:t>
            </w:r>
            <w:r w:rsidR="00D43FD7">
              <w:t xml:space="preserve">, </w:t>
            </w:r>
            <w:r w:rsidRPr="00980851">
              <w:t>the Vice President of Instruction</w:t>
            </w:r>
            <w:r w:rsidR="00D43FD7">
              <w:t>, and College Council</w:t>
            </w:r>
          </w:p>
        </w:tc>
      </w:tr>
      <w:tr w:rsidRPr="004525BB" w:rsidR="00CC2CB0" w:rsidTr="27E210F9" w14:paraId="689887D8" w14:textId="777777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none" w:color="auto" w:sz="0" w:space="0"/>
            </w:tcBorders>
            <w:shd w:val="clear" w:color="auto" w:fill="BFBFBF" w:themeFill="background1" w:themeFillShade="BF"/>
            <w:tcMar/>
          </w:tcPr>
          <w:p w:rsidRPr="004525BB" w:rsidR="00CC2CB0" w:rsidP="00CC2CB0" w:rsidRDefault="00CC2CB0" w14:paraId="689887D5" w14:textId="77777777">
            <w:pPr>
              <w:pStyle w:val="TableParagraph"/>
              <w:spacing w:before="1"/>
              <w:rPr>
                <w:color w:val="auto"/>
              </w:rPr>
            </w:pPr>
            <w:r w:rsidRPr="004525BB">
              <w:rPr>
                <w:color w:val="auto"/>
              </w:rPr>
              <w:t>COMMUNICATES WITH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5" w:type="dxa"/>
            <w:shd w:val="clear" w:color="auto" w:fill="auto"/>
            <w:tcMar/>
          </w:tcPr>
          <w:p w:rsidRPr="004525BB" w:rsidR="00CC2CB0" w:rsidP="27E210F9" w:rsidRDefault="00CC2CB0" w14:paraId="689887D7" w14:textId="4CC991B0">
            <w:pPr>
              <w:pStyle w:val="TableParagraph"/>
              <w:spacing w:before="1"/>
              <w:ind w:left="108"/>
            </w:pPr>
            <w:r w:rsidR="00CC2CB0">
              <w:rPr/>
              <w:t>Additionally, the taskforce will communicate regularly with areas through Curriculum Committee</w:t>
            </w:r>
            <w:r w:rsidR="00CC2CB0">
              <w:rPr/>
              <w:t>, Enrollment Management Committee</w:t>
            </w:r>
            <w:r w:rsidR="47646D00">
              <w:rPr/>
              <w:t xml:space="preserve"> (EMC)</w:t>
            </w:r>
            <w:r w:rsidR="00CC2CB0">
              <w:rPr/>
              <w:t xml:space="preserve">, College Council, and </w:t>
            </w:r>
            <w:r w:rsidR="4150E485">
              <w:rPr/>
              <w:t>Faculty Chairs and Directors Council (</w:t>
            </w:r>
            <w:r w:rsidR="00CC2CB0">
              <w:rPr/>
              <w:t>FCDC</w:t>
            </w:r>
            <w:r w:rsidR="5F5065C0">
              <w:rPr/>
              <w:t>)</w:t>
            </w:r>
            <w:r w:rsidR="00CC2CB0">
              <w:rPr/>
              <w:t xml:space="preserve">. </w:t>
            </w:r>
          </w:p>
        </w:tc>
      </w:tr>
      <w:tr w:rsidR="00CC2CB0" w:rsidTr="27E210F9" w14:paraId="689887E1" w14:textId="77777777">
        <w:trPr>
          <w:trHeight w:val="2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none" w:color="auto" w:sz="0" w:space="0"/>
            </w:tcBorders>
            <w:shd w:val="clear" w:color="auto" w:fill="BFBFBF" w:themeFill="background1" w:themeFillShade="BF"/>
            <w:tcMar/>
          </w:tcPr>
          <w:p w:rsidRPr="004525BB" w:rsidR="00CC2CB0" w:rsidP="00CC2CB0" w:rsidRDefault="00CC2CB0" w14:paraId="689887D9" w14:textId="77777777">
            <w:pPr>
              <w:pStyle w:val="TableParagraph"/>
              <w:spacing w:before="1"/>
              <w:rPr>
                <w:color w:val="auto"/>
              </w:rPr>
            </w:pPr>
            <w:r w:rsidRPr="004525BB">
              <w:rPr>
                <w:color w:val="auto"/>
              </w:rPr>
              <w:t>MEMBERSHIP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5" w:type="dxa"/>
            <w:shd w:val="clear" w:color="auto" w:fill="auto"/>
            <w:tcMar/>
          </w:tcPr>
          <w:p w:rsidRPr="004525BB" w:rsidR="00CC2CB0" w:rsidP="00CC2CB0" w:rsidRDefault="00CC2CB0" w14:paraId="569E2826" w14:textId="52338908">
            <w:pPr>
              <w:pStyle w:val="TableParagraph"/>
              <w:spacing w:before="1" w:line="276" w:lineRule="auto"/>
              <w:ind w:right="238"/>
            </w:pPr>
            <w:r w:rsidRPr="004525BB">
              <w:t>The taskforce is co-chaired by 1 Administrative Co-Chair and 1 Faculty Co-Chai</w:t>
            </w:r>
            <w:r w:rsidR="00475379">
              <w:t>r</w:t>
            </w:r>
            <w:r w:rsidRPr="004525BB">
              <w:t xml:space="preserve">. </w:t>
            </w:r>
          </w:p>
          <w:p w:rsidRPr="004525BB" w:rsidR="00CC2CB0" w:rsidP="00CC2CB0" w:rsidRDefault="00CC2CB0" w14:paraId="689887DA" w14:textId="62651702">
            <w:pPr>
              <w:pStyle w:val="TableParagraph"/>
              <w:spacing w:before="1" w:line="276" w:lineRule="auto"/>
              <w:ind w:right="238"/>
            </w:pPr>
            <w:r w:rsidRPr="004525BB">
              <w:t xml:space="preserve">All members have voting privileges unless otherwise indicated. Unfilled positions will not count towards quorum. Quorum will be one more than half the filled positions. </w:t>
            </w:r>
          </w:p>
          <w:p w:rsidR="00CC2CB0" w:rsidP="00355084" w:rsidRDefault="00D43FD7" w14:paraId="12C0DC28" w14:textId="5123765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  <w:rPr/>
            </w:pPr>
            <w:r w:rsidR="7359C127">
              <w:rPr/>
              <w:t>5</w:t>
            </w:r>
            <w:r w:rsidR="00CC2CB0">
              <w:rPr/>
              <w:t xml:space="preserve"> </w:t>
            </w:r>
            <w:r w:rsidR="00CC2CB0">
              <w:rPr/>
              <w:t>faculty at large representatives</w:t>
            </w:r>
            <w:r w:rsidR="005E718F">
              <w:rPr/>
              <w:t xml:space="preserve"> from different </w:t>
            </w:r>
            <w:r w:rsidR="45C531C1">
              <w:rPr/>
              <w:t>departments</w:t>
            </w:r>
          </w:p>
          <w:p w:rsidRPr="00980851" w:rsidR="00355084" w:rsidP="00355084" w:rsidRDefault="00355084" w14:paraId="59D6E9CB" w14:textId="0E823B0C">
            <w:pPr>
              <w:pStyle w:val="TableParagraph"/>
              <w:numPr>
                <w:ilvl w:val="0"/>
                <w:numId w:val="1"/>
              </w:numPr>
              <w:spacing w:before="1" w:line="276" w:lineRule="auto"/>
              <w:ind w:right="238"/>
              <w:rPr/>
            </w:pPr>
            <w:r w:rsidR="00355084">
              <w:rPr/>
              <w:t xml:space="preserve">1 </w:t>
            </w:r>
            <w:r w:rsidR="00355084">
              <w:rPr/>
              <w:t xml:space="preserve">Curriculum Committee </w:t>
            </w:r>
            <w:r w:rsidR="214EE7BA">
              <w:rPr/>
              <w:t xml:space="preserve">faculty </w:t>
            </w:r>
            <w:r w:rsidR="00355084">
              <w:rPr/>
              <w:t xml:space="preserve">Co-Chair or </w:t>
            </w:r>
            <w:r w:rsidR="00D43FD7">
              <w:rPr/>
              <w:t xml:space="preserve">faculty </w:t>
            </w:r>
            <w:r w:rsidR="00355084">
              <w:rPr/>
              <w:t>designee representative</w:t>
            </w:r>
          </w:p>
          <w:p w:rsidRPr="004525BB" w:rsidR="00CC2CB0" w:rsidP="00355084" w:rsidRDefault="00CC2CB0" w14:paraId="2E5BA045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</w:pPr>
            <w:r w:rsidRPr="004525BB">
              <w:t>1 Articulation Officer</w:t>
            </w:r>
            <w:r>
              <w:t xml:space="preserve"> or faculty designee</w:t>
            </w:r>
          </w:p>
          <w:p w:rsidRPr="004525BB" w:rsidR="00CC2CB0" w:rsidP="00355084" w:rsidRDefault="00CC2CB0" w14:paraId="0C203D0E" w14:textId="0330836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  <w:rPr/>
            </w:pPr>
            <w:r w:rsidR="6B3E290C">
              <w:rPr/>
              <w:t>2</w:t>
            </w:r>
            <w:r w:rsidR="00CC2CB0">
              <w:rPr/>
              <w:t xml:space="preserve"> Counselor</w:t>
            </w:r>
            <w:r w:rsidR="6B3E290C">
              <w:rPr/>
              <w:t>s</w:t>
            </w:r>
          </w:p>
          <w:p w:rsidRPr="004525BB" w:rsidR="00CC2CB0" w:rsidP="00355084" w:rsidRDefault="00CC2CB0" w14:paraId="4BD2E839" w14:textId="0B7B2D3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  <w:rPr/>
            </w:pPr>
            <w:r w:rsidR="00CC2CB0">
              <w:rPr/>
              <w:t xml:space="preserve">1 </w:t>
            </w:r>
            <w:r w:rsidR="00D43FD7">
              <w:rPr/>
              <w:t xml:space="preserve">Educational </w:t>
            </w:r>
            <w:r w:rsidR="00CC2CB0">
              <w:rPr/>
              <w:t xml:space="preserve">Advisor </w:t>
            </w:r>
          </w:p>
          <w:p w:rsidR="33734226" w:rsidP="27E210F9" w:rsidRDefault="33734226" w14:paraId="54A7AC2C" w14:textId="3A962BB3">
            <w:pPr>
              <w:pStyle w:val="TableParagraph"/>
              <w:numPr>
                <w:ilvl w:val="0"/>
                <w:numId w:val="1"/>
              </w:numPr>
              <w:tabs>
                <w:tab w:val="left" w:leader="none" w:pos="827"/>
                <w:tab w:val="left" w:leader="none" w:pos="828"/>
              </w:tabs>
              <w:spacing w:line="261" w:lineRule="exact"/>
              <w:rPr>
                <w:rFonts w:ascii="Calibri" w:hAnsi="Calibri" w:eastAsia="Calibri" w:cs="Calibri"/>
              </w:rPr>
            </w:pPr>
            <w:r w:rsidRPr="27E210F9" w:rsidR="33734226">
              <w:rPr>
                <w:rFonts w:ascii="Calibri" w:hAnsi="Calibri" w:eastAsia="Calibri" w:cs="Calibri"/>
              </w:rPr>
              <w:t>1 Classified representative (from scheduling, catalor, or designee)</w:t>
            </w:r>
          </w:p>
          <w:p w:rsidRPr="004525BB" w:rsidR="00CC2CB0" w:rsidP="00355084" w:rsidRDefault="00CC2CB0" w14:paraId="1C586775" w14:textId="6C7B9AF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  <w:rPr/>
            </w:pPr>
            <w:r w:rsidR="00CC2CB0">
              <w:rPr/>
              <w:t xml:space="preserve">1 </w:t>
            </w:r>
            <w:r w:rsidR="008D2BA8">
              <w:rPr/>
              <w:t xml:space="preserve">Office of </w:t>
            </w:r>
            <w:r w:rsidR="00CC2CB0">
              <w:rPr/>
              <w:t>Institutional Effectiveness representative</w:t>
            </w:r>
          </w:p>
          <w:p w:rsidR="00CC2CB0" w:rsidP="00355084" w:rsidRDefault="00CC2CB0" w14:paraId="1057678D" w14:textId="7BDBB2A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  <w:rPr/>
            </w:pPr>
            <w:r w:rsidR="00CC2CB0">
              <w:rPr/>
              <w:t xml:space="preserve">1 </w:t>
            </w:r>
            <w:r w:rsidR="4A909BA5">
              <w:rPr/>
              <w:t xml:space="preserve">Student Affairs </w:t>
            </w:r>
            <w:r w:rsidR="4A909BA5">
              <w:rPr/>
              <w:t>Leadersh</w:t>
            </w:r>
            <w:r w:rsidR="4A909BA5">
              <w:rPr/>
              <w:t>ip Team (</w:t>
            </w:r>
            <w:r w:rsidR="00CC2CB0">
              <w:rPr/>
              <w:t>SALT</w:t>
            </w:r>
            <w:r w:rsidR="75F6231D">
              <w:rPr/>
              <w:t>)</w:t>
            </w:r>
            <w:r w:rsidR="00CC2CB0">
              <w:rPr/>
              <w:t xml:space="preserve"> administrative representative </w:t>
            </w:r>
          </w:p>
          <w:p w:rsidRPr="004525BB" w:rsidR="00CC2CB0" w:rsidP="00355084" w:rsidRDefault="00CC2CB0" w14:paraId="7BABAC2E" w14:textId="6AC88AD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  <w:rPr/>
            </w:pPr>
            <w:r w:rsidR="00CC2CB0">
              <w:rPr/>
              <w:t>1 Dean of Instruction</w:t>
            </w:r>
            <w:bookmarkStart w:name="_GoBack" w:id="0"/>
            <w:bookmarkEnd w:id="0"/>
          </w:p>
          <w:p w:rsidR="00CC2CB0" w:rsidP="27E210F9" w:rsidRDefault="00CC2CB0" w14:paraId="689887E0" w14:textId="148A084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  <w:rPr/>
            </w:pPr>
            <w:r w:rsidR="007209C4">
              <w:rPr/>
              <w:t>2</w:t>
            </w:r>
            <w:r w:rsidR="00CC2CB0">
              <w:rPr/>
              <w:t xml:space="preserve"> </w:t>
            </w:r>
            <w:r w:rsidR="007209C4">
              <w:rPr/>
              <w:t>Student Representatives</w:t>
            </w:r>
          </w:p>
        </w:tc>
      </w:tr>
    </w:tbl>
    <w:p w:rsidR="00271C96" w:rsidRDefault="00271C96" w14:paraId="689887E2" w14:textId="77777777"/>
    <w:sectPr w:rsidR="00271C96" w:rsidSect="00E37F05">
      <w:headerReference w:type="default" r:id="rId7"/>
      <w:footerReference w:type="default" r:id="rId8"/>
      <w:pgSz w:w="15840" w:h="12240" w:orient="landscape"/>
      <w:pgMar w:top="900" w:right="720" w:bottom="990" w:left="720" w:header="270" w:footer="4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0DF" w:rsidRDefault="00B670DF" w14:paraId="586C1D1F" w14:textId="77777777">
      <w:r>
        <w:separator/>
      </w:r>
    </w:p>
  </w:endnote>
  <w:endnote w:type="continuationSeparator" w:id="0">
    <w:p w:rsidR="00B670DF" w:rsidRDefault="00B670DF" w14:paraId="6D8B5CD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F05" w:rsidP="27E210F9" w:rsidRDefault="00E37F05" w14:paraId="619D4244" w14:textId="64307B45">
    <w:pPr>
      <w:spacing w:line="183" w:lineRule="exact"/>
      <w:ind w:left="20"/>
      <w:rPr>
        <w:sz w:val="16"/>
        <w:szCs w:val="16"/>
      </w:rPr>
    </w:pPr>
    <w:r w:rsidRPr="27E210F9" w:rsidR="27E210F9">
      <w:rPr>
        <w:sz w:val="16"/>
        <w:szCs w:val="16"/>
      </w:rPr>
      <w:t xml:space="preserve">Reviewed by </w:t>
    </w:r>
    <w:r w:rsidRPr="27E210F9" w:rsidR="27E210F9">
      <w:rPr>
        <w:sz w:val="16"/>
        <w:szCs w:val="16"/>
      </w:rPr>
      <w:t>Academic Senate 4/26/23</w:t>
    </w:r>
  </w:p>
  <w:p w:rsidR="00E37F05" w:rsidP="27E210F9" w:rsidRDefault="00E37F05" w14:paraId="6B6FE960" w14:textId="5450FEDE">
    <w:pPr>
      <w:ind w:left="20" w:right="-1"/>
      <w:rPr>
        <w:sz w:val="16"/>
        <w:szCs w:val="16"/>
      </w:rPr>
    </w:pPr>
    <w:r w:rsidRPr="27E210F9" w:rsidR="27E210F9">
      <w:rPr>
        <w:sz w:val="16"/>
        <w:szCs w:val="16"/>
      </w:rPr>
      <w:t xml:space="preserve">Approved by </w:t>
    </w:r>
    <w:r w:rsidRPr="27E210F9" w:rsidR="27E210F9">
      <w:rPr>
        <w:sz w:val="16"/>
        <w:szCs w:val="16"/>
      </w:rPr>
      <w:t>Academic Senate 8/30/23</w:t>
    </w:r>
  </w:p>
  <w:p w:rsidR="00E37F05" w:rsidP="00E37F05" w:rsidRDefault="00E37F05" w14:paraId="69042356" w14:textId="2711A83D">
    <w:pPr>
      <w:ind w:left="20" w:right="-1"/>
      <w:rPr>
        <w:sz w:val="16"/>
      </w:rPr>
    </w:pPr>
    <w:r>
      <w:rPr>
        <w:sz w:val="16"/>
      </w:rPr>
      <w:t>Approved by __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0DF" w:rsidRDefault="00B670DF" w14:paraId="58187825" w14:textId="77777777">
      <w:r>
        <w:separator/>
      </w:r>
    </w:p>
  </w:footnote>
  <w:footnote w:type="continuationSeparator" w:id="0">
    <w:p w:rsidR="00B670DF" w:rsidRDefault="00B670DF" w14:paraId="722D66D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F05" w:rsidP="00E37F05" w:rsidRDefault="00E37F05" w14:paraId="30E0F12D" w14:textId="77777777">
    <w:pPr>
      <w:spacing w:line="244" w:lineRule="exact"/>
      <w:jc w:val="center"/>
      <w:rPr>
        <w:b/>
      </w:rPr>
    </w:pPr>
    <w:r>
      <w:rPr>
        <w:b/>
      </w:rPr>
      <w:t>BAKERSFIELD COLLEGE</w:t>
    </w:r>
  </w:p>
  <w:p w:rsidR="00F40732" w:rsidP="005B4DB7" w:rsidRDefault="00E37F05" w14:paraId="689887E2" w14:textId="030F760B">
    <w:pPr>
      <w:jc w:val="center"/>
      <w:rPr>
        <w:sz w:val="20"/>
      </w:rPr>
    </w:pPr>
    <w:r>
      <w:rPr>
        <w:b/>
      </w:rPr>
      <w:t xml:space="preserve">PROPOSED: </w:t>
    </w:r>
    <w:r w:rsidR="002B4AB3">
      <w:t>BC AB 928 Implementation Task Force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94762"/>
    <w:multiLevelType w:val="hybridMultilevel"/>
    <w:tmpl w:val="74F42F30"/>
    <w:lvl w:ilvl="0" w:tplc="C680C288">
      <w:numFmt w:val="bullet"/>
      <w:lvlText w:val=""/>
      <w:lvlJc w:val="left"/>
      <w:pPr>
        <w:ind w:left="543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en-US"/>
      </w:rPr>
    </w:lvl>
    <w:lvl w:ilvl="1" w:tplc="540EFBEA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en-US"/>
      </w:rPr>
    </w:lvl>
    <w:lvl w:ilvl="2" w:tplc="C628A4EE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en-US"/>
      </w:rPr>
    </w:lvl>
    <w:lvl w:ilvl="3" w:tplc="D52A454E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en-US"/>
      </w:rPr>
    </w:lvl>
    <w:lvl w:ilvl="4" w:tplc="4A481D38"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en-US"/>
      </w:rPr>
    </w:lvl>
    <w:lvl w:ilvl="5" w:tplc="3356D3A4">
      <w:numFmt w:val="bullet"/>
      <w:lvlText w:val="•"/>
      <w:lvlJc w:val="left"/>
      <w:pPr>
        <w:ind w:left="5982" w:hanging="360"/>
      </w:pPr>
      <w:rPr>
        <w:rFonts w:hint="default"/>
        <w:lang w:val="en-US" w:eastAsia="en-US" w:bidi="en-US"/>
      </w:rPr>
    </w:lvl>
    <w:lvl w:ilvl="6" w:tplc="B67088D4">
      <w:numFmt w:val="bullet"/>
      <w:lvlText w:val="•"/>
      <w:lvlJc w:val="left"/>
      <w:pPr>
        <w:ind w:left="7071" w:hanging="360"/>
      </w:pPr>
      <w:rPr>
        <w:rFonts w:hint="default"/>
        <w:lang w:val="en-US" w:eastAsia="en-US" w:bidi="en-US"/>
      </w:rPr>
    </w:lvl>
    <w:lvl w:ilvl="7" w:tplc="949EDDF8">
      <w:numFmt w:val="bullet"/>
      <w:lvlText w:val="•"/>
      <w:lvlJc w:val="left"/>
      <w:pPr>
        <w:ind w:left="8159" w:hanging="360"/>
      </w:pPr>
      <w:rPr>
        <w:rFonts w:hint="default"/>
        <w:lang w:val="en-US" w:eastAsia="en-US" w:bidi="en-US"/>
      </w:rPr>
    </w:lvl>
    <w:lvl w:ilvl="8" w:tplc="FE0CD3AA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E9925A7"/>
    <w:multiLevelType w:val="hybridMultilevel"/>
    <w:tmpl w:val="71F6582A"/>
    <w:lvl w:ilvl="0" w:tplc="9EA0E526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en-US"/>
      </w:rPr>
    </w:lvl>
    <w:lvl w:ilvl="1" w:tplc="A60A54E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38EE64AC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en-US"/>
      </w:rPr>
    </w:lvl>
    <w:lvl w:ilvl="3" w:tplc="AB0EE98C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en-US"/>
      </w:rPr>
    </w:lvl>
    <w:lvl w:ilvl="4" w:tplc="4434D4F6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en-US"/>
      </w:rPr>
    </w:lvl>
    <w:lvl w:ilvl="5" w:tplc="9D9E51F0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6" w:tplc="B83C4E54">
      <w:numFmt w:val="bullet"/>
      <w:lvlText w:val="•"/>
      <w:lvlJc w:val="left"/>
      <w:pPr>
        <w:ind w:left="7031" w:hanging="360"/>
      </w:pPr>
      <w:rPr>
        <w:rFonts w:hint="default"/>
        <w:lang w:val="en-US" w:eastAsia="en-US" w:bidi="en-US"/>
      </w:rPr>
    </w:lvl>
    <w:lvl w:ilvl="7" w:tplc="82C433EE">
      <w:numFmt w:val="bullet"/>
      <w:lvlText w:val="•"/>
      <w:lvlJc w:val="left"/>
      <w:pPr>
        <w:ind w:left="8130" w:hanging="360"/>
      </w:pPr>
      <w:rPr>
        <w:rFonts w:hint="default"/>
        <w:lang w:val="en-US" w:eastAsia="en-US" w:bidi="en-US"/>
      </w:rPr>
    </w:lvl>
    <w:lvl w:ilvl="8" w:tplc="BFC46FE6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149460D"/>
    <w:multiLevelType w:val="hybridMultilevel"/>
    <w:tmpl w:val="24FE7D18"/>
    <w:lvl w:ilvl="0" w:tplc="952EA0A6">
      <w:start w:val="1"/>
      <w:numFmt w:val="decimal"/>
      <w:lvlText w:val="%1."/>
      <w:lvlJc w:val="left"/>
      <w:pPr>
        <w:ind w:left="1315" w:hanging="216"/>
      </w:pPr>
      <w:rPr>
        <w:rFonts w:hint="default" w:ascii="Calibri" w:hAnsi="Calibri" w:eastAsia="Calibri" w:cs="Calibri"/>
        <w:w w:val="99"/>
        <w:sz w:val="22"/>
        <w:szCs w:val="22"/>
        <w:lang w:val="en-US" w:eastAsia="en-US" w:bidi="en-US"/>
      </w:rPr>
    </w:lvl>
    <w:lvl w:ilvl="1" w:tplc="7F50C392">
      <w:numFmt w:val="bullet"/>
      <w:lvlText w:val="•"/>
      <w:lvlJc w:val="left"/>
      <w:pPr>
        <w:ind w:left="2588" w:hanging="216"/>
      </w:pPr>
      <w:rPr>
        <w:rFonts w:hint="default"/>
        <w:lang w:val="en-US" w:eastAsia="en-US" w:bidi="en-US"/>
      </w:rPr>
    </w:lvl>
    <w:lvl w:ilvl="2" w:tplc="47641B7A">
      <w:numFmt w:val="bullet"/>
      <w:lvlText w:val="•"/>
      <w:lvlJc w:val="left"/>
      <w:pPr>
        <w:ind w:left="3856" w:hanging="216"/>
      </w:pPr>
      <w:rPr>
        <w:rFonts w:hint="default"/>
        <w:lang w:val="en-US" w:eastAsia="en-US" w:bidi="en-US"/>
      </w:rPr>
    </w:lvl>
    <w:lvl w:ilvl="3" w:tplc="93B88E2E">
      <w:numFmt w:val="bullet"/>
      <w:lvlText w:val="•"/>
      <w:lvlJc w:val="left"/>
      <w:pPr>
        <w:ind w:left="5124" w:hanging="216"/>
      </w:pPr>
      <w:rPr>
        <w:rFonts w:hint="default"/>
        <w:lang w:val="en-US" w:eastAsia="en-US" w:bidi="en-US"/>
      </w:rPr>
    </w:lvl>
    <w:lvl w:ilvl="4" w:tplc="22E61838">
      <w:numFmt w:val="bullet"/>
      <w:lvlText w:val="•"/>
      <w:lvlJc w:val="left"/>
      <w:pPr>
        <w:ind w:left="6392" w:hanging="216"/>
      </w:pPr>
      <w:rPr>
        <w:rFonts w:hint="default"/>
        <w:lang w:val="en-US" w:eastAsia="en-US" w:bidi="en-US"/>
      </w:rPr>
    </w:lvl>
    <w:lvl w:ilvl="5" w:tplc="8E54B1AE">
      <w:numFmt w:val="bullet"/>
      <w:lvlText w:val="•"/>
      <w:lvlJc w:val="left"/>
      <w:pPr>
        <w:ind w:left="7660" w:hanging="216"/>
      </w:pPr>
      <w:rPr>
        <w:rFonts w:hint="default"/>
        <w:lang w:val="en-US" w:eastAsia="en-US" w:bidi="en-US"/>
      </w:rPr>
    </w:lvl>
    <w:lvl w:ilvl="6" w:tplc="E92CD6E8">
      <w:numFmt w:val="bullet"/>
      <w:lvlText w:val="•"/>
      <w:lvlJc w:val="left"/>
      <w:pPr>
        <w:ind w:left="8928" w:hanging="216"/>
      </w:pPr>
      <w:rPr>
        <w:rFonts w:hint="default"/>
        <w:lang w:val="en-US" w:eastAsia="en-US" w:bidi="en-US"/>
      </w:rPr>
    </w:lvl>
    <w:lvl w:ilvl="7" w:tplc="1548E2E8">
      <w:numFmt w:val="bullet"/>
      <w:lvlText w:val="•"/>
      <w:lvlJc w:val="left"/>
      <w:pPr>
        <w:ind w:left="10196" w:hanging="216"/>
      </w:pPr>
      <w:rPr>
        <w:rFonts w:hint="default"/>
        <w:lang w:val="en-US" w:eastAsia="en-US" w:bidi="en-US"/>
      </w:rPr>
    </w:lvl>
    <w:lvl w:ilvl="8" w:tplc="A0764BC8">
      <w:numFmt w:val="bullet"/>
      <w:lvlText w:val="•"/>
      <w:lvlJc w:val="left"/>
      <w:pPr>
        <w:ind w:left="11464" w:hanging="216"/>
      </w:pPr>
      <w:rPr>
        <w:rFonts w:hint="default"/>
        <w:lang w:val="en-US" w:eastAsia="en-US" w:bidi="en-US"/>
      </w:rPr>
    </w:lvl>
  </w:abstractNum>
  <w:abstractNum w:abstractNumId="3" w15:restartNumberingAfterBreak="0">
    <w:nsid w:val="7B7C19E7"/>
    <w:multiLevelType w:val="hybridMultilevel"/>
    <w:tmpl w:val="C5E6B476"/>
    <w:lvl w:ilvl="0" w:tplc="04090001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32"/>
    <w:rsid w:val="00036C5B"/>
    <w:rsid w:val="0004402E"/>
    <w:rsid w:val="00074770"/>
    <w:rsid w:val="00095379"/>
    <w:rsid w:val="000B4C94"/>
    <w:rsid w:val="000B58DF"/>
    <w:rsid w:val="000F75FE"/>
    <w:rsid w:val="00131C25"/>
    <w:rsid w:val="00143B74"/>
    <w:rsid w:val="00145D17"/>
    <w:rsid w:val="00161C02"/>
    <w:rsid w:val="001E6EB8"/>
    <w:rsid w:val="002667C0"/>
    <w:rsid w:val="00271C96"/>
    <w:rsid w:val="002973DF"/>
    <w:rsid w:val="002A0E9B"/>
    <w:rsid w:val="002A6FD4"/>
    <w:rsid w:val="002B4AB3"/>
    <w:rsid w:val="002F2274"/>
    <w:rsid w:val="00302594"/>
    <w:rsid w:val="00355084"/>
    <w:rsid w:val="003D002C"/>
    <w:rsid w:val="003E56B0"/>
    <w:rsid w:val="00401DBE"/>
    <w:rsid w:val="00401EB8"/>
    <w:rsid w:val="004020C0"/>
    <w:rsid w:val="0043379C"/>
    <w:rsid w:val="0043623D"/>
    <w:rsid w:val="00436760"/>
    <w:rsid w:val="00437D12"/>
    <w:rsid w:val="004525BB"/>
    <w:rsid w:val="00460094"/>
    <w:rsid w:val="00475379"/>
    <w:rsid w:val="004A46D7"/>
    <w:rsid w:val="004B2690"/>
    <w:rsid w:val="005108F0"/>
    <w:rsid w:val="00515FAF"/>
    <w:rsid w:val="00562118"/>
    <w:rsid w:val="00573FB6"/>
    <w:rsid w:val="00595DD2"/>
    <w:rsid w:val="005B4DB7"/>
    <w:rsid w:val="005E718F"/>
    <w:rsid w:val="00640E2D"/>
    <w:rsid w:val="00641736"/>
    <w:rsid w:val="00671EC5"/>
    <w:rsid w:val="006A0EA2"/>
    <w:rsid w:val="006E1CF7"/>
    <w:rsid w:val="007209C4"/>
    <w:rsid w:val="0072418F"/>
    <w:rsid w:val="007E5BF6"/>
    <w:rsid w:val="008001A6"/>
    <w:rsid w:val="008007F9"/>
    <w:rsid w:val="00837CC2"/>
    <w:rsid w:val="00867E5A"/>
    <w:rsid w:val="00894A8C"/>
    <w:rsid w:val="008C3339"/>
    <w:rsid w:val="008C450C"/>
    <w:rsid w:val="008D2BA8"/>
    <w:rsid w:val="008E3633"/>
    <w:rsid w:val="00941A47"/>
    <w:rsid w:val="009D2D1B"/>
    <w:rsid w:val="009D5BFB"/>
    <w:rsid w:val="00A02470"/>
    <w:rsid w:val="00A14A85"/>
    <w:rsid w:val="00A33B12"/>
    <w:rsid w:val="00A62723"/>
    <w:rsid w:val="00A85B4C"/>
    <w:rsid w:val="00AA434C"/>
    <w:rsid w:val="00AA7FF1"/>
    <w:rsid w:val="00AD1F26"/>
    <w:rsid w:val="00AF6FAE"/>
    <w:rsid w:val="00B35556"/>
    <w:rsid w:val="00B65AB1"/>
    <w:rsid w:val="00B670DF"/>
    <w:rsid w:val="00B77BB5"/>
    <w:rsid w:val="00B941BC"/>
    <w:rsid w:val="00BC5452"/>
    <w:rsid w:val="00BE68BB"/>
    <w:rsid w:val="00C30D0B"/>
    <w:rsid w:val="00C528FB"/>
    <w:rsid w:val="00C5768E"/>
    <w:rsid w:val="00C62894"/>
    <w:rsid w:val="00C9558B"/>
    <w:rsid w:val="00CC2CB0"/>
    <w:rsid w:val="00CC66B6"/>
    <w:rsid w:val="00CF23C7"/>
    <w:rsid w:val="00CF5676"/>
    <w:rsid w:val="00D202D0"/>
    <w:rsid w:val="00D22BB0"/>
    <w:rsid w:val="00D31B45"/>
    <w:rsid w:val="00D324BA"/>
    <w:rsid w:val="00D43FD7"/>
    <w:rsid w:val="00D46F5F"/>
    <w:rsid w:val="00DA666A"/>
    <w:rsid w:val="00DB7588"/>
    <w:rsid w:val="00DC4292"/>
    <w:rsid w:val="00E14483"/>
    <w:rsid w:val="00E14A13"/>
    <w:rsid w:val="00E208DD"/>
    <w:rsid w:val="00E37504"/>
    <w:rsid w:val="00E37F05"/>
    <w:rsid w:val="00EA56BE"/>
    <w:rsid w:val="00EB5B1D"/>
    <w:rsid w:val="00F00FBB"/>
    <w:rsid w:val="00F0300A"/>
    <w:rsid w:val="00F3573C"/>
    <w:rsid w:val="00F40732"/>
    <w:rsid w:val="00F850D6"/>
    <w:rsid w:val="00FA750E"/>
    <w:rsid w:val="00FB6C16"/>
    <w:rsid w:val="00FF28D2"/>
    <w:rsid w:val="17049141"/>
    <w:rsid w:val="194E18B2"/>
    <w:rsid w:val="214EE7BA"/>
    <w:rsid w:val="236BFF71"/>
    <w:rsid w:val="27A98C8A"/>
    <w:rsid w:val="27E210F9"/>
    <w:rsid w:val="33734226"/>
    <w:rsid w:val="3399DD80"/>
    <w:rsid w:val="39F95245"/>
    <w:rsid w:val="3B5B0901"/>
    <w:rsid w:val="4150E485"/>
    <w:rsid w:val="43ABABD1"/>
    <w:rsid w:val="45C531C1"/>
    <w:rsid w:val="47646D00"/>
    <w:rsid w:val="4A909BA5"/>
    <w:rsid w:val="51008615"/>
    <w:rsid w:val="51B938F4"/>
    <w:rsid w:val="5F5065C0"/>
    <w:rsid w:val="6B3E290C"/>
    <w:rsid w:val="6D8CC330"/>
    <w:rsid w:val="6F289391"/>
    <w:rsid w:val="7359C127"/>
    <w:rsid w:val="75F6231D"/>
    <w:rsid w:val="76F7C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887AB"/>
  <w15:docId w15:val="{C19E347E-6C17-4A49-9F39-6AA6B018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74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99"/>
    </w:pPr>
  </w:style>
  <w:style w:type="paragraph" w:styleId="TableParagraph" w:customStyle="1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6009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60094"/>
    <w:rPr>
      <w:rFonts w:ascii="Calibri" w:hAnsi="Calibri" w:eastAsia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6009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60094"/>
    <w:rPr>
      <w:rFonts w:ascii="Calibri" w:hAnsi="Calibri" w:eastAsia="Calibri" w:cs="Calibri"/>
      <w:lang w:bidi="en-US"/>
    </w:rPr>
  </w:style>
  <w:style w:type="table" w:styleId="GridTable5Dark">
    <w:name w:val="Grid Table 5 Dark"/>
    <w:basedOn w:val="TableNormal"/>
    <w:uiPriority w:val="50"/>
    <w:rsid w:val="008E363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1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EC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1EC5"/>
    <w:rPr>
      <w:rFonts w:ascii="Calibri" w:hAnsi="Calibri" w:eastAsia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EC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1EC5"/>
    <w:rPr>
      <w:rFonts w:ascii="Calibri" w:hAnsi="Calibri" w:eastAsia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BC Winter Intercession Task Force Charge DRAFT</dc:title>
  <dc:creator>E M</dc:creator>
  <lastModifiedBy>Erica Menchaca</lastModifiedBy>
  <revision>13</revision>
  <dcterms:created xsi:type="dcterms:W3CDTF">2023-03-15T03:22:00.0000000Z</dcterms:created>
  <dcterms:modified xsi:type="dcterms:W3CDTF">2023-08-31T19:04:28.3570660Z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2020-08-06T00:00:00Z</vt:filetime>
  </property>
</Properties>
</file>