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519"/>
        <w:gridCol w:w="4104"/>
        <w:gridCol w:w="3818"/>
        <w:gridCol w:w="3097"/>
        <w:gridCol w:w="990"/>
        <w:gridCol w:w="1980"/>
      </w:tblGrid>
      <w:tr w:rsidR="00690258" w:rsidRPr="003E79FE" w:rsidTr="00690258">
        <w:trPr>
          <w:trHeight w:val="710"/>
        </w:trPr>
        <w:tc>
          <w:tcPr>
            <w:tcW w:w="12528" w:type="dxa"/>
            <w:gridSpan w:val="5"/>
            <w:hideMark/>
          </w:tcPr>
          <w:p w:rsidR="00690258" w:rsidRPr="008F2536" w:rsidRDefault="00690258" w:rsidP="008B72A7">
            <w:pPr>
              <w:spacing w:line="240" w:lineRule="auto"/>
              <w:rPr>
                <w:rFonts w:asciiTheme="majorHAnsi" w:hAnsiTheme="majorHAnsi"/>
                <w:b/>
                <w:bCs/>
                <w:color w:val="C00000"/>
                <w:sz w:val="28"/>
                <w:szCs w:val="28"/>
              </w:rPr>
            </w:pPr>
            <w:r w:rsidRPr="008F2536">
              <w:rPr>
                <w:rFonts w:asciiTheme="majorHAnsi" w:hAnsiTheme="majorHAnsi"/>
                <w:b/>
                <w:bCs/>
                <w:color w:val="C00000"/>
                <w:sz w:val="28"/>
                <w:szCs w:val="28"/>
              </w:rPr>
              <w:t>Direction #1   Student Learning</w:t>
            </w:r>
          </w:p>
          <w:p w:rsidR="00690258" w:rsidRPr="003E79FE" w:rsidRDefault="00690258" w:rsidP="008B72A7">
            <w:pPr>
              <w:spacing w:line="240" w:lineRule="auto"/>
              <w:rPr>
                <w:rFonts w:asciiTheme="majorHAnsi" w:hAnsiTheme="majorHAnsi"/>
                <w:b/>
                <w:bCs/>
                <w:sz w:val="24"/>
                <w:szCs w:val="24"/>
              </w:rPr>
            </w:pPr>
            <w:r w:rsidRPr="003E79FE">
              <w:rPr>
                <w:rFonts w:asciiTheme="majorHAnsi" w:hAnsiTheme="majorHAnsi"/>
                <w:i/>
                <w:iCs/>
                <w:sz w:val="24"/>
                <w:szCs w:val="24"/>
              </w:rPr>
              <w:t>A commitment to provide a holistic education that develops curiosity inquiry, and empowered learners.</w:t>
            </w:r>
          </w:p>
        </w:tc>
        <w:tc>
          <w:tcPr>
            <w:tcW w:w="1980" w:type="dxa"/>
            <w:vAlign w:val="center"/>
          </w:tcPr>
          <w:p w:rsidR="00690258" w:rsidRPr="00690258" w:rsidRDefault="00690258" w:rsidP="00690258">
            <w:pPr>
              <w:spacing w:line="240" w:lineRule="auto"/>
              <w:jc w:val="center"/>
              <w:rPr>
                <w:rFonts w:asciiTheme="majorHAnsi" w:hAnsiTheme="majorHAnsi"/>
                <w:bCs/>
                <w:sz w:val="28"/>
                <w:szCs w:val="28"/>
              </w:rPr>
            </w:pPr>
          </w:p>
        </w:tc>
      </w:tr>
      <w:tr w:rsidR="00690258" w:rsidRPr="0054076E" w:rsidTr="00690258">
        <w:trPr>
          <w:trHeight w:val="840"/>
        </w:trPr>
        <w:tc>
          <w:tcPr>
            <w:tcW w:w="519" w:type="dxa"/>
            <w:tcBorders>
              <w:bottom w:val="single" w:sz="4" w:space="0" w:color="auto"/>
            </w:tcBorders>
            <w:vAlign w:val="center"/>
            <w:hideMark/>
          </w:tcPr>
          <w:p w:rsidR="00690258" w:rsidRPr="003E79FE" w:rsidRDefault="00690258" w:rsidP="008B72A7">
            <w:pPr>
              <w:spacing w:line="240" w:lineRule="auto"/>
              <w:jc w:val="center"/>
              <w:rPr>
                <w:rFonts w:asciiTheme="majorHAnsi" w:hAnsiTheme="majorHAnsi"/>
                <w:sz w:val="24"/>
                <w:szCs w:val="24"/>
              </w:rPr>
            </w:pPr>
          </w:p>
        </w:tc>
        <w:tc>
          <w:tcPr>
            <w:tcW w:w="4104" w:type="dxa"/>
            <w:tcBorders>
              <w:bottom w:val="single" w:sz="4" w:space="0" w:color="auto"/>
            </w:tcBorders>
            <w:vAlign w:val="center"/>
            <w:hideMark/>
          </w:tcPr>
          <w:p w:rsidR="00690258" w:rsidRPr="0054076E" w:rsidRDefault="00690258" w:rsidP="008B72A7">
            <w:pPr>
              <w:spacing w:line="240" w:lineRule="auto"/>
              <w:jc w:val="center"/>
              <w:rPr>
                <w:rFonts w:asciiTheme="majorHAnsi" w:hAnsiTheme="majorHAnsi"/>
                <w:b/>
                <w:bCs/>
                <w:color w:val="C00000"/>
              </w:rPr>
            </w:pPr>
            <w:r w:rsidRPr="0054076E">
              <w:rPr>
                <w:rFonts w:asciiTheme="majorHAnsi" w:hAnsiTheme="majorHAnsi"/>
                <w:b/>
                <w:bCs/>
                <w:color w:val="C00000"/>
              </w:rPr>
              <w:t>Initiatives</w:t>
            </w:r>
          </w:p>
        </w:tc>
        <w:tc>
          <w:tcPr>
            <w:tcW w:w="3818" w:type="dxa"/>
            <w:tcBorders>
              <w:bottom w:val="single" w:sz="4" w:space="0" w:color="auto"/>
            </w:tcBorders>
            <w:vAlign w:val="center"/>
            <w:hideMark/>
          </w:tcPr>
          <w:p w:rsidR="00690258" w:rsidRPr="0054076E" w:rsidRDefault="00690258" w:rsidP="008B72A7">
            <w:pPr>
              <w:spacing w:line="240" w:lineRule="auto"/>
              <w:jc w:val="center"/>
              <w:rPr>
                <w:rFonts w:asciiTheme="majorHAnsi" w:hAnsiTheme="majorHAnsi"/>
                <w:b/>
                <w:bCs/>
                <w:color w:val="C00000"/>
              </w:rPr>
            </w:pPr>
            <w:r w:rsidRPr="0054076E">
              <w:rPr>
                <w:rFonts w:asciiTheme="majorHAnsi" w:hAnsiTheme="majorHAnsi"/>
                <w:b/>
                <w:bCs/>
                <w:color w:val="C00000"/>
              </w:rPr>
              <w:t>How will you evaluate and document the initiative’s success?</w:t>
            </w:r>
          </w:p>
        </w:tc>
        <w:tc>
          <w:tcPr>
            <w:tcW w:w="3097" w:type="dxa"/>
            <w:tcBorders>
              <w:bottom w:val="single" w:sz="4" w:space="0" w:color="auto"/>
            </w:tcBorders>
            <w:vAlign w:val="center"/>
            <w:hideMark/>
          </w:tcPr>
          <w:p w:rsidR="00690258" w:rsidRPr="0054076E" w:rsidRDefault="00690258" w:rsidP="008B72A7">
            <w:pPr>
              <w:spacing w:line="240" w:lineRule="auto"/>
              <w:jc w:val="center"/>
              <w:rPr>
                <w:rFonts w:asciiTheme="majorHAnsi" w:hAnsiTheme="majorHAnsi"/>
                <w:b/>
                <w:bCs/>
                <w:color w:val="C00000"/>
              </w:rPr>
            </w:pPr>
            <w:r w:rsidRPr="0054076E">
              <w:rPr>
                <w:rFonts w:asciiTheme="majorHAnsi" w:hAnsiTheme="majorHAnsi"/>
                <w:b/>
                <w:bCs/>
                <w:color w:val="C00000"/>
              </w:rPr>
              <w:t xml:space="preserve">What committee or position would be responsible? </w:t>
            </w:r>
          </w:p>
          <w:p w:rsidR="00690258" w:rsidRPr="0054076E" w:rsidRDefault="00690258" w:rsidP="008B72A7">
            <w:pPr>
              <w:spacing w:line="240" w:lineRule="auto"/>
              <w:jc w:val="center"/>
              <w:rPr>
                <w:rFonts w:asciiTheme="majorHAnsi" w:hAnsiTheme="majorHAnsi"/>
                <w:b/>
                <w:bCs/>
                <w:color w:val="C00000"/>
              </w:rPr>
            </w:pPr>
            <w:r w:rsidRPr="0054076E">
              <w:rPr>
                <w:rFonts w:asciiTheme="majorHAnsi" w:hAnsiTheme="majorHAnsi"/>
                <w:b/>
                <w:bCs/>
                <w:color w:val="C00000"/>
              </w:rPr>
              <w:t>(The person closing the loop and reporting out)</w:t>
            </w:r>
          </w:p>
        </w:tc>
        <w:tc>
          <w:tcPr>
            <w:tcW w:w="990" w:type="dxa"/>
            <w:tcBorders>
              <w:bottom w:val="single" w:sz="4" w:space="0" w:color="auto"/>
            </w:tcBorders>
            <w:vAlign w:val="center"/>
            <w:hideMark/>
          </w:tcPr>
          <w:p w:rsidR="00690258" w:rsidRPr="0054076E" w:rsidRDefault="00690258" w:rsidP="008B72A7">
            <w:pPr>
              <w:spacing w:line="240" w:lineRule="auto"/>
              <w:jc w:val="center"/>
              <w:rPr>
                <w:rFonts w:asciiTheme="majorHAnsi" w:hAnsiTheme="majorHAnsi"/>
                <w:b/>
                <w:bCs/>
                <w:color w:val="C00000"/>
              </w:rPr>
            </w:pPr>
            <w:r w:rsidRPr="0054076E">
              <w:rPr>
                <w:rFonts w:asciiTheme="majorHAnsi" w:hAnsiTheme="majorHAnsi"/>
                <w:b/>
                <w:bCs/>
                <w:color w:val="C00000"/>
              </w:rPr>
              <w:t>Scoring</w:t>
            </w:r>
          </w:p>
        </w:tc>
        <w:tc>
          <w:tcPr>
            <w:tcW w:w="1980" w:type="dxa"/>
            <w:tcBorders>
              <w:bottom w:val="single" w:sz="4" w:space="0" w:color="auto"/>
            </w:tcBorders>
            <w:vAlign w:val="center"/>
          </w:tcPr>
          <w:p w:rsidR="00690258" w:rsidRPr="00690258" w:rsidRDefault="00690258" w:rsidP="008B72A7">
            <w:pPr>
              <w:spacing w:line="240" w:lineRule="auto"/>
              <w:jc w:val="center"/>
              <w:rPr>
                <w:rFonts w:asciiTheme="majorHAnsi" w:hAnsiTheme="majorHAnsi"/>
                <w:b/>
                <w:bCs/>
              </w:rPr>
            </w:pPr>
            <w:r w:rsidRPr="00690258">
              <w:rPr>
                <w:rFonts w:asciiTheme="majorHAnsi" w:hAnsiTheme="majorHAnsi"/>
                <w:b/>
                <w:bCs/>
              </w:rPr>
              <w:t>Notes</w:t>
            </w:r>
          </w:p>
        </w:tc>
      </w:tr>
      <w:tr w:rsidR="00690258" w:rsidRPr="003E79FE" w:rsidTr="00690258">
        <w:trPr>
          <w:trHeight w:val="330"/>
        </w:trPr>
        <w:tc>
          <w:tcPr>
            <w:tcW w:w="12528" w:type="dxa"/>
            <w:gridSpan w:val="5"/>
            <w:shd w:val="clear" w:color="auto" w:fill="D99594" w:themeFill="accent2" w:themeFillTint="99"/>
            <w:vAlign w:val="center"/>
            <w:hideMark/>
          </w:tcPr>
          <w:p w:rsidR="00690258" w:rsidRPr="003E79FE" w:rsidRDefault="00690258" w:rsidP="008B72A7">
            <w:pPr>
              <w:spacing w:line="240" w:lineRule="auto"/>
              <w:jc w:val="center"/>
              <w:rPr>
                <w:rFonts w:asciiTheme="majorHAnsi" w:hAnsiTheme="majorHAnsi"/>
                <w:b/>
                <w:bCs/>
                <w:sz w:val="24"/>
                <w:szCs w:val="24"/>
              </w:rPr>
            </w:pPr>
            <w:r w:rsidRPr="008F2536">
              <w:rPr>
                <w:rFonts w:asciiTheme="majorHAnsi" w:hAnsiTheme="majorHAnsi"/>
                <w:b/>
                <w:bCs/>
                <w:szCs w:val="24"/>
              </w:rPr>
              <w:t>Academic Curriculum</w:t>
            </w:r>
          </w:p>
        </w:tc>
        <w:tc>
          <w:tcPr>
            <w:tcW w:w="1980" w:type="dxa"/>
            <w:shd w:val="clear" w:color="auto" w:fill="D99594" w:themeFill="accent2" w:themeFillTint="99"/>
          </w:tcPr>
          <w:p w:rsidR="00690258" w:rsidRPr="008F2536" w:rsidRDefault="00690258" w:rsidP="008B72A7">
            <w:pPr>
              <w:spacing w:line="240" w:lineRule="auto"/>
              <w:jc w:val="center"/>
              <w:rPr>
                <w:rFonts w:asciiTheme="majorHAnsi" w:hAnsiTheme="majorHAnsi"/>
                <w:b/>
                <w:bCs/>
                <w:szCs w:val="24"/>
              </w:rPr>
            </w:pPr>
          </w:p>
        </w:tc>
      </w:tr>
      <w:tr w:rsidR="00690258" w:rsidRPr="003E79FE" w:rsidTr="00690258">
        <w:trPr>
          <w:trHeight w:val="870"/>
        </w:trPr>
        <w:tc>
          <w:tcPr>
            <w:tcW w:w="519" w:type="dxa"/>
            <w:hideMark/>
          </w:tcPr>
          <w:p w:rsidR="00690258" w:rsidRPr="008F2536" w:rsidRDefault="00690258" w:rsidP="008B72A7">
            <w:pPr>
              <w:pStyle w:val="ListParagraph"/>
              <w:numPr>
                <w:ilvl w:val="0"/>
                <w:numId w:val="1"/>
              </w:numPr>
              <w:spacing w:line="240" w:lineRule="auto"/>
              <w:rPr>
                <w:rFonts w:asciiTheme="majorHAnsi" w:hAnsiTheme="majorHAnsi"/>
                <w:sz w:val="20"/>
                <w:szCs w:val="24"/>
              </w:rPr>
            </w:pPr>
          </w:p>
        </w:tc>
        <w:tc>
          <w:tcPr>
            <w:tcW w:w="4104" w:type="dxa"/>
            <w:hideMark/>
          </w:tcPr>
          <w:p w:rsidR="00690258" w:rsidRPr="008F2536" w:rsidRDefault="00690258" w:rsidP="008B72A7">
            <w:pPr>
              <w:spacing w:line="240" w:lineRule="auto"/>
              <w:rPr>
                <w:rFonts w:asciiTheme="majorHAnsi" w:hAnsiTheme="majorHAnsi"/>
                <w:sz w:val="20"/>
                <w:szCs w:val="24"/>
              </w:rPr>
            </w:pPr>
            <w:r w:rsidRPr="008F2536">
              <w:rPr>
                <w:rFonts w:asciiTheme="majorHAnsi" w:hAnsiTheme="majorHAnsi"/>
                <w:sz w:val="20"/>
                <w:szCs w:val="24"/>
              </w:rPr>
              <w:t xml:space="preserve">Evaluate and update pre-collegiate curriculum. </w:t>
            </w:r>
          </w:p>
        </w:tc>
        <w:tc>
          <w:tcPr>
            <w:tcW w:w="3818" w:type="dxa"/>
            <w:hideMark/>
          </w:tcPr>
          <w:p w:rsidR="00690258" w:rsidRPr="008F2536" w:rsidRDefault="00690258" w:rsidP="008B72A7">
            <w:pPr>
              <w:spacing w:line="240" w:lineRule="auto"/>
              <w:rPr>
                <w:rFonts w:asciiTheme="majorHAnsi" w:hAnsiTheme="majorHAnsi"/>
                <w:sz w:val="20"/>
                <w:szCs w:val="24"/>
              </w:rPr>
            </w:pPr>
            <w:r w:rsidRPr="008F2536">
              <w:rPr>
                <w:rFonts w:asciiTheme="majorHAnsi" w:hAnsiTheme="majorHAnsi"/>
                <w:sz w:val="20"/>
                <w:szCs w:val="24"/>
              </w:rPr>
              <w:t>Examine program reviews of programs that include pre-collegiate curriculum.  Compare success and retention rates of pre-collegiate courses from ODS.</w:t>
            </w:r>
          </w:p>
        </w:tc>
        <w:tc>
          <w:tcPr>
            <w:tcW w:w="3097" w:type="dxa"/>
            <w:hideMark/>
          </w:tcPr>
          <w:p w:rsidR="00690258" w:rsidRPr="0054076E" w:rsidRDefault="00690258" w:rsidP="008B72A7">
            <w:pPr>
              <w:spacing w:line="240" w:lineRule="auto"/>
              <w:rPr>
                <w:rFonts w:asciiTheme="majorHAnsi" w:hAnsiTheme="majorHAnsi"/>
                <w:b/>
                <w:sz w:val="20"/>
                <w:szCs w:val="24"/>
              </w:rPr>
            </w:pPr>
            <w:r w:rsidRPr="0054076E">
              <w:rPr>
                <w:rFonts w:asciiTheme="majorHAnsi" w:hAnsiTheme="majorHAnsi"/>
                <w:b/>
                <w:sz w:val="20"/>
                <w:szCs w:val="24"/>
              </w:rPr>
              <w:t xml:space="preserve">Academic Senate, </w:t>
            </w:r>
          </w:p>
          <w:p w:rsidR="00690258" w:rsidRPr="0054076E" w:rsidRDefault="00690258" w:rsidP="008B72A7">
            <w:pPr>
              <w:spacing w:line="240" w:lineRule="auto"/>
              <w:rPr>
                <w:rFonts w:asciiTheme="majorHAnsi" w:hAnsiTheme="majorHAnsi"/>
                <w:color w:val="FF0000"/>
                <w:sz w:val="20"/>
                <w:szCs w:val="24"/>
              </w:rPr>
            </w:pPr>
            <w:r w:rsidRPr="0054076E">
              <w:rPr>
                <w:rFonts w:asciiTheme="majorHAnsi" w:hAnsiTheme="majorHAnsi"/>
                <w:color w:val="FF0000"/>
                <w:sz w:val="20"/>
                <w:szCs w:val="24"/>
              </w:rPr>
              <w:t xml:space="preserve">Program Review Committee, </w:t>
            </w:r>
          </w:p>
          <w:p w:rsidR="00690258" w:rsidRPr="008F2536" w:rsidRDefault="00690258" w:rsidP="008B72A7">
            <w:pPr>
              <w:spacing w:line="240" w:lineRule="auto"/>
              <w:rPr>
                <w:rFonts w:asciiTheme="majorHAnsi" w:hAnsiTheme="majorHAnsi"/>
                <w:sz w:val="20"/>
                <w:szCs w:val="24"/>
              </w:rPr>
            </w:pPr>
            <w:r w:rsidRPr="008F2536">
              <w:rPr>
                <w:rFonts w:asciiTheme="majorHAnsi" w:hAnsiTheme="majorHAnsi"/>
                <w:sz w:val="20"/>
                <w:szCs w:val="24"/>
              </w:rPr>
              <w:t>Dean of Pre-collegiate &amp; Student Success</w:t>
            </w:r>
          </w:p>
        </w:tc>
        <w:tc>
          <w:tcPr>
            <w:tcW w:w="990" w:type="dxa"/>
            <w:hideMark/>
          </w:tcPr>
          <w:p w:rsidR="00690258" w:rsidRPr="008F2536" w:rsidRDefault="00690258" w:rsidP="008B72A7">
            <w:pPr>
              <w:spacing w:line="240" w:lineRule="auto"/>
              <w:rPr>
                <w:rFonts w:asciiTheme="majorHAnsi" w:hAnsiTheme="majorHAnsi"/>
                <w:sz w:val="20"/>
                <w:szCs w:val="24"/>
              </w:rPr>
            </w:pPr>
            <w:r w:rsidRPr="008F2536">
              <w:rPr>
                <w:rFonts w:asciiTheme="majorHAnsi" w:hAnsiTheme="majorHAnsi"/>
                <w:sz w:val="20"/>
                <w:szCs w:val="24"/>
              </w:rPr>
              <w:t> </w:t>
            </w:r>
          </w:p>
        </w:tc>
        <w:tc>
          <w:tcPr>
            <w:tcW w:w="1980" w:type="dxa"/>
          </w:tcPr>
          <w:p w:rsidR="00690258" w:rsidRPr="008F2536" w:rsidRDefault="00690258" w:rsidP="008B72A7">
            <w:pPr>
              <w:spacing w:line="240" w:lineRule="auto"/>
              <w:rPr>
                <w:rFonts w:asciiTheme="majorHAnsi" w:hAnsiTheme="majorHAnsi"/>
                <w:sz w:val="20"/>
                <w:szCs w:val="24"/>
              </w:rPr>
            </w:pPr>
          </w:p>
        </w:tc>
      </w:tr>
      <w:tr w:rsidR="00690258" w:rsidRPr="003E79FE" w:rsidTr="00690258">
        <w:trPr>
          <w:trHeight w:val="300"/>
        </w:trPr>
        <w:tc>
          <w:tcPr>
            <w:tcW w:w="519" w:type="dxa"/>
            <w:hideMark/>
          </w:tcPr>
          <w:p w:rsidR="00690258" w:rsidRPr="008F2536" w:rsidRDefault="00690258" w:rsidP="008B72A7">
            <w:pPr>
              <w:pStyle w:val="ListParagraph"/>
              <w:numPr>
                <w:ilvl w:val="0"/>
                <w:numId w:val="1"/>
              </w:numPr>
              <w:spacing w:line="240" w:lineRule="auto"/>
              <w:rPr>
                <w:rFonts w:asciiTheme="majorHAnsi" w:hAnsiTheme="majorHAnsi"/>
                <w:sz w:val="20"/>
                <w:szCs w:val="24"/>
              </w:rPr>
            </w:pPr>
          </w:p>
        </w:tc>
        <w:tc>
          <w:tcPr>
            <w:tcW w:w="4104" w:type="dxa"/>
            <w:hideMark/>
          </w:tcPr>
          <w:p w:rsidR="00690258" w:rsidRPr="008F2536" w:rsidRDefault="00690258" w:rsidP="008B72A7">
            <w:pPr>
              <w:spacing w:line="240" w:lineRule="auto"/>
              <w:rPr>
                <w:rFonts w:asciiTheme="majorHAnsi" w:hAnsiTheme="majorHAnsi"/>
                <w:sz w:val="20"/>
                <w:szCs w:val="24"/>
              </w:rPr>
            </w:pPr>
            <w:r w:rsidRPr="008F2536">
              <w:rPr>
                <w:rFonts w:asciiTheme="majorHAnsi" w:hAnsiTheme="majorHAnsi"/>
                <w:sz w:val="20"/>
                <w:szCs w:val="24"/>
              </w:rPr>
              <w:t xml:space="preserve">Develop course objectives and SLOs for all courses. </w:t>
            </w:r>
          </w:p>
        </w:tc>
        <w:tc>
          <w:tcPr>
            <w:tcW w:w="3818" w:type="dxa"/>
            <w:hideMark/>
          </w:tcPr>
          <w:p w:rsidR="00690258" w:rsidRPr="008F2536" w:rsidRDefault="00690258" w:rsidP="008B72A7">
            <w:pPr>
              <w:spacing w:line="240" w:lineRule="auto"/>
              <w:rPr>
                <w:rFonts w:asciiTheme="majorHAnsi" w:hAnsiTheme="majorHAnsi"/>
                <w:sz w:val="20"/>
                <w:szCs w:val="24"/>
              </w:rPr>
            </w:pPr>
            <w:r w:rsidRPr="008F2536">
              <w:rPr>
                <w:rFonts w:asciiTheme="majorHAnsi" w:hAnsiTheme="majorHAnsi"/>
                <w:sz w:val="20"/>
                <w:szCs w:val="24"/>
              </w:rPr>
              <w:t>Track in curriculum management software.</w:t>
            </w:r>
          </w:p>
        </w:tc>
        <w:tc>
          <w:tcPr>
            <w:tcW w:w="3097" w:type="dxa"/>
            <w:hideMark/>
          </w:tcPr>
          <w:p w:rsidR="00690258" w:rsidRPr="0054076E" w:rsidRDefault="00690258" w:rsidP="008B72A7">
            <w:pPr>
              <w:spacing w:line="240" w:lineRule="auto"/>
              <w:rPr>
                <w:rFonts w:asciiTheme="majorHAnsi" w:hAnsiTheme="majorHAnsi"/>
                <w:color w:val="00B050"/>
                <w:sz w:val="20"/>
                <w:szCs w:val="24"/>
              </w:rPr>
            </w:pPr>
            <w:r w:rsidRPr="0054076E">
              <w:rPr>
                <w:rFonts w:asciiTheme="majorHAnsi" w:hAnsiTheme="majorHAnsi"/>
                <w:color w:val="00B050"/>
                <w:sz w:val="20"/>
                <w:szCs w:val="24"/>
              </w:rPr>
              <w:t>Curriculum Committee</w:t>
            </w:r>
          </w:p>
        </w:tc>
        <w:tc>
          <w:tcPr>
            <w:tcW w:w="990" w:type="dxa"/>
            <w:hideMark/>
          </w:tcPr>
          <w:p w:rsidR="00690258" w:rsidRPr="008F2536" w:rsidRDefault="00690258" w:rsidP="008B72A7">
            <w:pPr>
              <w:spacing w:line="240" w:lineRule="auto"/>
              <w:rPr>
                <w:rFonts w:asciiTheme="majorHAnsi" w:hAnsiTheme="majorHAnsi"/>
                <w:sz w:val="20"/>
                <w:szCs w:val="24"/>
              </w:rPr>
            </w:pPr>
            <w:r w:rsidRPr="008F2536">
              <w:rPr>
                <w:rFonts w:asciiTheme="majorHAnsi" w:hAnsiTheme="majorHAnsi"/>
                <w:sz w:val="20"/>
                <w:szCs w:val="24"/>
              </w:rPr>
              <w:t> </w:t>
            </w:r>
          </w:p>
        </w:tc>
        <w:tc>
          <w:tcPr>
            <w:tcW w:w="1980" w:type="dxa"/>
          </w:tcPr>
          <w:p w:rsidR="00690258" w:rsidRPr="008F2536" w:rsidRDefault="00690258" w:rsidP="008B72A7">
            <w:pPr>
              <w:spacing w:line="240" w:lineRule="auto"/>
              <w:rPr>
                <w:rFonts w:asciiTheme="majorHAnsi" w:hAnsiTheme="majorHAnsi"/>
                <w:sz w:val="20"/>
                <w:szCs w:val="24"/>
              </w:rPr>
            </w:pPr>
          </w:p>
        </w:tc>
      </w:tr>
      <w:tr w:rsidR="00690258" w:rsidRPr="003E79FE" w:rsidTr="00690258">
        <w:trPr>
          <w:trHeight w:val="80"/>
        </w:trPr>
        <w:tc>
          <w:tcPr>
            <w:tcW w:w="519" w:type="dxa"/>
            <w:hideMark/>
          </w:tcPr>
          <w:p w:rsidR="00690258" w:rsidRPr="008F2536" w:rsidRDefault="00690258" w:rsidP="008B72A7">
            <w:pPr>
              <w:pStyle w:val="ListParagraph"/>
              <w:numPr>
                <w:ilvl w:val="0"/>
                <w:numId w:val="1"/>
              </w:numPr>
              <w:spacing w:line="240" w:lineRule="auto"/>
              <w:rPr>
                <w:rFonts w:asciiTheme="majorHAnsi" w:hAnsiTheme="majorHAnsi"/>
                <w:sz w:val="20"/>
                <w:szCs w:val="24"/>
              </w:rPr>
            </w:pPr>
          </w:p>
        </w:tc>
        <w:tc>
          <w:tcPr>
            <w:tcW w:w="4104" w:type="dxa"/>
            <w:hideMark/>
          </w:tcPr>
          <w:p w:rsidR="00690258" w:rsidRPr="008F2536" w:rsidRDefault="00690258" w:rsidP="008B72A7">
            <w:pPr>
              <w:spacing w:line="240" w:lineRule="auto"/>
              <w:rPr>
                <w:rFonts w:asciiTheme="majorHAnsi" w:hAnsiTheme="majorHAnsi"/>
                <w:sz w:val="20"/>
                <w:szCs w:val="24"/>
              </w:rPr>
            </w:pPr>
            <w:r w:rsidRPr="008F2536">
              <w:rPr>
                <w:rFonts w:asciiTheme="majorHAnsi" w:hAnsiTheme="majorHAnsi"/>
                <w:sz w:val="20"/>
                <w:szCs w:val="24"/>
              </w:rPr>
              <w:t>Evaluate BC General Education pattern in terms of course appropriateness to each category as well as course and overall pattern unit count.</w:t>
            </w:r>
          </w:p>
        </w:tc>
        <w:tc>
          <w:tcPr>
            <w:tcW w:w="3818" w:type="dxa"/>
            <w:hideMark/>
          </w:tcPr>
          <w:p w:rsidR="00690258" w:rsidRPr="008F2536" w:rsidRDefault="00690258" w:rsidP="008B72A7">
            <w:pPr>
              <w:spacing w:line="240" w:lineRule="auto"/>
              <w:rPr>
                <w:rFonts w:asciiTheme="majorHAnsi" w:hAnsiTheme="majorHAnsi"/>
                <w:sz w:val="20"/>
                <w:szCs w:val="24"/>
              </w:rPr>
            </w:pPr>
            <w:r w:rsidRPr="008F2536">
              <w:rPr>
                <w:rFonts w:asciiTheme="majorHAnsi" w:hAnsiTheme="majorHAnsi"/>
                <w:sz w:val="20"/>
                <w:szCs w:val="24"/>
              </w:rPr>
              <w:t xml:space="preserve">Success can be evaluated in terms of benchmarks (i.e. completion of evaluation of various sections) or completion of evaluation of the entire BC GE pattern.  Document with Curriculum committee minutes, college report on process and results. </w:t>
            </w:r>
          </w:p>
        </w:tc>
        <w:tc>
          <w:tcPr>
            <w:tcW w:w="3097" w:type="dxa"/>
            <w:hideMark/>
          </w:tcPr>
          <w:p w:rsidR="00690258" w:rsidRPr="0054076E" w:rsidRDefault="00690258" w:rsidP="008B72A7">
            <w:pPr>
              <w:spacing w:line="240" w:lineRule="auto"/>
              <w:rPr>
                <w:rFonts w:asciiTheme="majorHAnsi" w:hAnsiTheme="majorHAnsi"/>
                <w:color w:val="00B050"/>
                <w:sz w:val="20"/>
                <w:szCs w:val="24"/>
              </w:rPr>
            </w:pPr>
            <w:r w:rsidRPr="0054076E">
              <w:rPr>
                <w:rFonts w:asciiTheme="majorHAnsi" w:hAnsiTheme="majorHAnsi"/>
                <w:color w:val="00B050"/>
                <w:sz w:val="20"/>
                <w:szCs w:val="24"/>
              </w:rPr>
              <w:t>Curriculum Committee</w:t>
            </w:r>
          </w:p>
        </w:tc>
        <w:tc>
          <w:tcPr>
            <w:tcW w:w="990" w:type="dxa"/>
            <w:hideMark/>
          </w:tcPr>
          <w:p w:rsidR="00690258" w:rsidRPr="008F2536" w:rsidRDefault="00690258" w:rsidP="008B72A7">
            <w:pPr>
              <w:spacing w:line="240" w:lineRule="auto"/>
              <w:rPr>
                <w:rFonts w:asciiTheme="majorHAnsi" w:hAnsiTheme="majorHAnsi"/>
                <w:sz w:val="20"/>
                <w:szCs w:val="24"/>
              </w:rPr>
            </w:pPr>
            <w:r w:rsidRPr="008F2536">
              <w:rPr>
                <w:rFonts w:asciiTheme="majorHAnsi" w:hAnsiTheme="majorHAnsi"/>
                <w:sz w:val="20"/>
                <w:szCs w:val="24"/>
              </w:rPr>
              <w:t> </w:t>
            </w:r>
          </w:p>
        </w:tc>
        <w:tc>
          <w:tcPr>
            <w:tcW w:w="1980" w:type="dxa"/>
          </w:tcPr>
          <w:p w:rsidR="00690258" w:rsidRPr="008F2536" w:rsidRDefault="00690258" w:rsidP="008B72A7">
            <w:pPr>
              <w:spacing w:line="240" w:lineRule="auto"/>
              <w:rPr>
                <w:rFonts w:asciiTheme="majorHAnsi" w:hAnsiTheme="majorHAnsi"/>
                <w:sz w:val="20"/>
                <w:szCs w:val="24"/>
              </w:rPr>
            </w:pPr>
          </w:p>
        </w:tc>
      </w:tr>
      <w:tr w:rsidR="00690258" w:rsidRPr="00095BAD" w:rsidTr="00690258">
        <w:trPr>
          <w:trHeight w:val="330"/>
        </w:trPr>
        <w:tc>
          <w:tcPr>
            <w:tcW w:w="12528" w:type="dxa"/>
            <w:gridSpan w:val="5"/>
            <w:shd w:val="clear" w:color="auto" w:fill="D99594" w:themeFill="accent2" w:themeFillTint="99"/>
            <w:vAlign w:val="center"/>
            <w:hideMark/>
          </w:tcPr>
          <w:p w:rsidR="00690258" w:rsidRPr="003E79FE" w:rsidRDefault="00690258" w:rsidP="008B72A7">
            <w:pPr>
              <w:spacing w:line="240" w:lineRule="auto"/>
              <w:jc w:val="center"/>
              <w:rPr>
                <w:rFonts w:asciiTheme="majorHAnsi" w:hAnsiTheme="majorHAnsi"/>
                <w:b/>
                <w:bCs/>
                <w:sz w:val="24"/>
                <w:szCs w:val="24"/>
              </w:rPr>
            </w:pPr>
            <w:r w:rsidRPr="001808AF">
              <w:rPr>
                <w:rFonts w:asciiTheme="majorHAnsi" w:hAnsiTheme="majorHAnsi"/>
                <w:b/>
                <w:bCs/>
                <w:szCs w:val="24"/>
              </w:rPr>
              <w:t>Academic Evaluation</w:t>
            </w:r>
          </w:p>
        </w:tc>
        <w:tc>
          <w:tcPr>
            <w:tcW w:w="1980" w:type="dxa"/>
            <w:shd w:val="clear" w:color="auto" w:fill="D99594" w:themeFill="accent2" w:themeFillTint="99"/>
          </w:tcPr>
          <w:p w:rsidR="00690258" w:rsidRPr="001808AF" w:rsidRDefault="00690258" w:rsidP="008B72A7">
            <w:pPr>
              <w:spacing w:line="240" w:lineRule="auto"/>
              <w:jc w:val="center"/>
              <w:rPr>
                <w:rFonts w:asciiTheme="majorHAnsi" w:hAnsiTheme="majorHAnsi"/>
                <w:b/>
                <w:bCs/>
                <w:szCs w:val="24"/>
              </w:rPr>
            </w:pPr>
          </w:p>
        </w:tc>
      </w:tr>
      <w:tr w:rsidR="00690258" w:rsidRPr="003E79FE" w:rsidTr="00690258">
        <w:trPr>
          <w:trHeight w:val="585"/>
        </w:trPr>
        <w:tc>
          <w:tcPr>
            <w:tcW w:w="519" w:type="dxa"/>
            <w:hideMark/>
          </w:tcPr>
          <w:p w:rsidR="00690258" w:rsidRPr="005F5C86" w:rsidRDefault="00690258" w:rsidP="008B72A7">
            <w:pPr>
              <w:pStyle w:val="ListParagraph"/>
              <w:numPr>
                <w:ilvl w:val="0"/>
                <w:numId w:val="1"/>
              </w:numPr>
              <w:spacing w:line="240" w:lineRule="auto"/>
              <w:rPr>
                <w:rFonts w:asciiTheme="majorHAnsi" w:hAnsiTheme="majorHAnsi"/>
                <w:sz w:val="20"/>
                <w:szCs w:val="20"/>
              </w:rPr>
            </w:pPr>
          </w:p>
        </w:tc>
        <w:tc>
          <w:tcPr>
            <w:tcW w:w="4104" w:type="dxa"/>
            <w:hideMark/>
          </w:tcPr>
          <w:p w:rsidR="00690258" w:rsidRPr="005F5C86" w:rsidRDefault="00690258" w:rsidP="008B72A7">
            <w:pPr>
              <w:spacing w:line="240" w:lineRule="auto"/>
              <w:rPr>
                <w:rFonts w:asciiTheme="majorHAnsi" w:hAnsiTheme="majorHAnsi"/>
                <w:sz w:val="20"/>
                <w:szCs w:val="20"/>
              </w:rPr>
            </w:pPr>
            <w:r w:rsidRPr="005F5C86">
              <w:rPr>
                <w:rFonts w:asciiTheme="majorHAnsi" w:hAnsiTheme="majorHAnsi"/>
                <w:sz w:val="20"/>
                <w:szCs w:val="20"/>
              </w:rPr>
              <w:t>Assess and map SLOs, PLOs, AUOs and ILOs.</w:t>
            </w:r>
          </w:p>
        </w:tc>
        <w:tc>
          <w:tcPr>
            <w:tcW w:w="3818" w:type="dxa"/>
            <w:hideMark/>
          </w:tcPr>
          <w:p w:rsidR="00690258" w:rsidRPr="005F5C86" w:rsidRDefault="00690258" w:rsidP="008B72A7">
            <w:pPr>
              <w:spacing w:line="240" w:lineRule="auto"/>
              <w:rPr>
                <w:rFonts w:asciiTheme="majorHAnsi" w:hAnsiTheme="majorHAnsi"/>
                <w:sz w:val="20"/>
                <w:szCs w:val="20"/>
              </w:rPr>
            </w:pPr>
            <w:r w:rsidRPr="005F5C86">
              <w:rPr>
                <w:rFonts w:asciiTheme="majorHAnsi" w:hAnsiTheme="majorHAnsi"/>
                <w:sz w:val="20"/>
                <w:szCs w:val="20"/>
              </w:rPr>
              <w:t>Monitor Annual Assessment Report and Program Reviews.</w:t>
            </w:r>
          </w:p>
          <w:p w:rsidR="00690258" w:rsidRPr="005F5C86" w:rsidRDefault="00690258" w:rsidP="008B72A7">
            <w:pPr>
              <w:spacing w:line="240" w:lineRule="auto"/>
              <w:rPr>
                <w:rFonts w:asciiTheme="majorHAnsi" w:hAnsiTheme="majorHAnsi"/>
                <w:i/>
                <w:sz w:val="20"/>
                <w:szCs w:val="20"/>
              </w:rPr>
            </w:pPr>
            <w:r w:rsidRPr="005F5C86">
              <w:rPr>
                <w:rFonts w:asciiTheme="majorHAnsi" w:hAnsiTheme="majorHAnsi"/>
                <w:i/>
                <w:sz w:val="20"/>
                <w:szCs w:val="20"/>
              </w:rPr>
              <w:t>See Scorecard Data Strands.</w:t>
            </w:r>
          </w:p>
        </w:tc>
        <w:tc>
          <w:tcPr>
            <w:tcW w:w="3097" w:type="dxa"/>
            <w:hideMark/>
          </w:tcPr>
          <w:p w:rsidR="00690258" w:rsidRPr="005F5C86" w:rsidRDefault="00690258" w:rsidP="008B72A7">
            <w:pPr>
              <w:spacing w:line="240" w:lineRule="auto"/>
              <w:rPr>
                <w:rFonts w:asciiTheme="majorHAnsi" w:hAnsiTheme="majorHAnsi"/>
                <w:sz w:val="20"/>
                <w:szCs w:val="20"/>
              </w:rPr>
            </w:pPr>
            <w:r w:rsidRPr="0054076E">
              <w:rPr>
                <w:rFonts w:asciiTheme="majorHAnsi" w:hAnsiTheme="majorHAnsi"/>
                <w:color w:val="00B0F0"/>
                <w:sz w:val="20"/>
                <w:szCs w:val="20"/>
              </w:rPr>
              <w:t>Assessment Committee</w:t>
            </w:r>
          </w:p>
        </w:tc>
        <w:tc>
          <w:tcPr>
            <w:tcW w:w="990" w:type="dxa"/>
            <w:hideMark/>
          </w:tcPr>
          <w:p w:rsidR="00690258" w:rsidRPr="005F5C86" w:rsidRDefault="00690258" w:rsidP="008B72A7">
            <w:pPr>
              <w:spacing w:line="240" w:lineRule="auto"/>
              <w:rPr>
                <w:rFonts w:asciiTheme="majorHAnsi" w:hAnsiTheme="majorHAnsi"/>
                <w:sz w:val="20"/>
                <w:szCs w:val="20"/>
              </w:rPr>
            </w:pPr>
            <w:r w:rsidRPr="005F5C86">
              <w:rPr>
                <w:rFonts w:asciiTheme="majorHAnsi" w:hAnsiTheme="majorHAnsi"/>
                <w:sz w:val="20"/>
                <w:szCs w:val="20"/>
              </w:rPr>
              <w:t> </w:t>
            </w:r>
          </w:p>
        </w:tc>
        <w:tc>
          <w:tcPr>
            <w:tcW w:w="1980" w:type="dxa"/>
          </w:tcPr>
          <w:p w:rsidR="00690258" w:rsidRPr="005F5C86" w:rsidRDefault="00690258" w:rsidP="008B72A7">
            <w:pPr>
              <w:spacing w:line="240" w:lineRule="auto"/>
              <w:rPr>
                <w:rFonts w:asciiTheme="majorHAnsi" w:hAnsiTheme="majorHAnsi"/>
                <w:sz w:val="20"/>
                <w:szCs w:val="20"/>
              </w:rPr>
            </w:pPr>
          </w:p>
        </w:tc>
      </w:tr>
      <w:tr w:rsidR="00690258" w:rsidRPr="003E79FE" w:rsidTr="00690258">
        <w:trPr>
          <w:trHeight w:val="585"/>
        </w:trPr>
        <w:tc>
          <w:tcPr>
            <w:tcW w:w="519" w:type="dxa"/>
          </w:tcPr>
          <w:p w:rsidR="00690258" w:rsidRPr="005F5C86" w:rsidRDefault="00690258" w:rsidP="008B72A7">
            <w:pPr>
              <w:pStyle w:val="ListParagraph"/>
              <w:numPr>
                <w:ilvl w:val="0"/>
                <w:numId w:val="1"/>
              </w:numPr>
              <w:spacing w:line="240" w:lineRule="auto"/>
              <w:rPr>
                <w:rFonts w:asciiTheme="majorHAnsi" w:hAnsiTheme="majorHAnsi"/>
                <w:sz w:val="20"/>
                <w:szCs w:val="20"/>
              </w:rPr>
            </w:pPr>
          </w:p>
        </w:tc>
        <w:tc>
          <w:tcPr>
            <w:tcW w:w="4104" w:type="dxa"/>
          </w:tcPr>
          <w:p w:rsidR="00690258" w:rsidRPr="005F5C86" w:rsidRDefault="00690258" w:rsidP="008B72A7">
            <w:pPr>
              <w:spacing w:line="240" w:lineRule="auto"/>
              <w:rPr>
                <w:rFonts w:asciiTheme="majorHAnsi" w:hAnsiTheme="majorHAnsi"/>
                <w:sz w:val="20"/>
                <w:szCs w:val="20"/>
              </w:rPr>
            </w:pPr>
            <w:r w:rsidRPr="005F5C86">
              <w:rPr>
                <w:rFonts w:asciiTheme="majorHAnsi" w:hAnsiTheme="majorHAnsi"/>
                <w:sz w:val="20"/>
                <w:szCs w:val="20"/>
              </w:rPr>
              <w:t>Disaggregate and analyze learning outcomes and achievement for subpopulations of students to identify performance gaps and implement strategies to mitigate those gaps.</w:t>
            </w:r>
          </w:p>
        </w:tc>
        <w:tc>
          <w:tcPr>
            <w:tcW w:w="3818" w:type="dxa"/>
          </w:tcPr>
          <w:p w:rsidR="00690258" w:rsidRPr="005F5C86" w:rsidRDefault="00690258" w:rsidP="008B72A7">
            <w:pPr>
              <w:spacing w:line="240" w:lineRule="auto"/>
              <w:rPr>
                <w:rFonts w:asciiTheme="majorHAnsi" w:hAnsiTheme="majorHAnsi"/>
                <w:sz w:val="20"/>
                <w:szCs w:val="20"/>
              </w:rPr>
            </w:pPr>
            <w:r w:rsidRPr="005F5C86">
              <w:rPr>
                <w:rFonts w:asciiTheme="majorHAnsi" w:hAnsiTheme="majorHAnsi"/>
                <w:sz w:val="20"/>
                <w:szCs w:val="20"/>
              </w:rPr>
              <w:t>Analyze disaggregated data as it relates to learning outcomes to determine effect on gaps.</w:t>
            </w:r>
          </w:p>
          <w:p w:rsidR="00690258" w:rsidRPr="005F5C86" w:rsidRDefault="00690258" w:rsidP="008B72A7">
            <w:pPr>
              <w:spacing w:line="240" w:lineRule="auto"/>
              <w:rPr>
                <w:rFonts w:asciiTheme="majorHAnsi" w:hAnsiTheme="majorHAnsi"/>
                <w:i/>
                <w:sz w:val="20"/>
                <w:szCs w:val="20"/>
              </w:rPr>
            </w:pPr>
            <w:r w:rsidRPr="005F5C86">
              <w:rPr>
                <w:rFonts w:asciiTheme="majorHAnsi" w:hAnsiTheme="majorHAnsi"/>
                <w:i/>
                <w:sz w:val="20"/>
                <w:szCs w:val="20"/>
              </w:rPr>
              <w:t>See Scorecard Data Strands.</w:t>
            </w:r>
          </w:p>
        </w:tc>
        <w:tc>
          <w:tcPr>
            <w:tcW w:w="3097" w:type="dxa"/>
          </w:tcPr>
          <w:p w:rsidR="00690258" w:rsidRPr="0054076E" w:rsidRDefault="00690258" w:rsidP="008B72A7">
            <w:pPr>
              <w:spacing w:line="240" w:lineRule="auto"/>
              <w:rPr>
                <w:rFonts w:asciiTheme="majorHAnsi" w:hAnsiTheme="majorHAnsi"/>
                <w:color w:val="00B0F0"/>
                <w:sz w:val="20"/>
                <w:szCs w:val="20"/>
              </w:rPr>
            </w:pPr>
            <w:r w:rsidRPr="0054076E">
              <w:rPr>
                <w:rFonts w:asciiTheme="majorHAnsi" w:hAnsiTheme="majorHAnsi"/>
                <w:color w:val="00B0F0"/>
                <w:sz w:val="20"/>
                <w:szCs w:val="20"/>
              </w:rPr>
              <w:t xml:space="preserve">Assessment Committee, </w:t>
            </w:r>
          </w:p>
          <w:p w:rsidR="00690258" w:rsidRPr="005F5C86" w:rsidRDefault="00690258" w:rsidP="008B72A7">
            <w:pPr>
              <w:spacing w:line="240" w:lineRule="auto"/>
              <w:rPr>
                <w:rFonts w:asciiTheme="majorHAnsi" w:hAnsiTheme="majorHAnsi"/>
                <w:sz w:val="20"/>
                <w:szCs w:val="20"/>
              </w:rPr>
            </w:pPr>
            <w:r w:rsidRPr="0054076E">
              <w:rPr>
                <w:rFonts w:asciiTheme="majorHAnsi" w:hAnsiTheme="majorHAnsi"/>
                <w:color w:val="215868" w:themeColor="accent5" w:themeShade="80"/>
                <w:sz w:val="20"/>
                <w:szCs w:val="20"/>
              </w:rPr>
              <w:t>Equal Opportunity &amp; Diversity Advi</w:t>
            </w:r>
            <w:bookmarkStart w:id="0" w:name="_GoBack"/>
            <w:bookmarkEnd w:id="0"/>
            <w:r w:rsidRPr="0054076E">
              <w:rPr>
                <w:rFonts w:asciiTheme="majorHAnsi" w:hAnsiTheme="majorHAnsi"/>
                <w:color w:val="215868" w:themeColor="accent5" w:themeShade="80"/>
                <w:sz w:val="20"/>
                <w:szCs w:val="20"/>
              </w:rPr>
              <w:t>sory Council (EODAC)</w:t>
            </w:r>
          </w:p>
        </w:tc>
        <w:tc>
          <w:tcPr>
            <w:tcW w:w="990" w:type="dxa"/>
          </w:tcPr>
          <w:p w:rsidR="00690258" w:rsidRPr="005F5C86" w:rsidRDefault="00690258" w:rsidP="008B72A7">
            <w:pPr>
              <w:spacing w:line="240" w:lineRule="auto"/>
              <w:rPr>
                <w:rFonts w:asciiTheme="majorHAnsi" w:hAnsiTheme="majorHAnsi"/>
                <w:sz w:val="20"/>
                <w:szCs w:val="20"/>
              </w:rPr>
            </w:pPr>
          </w:p>
        </w:tc>
        <w:tc>
          <w:tcPr>
            <w:tcW w:w="1980" w:type="dxa"/>
          </w:tcPr>
          <w:p w:rsidR="00690258" w:rsidRPr="005F5C86" w:rsidRDefault="00690258" w:rsidP="008B72A7">
            <w:pPr>
              <w:spacing w:line="240" w:lineRule="auto"/>
              <w:rPr>
                <w:rFonts w:asciiTheme="majorHAnsi" w:hAnsiTheme="majorHAnsi"/>
                <w:sz w:val="20"/>
                <w:szCs w:val="20"/>
              </w:rPr>
            </w:pPr>
          </w:p>
        </w:tc>
      </w:tr>
      <w:tr w:rsidR="00690258" w:rsidRPr="003E79FE" w:rsidTr="00690258">
        <w:trPr>
          <w:trHeight w:val="585"/>
        </w:trPr>
        <w:tc>
          <w:tcPr>
            <w:tcW w:w="519" w:type="dxa"/>
            <w:hideMark/>
          </w:tcPr>
          <w:p w:rsidR="00690258" w:rsidRPr="005F5C86" w:rsidRDefault="00690258" w:rsidP="008B72A7">
            <w:pPr>
              <w:pStyle w:val="ListParagraph"/>
              <w:numPr>
                <w:ilvl w:val="0"/>
                <w:numId w:val="1"/>
              </w:numPr>
              <w:spacing w:line="240" w:lineRule="auto"/>
              <w:rPr>
                <w:rFonts w:asciiTheme="majorHAnsi" w:hAnsiTheme="majorHAnsi"/>
                <w:sz w:val="20"/>
                <w:szCs w:val="20"/>
              </w:rPr>
            </w:pPr>
          </w:p>
        </w:tc>
        <w:tc>
          <w:tcPr>
            <w:tcW w:w="4104" w:type="dxa"/>
            <w:hideMark/>
          </w:tcPr>
          <w:p w:rsidR="00690258" w:rsidRPr="005F5C86" w:rsidRDefault="00690258" w:rsidP="008B72A7">
            <w:pPr>
              <w:spacing w:line="240" w:lineRule="auto"/>
              <w:rPr>
                <w:rFonts w:asciiTheme="majorHAnsi" w:hAnsiTheme="majorHAnsi"/>
                <w:sz w:val="20"/>
                <w:szCs w:val="20"/>
              </w:rPr>
            </w:pPr>
            <w:r w:rsidRPr="005F5C86">
              <w:rPr>
                <w:rFonts w:asciiTheme="majorHAnsi" w:hAnsiTheme="majorHAnsi"/>
                <w:sz w:val="20"/>
                <w:szCs w:val="20"/>
              </w:rPr>
              <w:t>Evaluate equity impact within programs.</w:t>
            </w:r>
          </w:p>
        </w:tc>
        <w:tc>
          <w:tcPr>
            <w:tcW w:w="3818" w:type="dxa"/>
            <w:hideMark/>
          </w:tcPr>
          <w:p w:rsidR="00690258" w:rsidRPr="005F5C86" w:rsidRDefault="00690258" w:rsidP="008B72A7">
            <w:pPr>
              <w:spacing w:line="240" w:lineRule="auto"/>
              <w:rPr>
                <w:rFonts w:asciiTheme="majorHAnsi" w:hAnsiTheme="majorHAnsi"/>
                <w:sz w:val="20"/>
                <w:szCs w:val="20"/>
              </w:rPr>
            </w:pPr>
            <w:r w:rsidRPr="005F5C86">
              <w:rPr>
                <w:rFonts w:asciiTheme="majorHAnsi" w:hAnsiTheme="majorHAnsi"/>
                <w:sz w:val="20"/>
                <w:szCs w:val="20"/>
              </w:rPr>
              <w:t>Analyze disproportionate impact data.</w:t>
            </w:r>
          </w:p>
          <w:p w:rsidR="00690258" w:rsidRPr="005F5C86" w:rsidRDefault="00690258" w:rsidP="008B72A7">
            <w:pPr>
              <w:spacing w:line="240" w:lineRule="auto"/>
              <w:rPr>
                <w:rFonts w:asciiTheme="majorHAnsi" w:hAnsiTheme="majorHAnsi"/>
                <w:i/>
                <w:sz w:val="20"/>
                <w:szCs w:val="20"/>
              </w:rPr>
            </w:pPr>
            <w:r w:rsidRPr="005F5C86">
              <w:rPr>
                <w:rFonts w:asciiTheme="majorHAnsi" w:hAnsiTheme="majorHAnsi"/>
                <w:i/>
                <w:sz w:val="20"/>
                <w:szCs w:val="20"/>
              </w:rPr>
              <w:t>See Scorecard Data Strands.</w:t>
            </w:r>
          </w:p>
        </w:tc>
        <w:tc>
          <w:tcPr>
            <w:tcW w:w="3097" w:type="dxa"/>
            <w:hideMark/>
          </w:tcPr>
          <w:p w:rsidR="00690258" w:rsidRPr="005F5C86" w:rsidRDefault="00690258" w:rsidP="008B72A7">
            <w:pPr>
              <w:spacing w:line="240" w:lineRule="auto"/>
              <w:rPr>
                <w:rFonts w:asciiTheme="majorHAnsi" w:hAnsiTheme="majorHAnsi"/>
                <w:sz w:val="20"/>
                <w:szCs w:val="20"/>
              </w:rPr>
            </w:pPr>
            <w:r w:rsidRPr="0054076E">
              <w:rPr>
                <w:rFonts w:asciiTheme="majorHAnsi" w:hAnsiTheme="majorHAnsi"/>
                <w:color w:val="002060"/>
                <w:sz w:val="20"/>
                <w:szCs w:val="20"/>
              </w:rPr>
              <w:t>EODAC</w:t>
            </w:r>
            <w:r w:rsidRPr="005F5C86">
              <w:rPr>
                <w:rFonts w:asciiTheme="majorHAnsi" w:hAnsiTheme="majorHAnsi"/>
                <w:sz w:val="20"/>
                <w:szCs w:val="20"/>
              </w:rPr>
              <w:t xml:space="preserve">, </w:t>
            </w:r>
          </w:p>
          <w:p w:rsidR="00690258" w:rsidRPr="005F5C86" w:rsidRDefault="00690258" w:rsidP="008B72A7">
            <w:pPr>
              <w:spacing w:line="240" w:lineRule="auto"/>
              <w:rPr>
                <w:rFonts w:asciiTheme="majorHAnsi" w:hAnsiTheme="majorHAnsi"/>
                <w:sz w:val="20"/>
                <w:szCs w:val="20"/>
              </w:rPr>
            </w:pPr>
            <w:r w:rsidRPr="0054076E">
              <w:rPr>
                <w:rFonts w:asciiTheme="majorHAnsi" w:hAnsiTheme="majorHAnsi"/>
                <w:color w:val="00B050"/>
                <w:sz w:val="20"/>
                <w:szCs w:val="20"/>
              </w:rPr>
              <w:t>Curriculum Committee</w:t>
            </w:r>
          </w:p>
        </w:tc>
        <w:tc>
          <w:tcPr>
            <w:tcW w:w="990" w:type="dxa"/>
            <w:hideMark/>
          </w:tcPr>
          <w:p w:rsidR="00690258" w:rsidRPr="005F5C86" w:rsidRDefault="00690258" w:rsidP="008B72A7">
            <w:pPr>
              <w:spacing w:line="240" w:lineRule="auto"/>
              <w:rPr>
                <w:rFonts w:asciiTheme="majorHAnsi" w:hAnsiTheme="majorHAnsi"/>
                <w:sz w:val="20"/>
                <w:szCs w:val="20"/>
              </w:rPr>
            </w:pPr>
            <w:r w:rsidRPr="005F5C86">
              <w:rPr>
                <w:rFonts w:asciiTheme="majorHAnsi" w:hAnsiTheme="majorHAnsi"/>
                <w:sz w:val="20"/>
                <w:szCs w:val="20"/>
              </w:rPr>
              <w:t> </w:t>
            </w:r>
          </w:p>
        </w:tc>
        <w:tc>
          <w:tcPr>
            <w:tcW w:w="1980" w:type="dxa"/>
          </w:tcPr>
          <w:p w:rsidR="00690258" w:rsidRPr="005F5C86" w:rsidRDefault="00690258" w:rsidP="008B72A7">
            <w:pPr>
              <w:spacing w:line="240" w:lineRule="auto"/>
              <w:rPr>
                <w:rFonts w:asciiTheme="majorHAnsi" w:hAnsiTheme="majorHAnsi"/>
                <w:sz w:val="20"/>
                <w:szCs w:val="20"/>
              </w:rPr>
            </w:pPr>
          </w:p>
        </w:tc>
      </w:tr>
      <w:tr w:rsidR="00690258" w:rsidRPr="003E79FE" w:rsidTr="00690258">
        <w:trPr>
          <w:trHeight w:val="377"/>
        </w:trPr>
        <w:tc>
          <w:tcPr>
            <w:tcW w:w="12528" w:type="dxa"/>
            <w:gridSpan w:val="5"/>
            <w:shd w:val="clear" w:color="auto" w:fill="D99594" w:themeFill="accent2" w:themeFillTint="99"/>
            <w:vAlign w:val="center"/>
          </w:tcPr>
          <w:p w:rsidR="00690258" w:rsidRPr="005F5C86" w:rsidRDefault="00690258" w:rsidP="008B72A7">
            <w:pPr>
              <w:spacing w:line="240" w:lineRule="auto"/>
              <w:jc w:val="center"/>
              <w:rPr>
                <w:rFonts w:asciiTheme="majorHAnsi" w:hAnsiTheme="majorHAnsi"/>
                <w:b/>
                <w:bCs/>
                <w:szCs w:val="24"/>
              </w:rPr>
            </w:pPr>
            <w:r w:rsidRPr="001808AF">
              <w:rPr>
                <w:rFonts w:asciiTheme="majorHAnsi" w:hAnsiTheme="majorHAnsi"/>
                <w:b/>
                <w:bCs/>
                <w:szCs w:val="24"/>
              </w:rPr>
              <w:t>Academic Evaluation</w:t>
            </w:r>
            <w:r>
              <w:rPr>
                <w:rFonts w:asciiTheme="majorHAnsi" w:hAnsiTheme="majorHAnsi"/>
                <w:b/>
                <w:bCs/>
                <w:szCs w:val="24"/>
              </w:rPr>
              <w:t xml:space="preserve"> cont.</w:t>
            </w:r>
          </w:p>
        </w:tc>
        <w:tc>
          <w:tcPr>
            <w:tcW w:w="1980" w:type="dxa"/>
            <w:shd w:val="clear" w:color="auto" w:fill="D99594" w:themeFill="accent2" w:themeFillTint="99"/>
          </w:tcPr>
          <w:p w:rsidR="00690258" w:rsidRPr="001808AF" w:rsidRDefault="00690258" w:rsidP="008B72A7">
            <w:pPr>
              <w:spacing w:line="240" w:lineRule="auto"/>
              <w:jc w:val="center"/>
              <w:rPr>
                <w:rFonts w:asciiTheme="majorHAnsi" w:hAnsiTheme="majorHAnsi"/>
                <w:b/>
                <w:bCs/>
                <w:szCs w:val="24"/>
              </w:rPr>
            </w:pPr>
          </w:p>
        </w:tc>
      </w:tr>
      <w:tr w:rsidR="00690258" w:rsidRPr="003E79FE" w:rsidTr="00690258">
        <w:trPr>
          <w:trHeight w:val="1155"/>
        </w:trPr>
        <w:tc>
          <w:tcPr>
            <w:tcW w:w="519" w:type="dxa"/>
            <w:hideMark/>
          </w:tcPr>
          <w:p w:rsidR="00690258" w:rsidRPr="005F5C86" w:rsidRDefault="00690258" w:rsidP="008B72A7">
            <w:pPr>
              <w:pStyle w:val="ListParagraph"/>
              <w:numPr>
                <w:ilvl w:val="0"/>
                <w:numId w:val="1"/>
              </w:numPr>
              <w:spacing w:line="240" w:lineRule="auto"/>
              <w:rPr>
                <w:rFonts w:asciiTheme="majorHAnsi" w:hAnsiTheme="majorHAnsi"/>
                <w:sz w:val="20"/>
                <w:szCs w:val="24"/>
              </w:rPr>
            </w:pPr>
          </w:p>
        </w:tc>
        <w:tc>
          <w:tcPr>
            <w:tcW w:w="4104" w:type="dxa"/>
            <w:hideMark/>
          </w:tcPr>
          <w:p w:rsidR="00690258" w:rsidRPr="005F5C86" w:rsidRDefault="00690258" w:rsidP="008B72A7">
            <w:pPr>
              <w:spacing w:line="240" w:lineRule="auto"/>
              <w:rPr>
                <w:rFonts w:asciiTheme="majorHAnsi" w:hAnsiTheme="majorHAnsi"/>
                <w:sz w:val="20"/>
                <w:szCs w:val="24"/>
              </w:rPr>
            </w:pPr>
            <w:r w:rsidRPr="005F5C86">
              <w:rPr>
                <w:rFonts w:asciiTheme="majorHAnsi" w:hAnsiTheme="majorHAnsi"/>
                <w:sz w:val="20"/>
                <w:szCs w:val="24"/>
              </w:rPr>
              <w:t xml:space="preserve">Identify and review internal and external standards and requirements for each of the four data strands for the Renegade Scorecard: Student Learning; Student Achievement; Perception; Operational. </w:t>
            </w:r>
          </w:p>
        </w:tc>
        <w:tc>
          <w:tcPr>
            <w:tcW w:w="3818" w:type="dxa"/>
            <w:hideMark/>
          </w:tcPr>
          <w:p w:rsidR="00690258" w:rsidRPr="005F5C86" w:rsidRDefault="00690258" w:rsidP="008B72A7">
            <w:pPr>
              <w:spacing w:line="240" w:lineRule="auto"/>
              <w:rPr>
                <w:rFonts w:asciiTheme="majorHAnsi" w:hAnsiTheme="majorHAnsi"/>
                <w:sz w:val="20"/>
                <w:szCs w:val="24"/>
              </w:rPr>
            </w:pPr>
            <w:r w:rsidRPr="005F5C86">
              <w:rPr>
                <w:rFonts w:asciiTheme="majorHAnsi" w:hAnsiTheme="majorHAnsi"/>
                <w:sz w:val="20"/>
                <w:szCs w:val="24"/>
              </w:rPr>
              <w:t>Standards are posted on Renegade.</w:t>
            </w:r>
          </w:p>
          <w:p w:rsidR="00690258" w:rsidRPr="005F5C86" w:rsidRDefault="00690258" w:rsidP="008B72A7">
            <w:pPr>
              <w:spacing w:line="240" w:lineRule="auto"/>
              <w:rPr>
                <w:rFonts w:asciiTheme="majorHAnsi" w:hAnsiTheme="majorHAnsi"/>
                <w:sz w:val="20"/>
                <w:szCs w:val="24"/>
              </w:rPr>
            </w:pPr>
            <w:r w:rsidRPr="005F5C86">
              <w:rPr>
                <w:rFonts w:asciiTheme="majorHAnsi" w:hAnsiTheme="majorHAnsi"/>
                <w:sz w:val="20"/>
                <w:szCs w:val="24"/>
              </w:rPr>
              <w:t>Scorecard web page.</w:t>
            </w:r>
          </w:p>
          <w:p w:rsidR="00690258" w:rsidRPr="005F5C86" w:rsidRDefault="00690258" w:rsidP="008B72A7">
            <w:pPr>
              <w:spacing w:line="240" w:lineRule="auto"/>
              <w:rPr>
                <w:rFonts w:asciiTheme="majorHAnsi" w:hAnsiTheme="majorHAnsi"/>
                <w:sz w:val="20"/>
                <w:szCs w:val="24"/>
              </w:rPr>
            </w:pPr>
            <w:r w:rsidRPr="005F5C86">
              <w:rPr>
                <w:rFonts w:asciiTheme="majorHAnsi" w:hAnsiTheme="majorHAnsi"/>
                <w:i/>
                <w:sz w:val="20"/>
                <w:szCs w:val="24"/>
              </w:rPr>
              <w:t>See Scorecard Data Strands.</w:t>
            </w:r>
          </w:p>
          <w:p w:rsidR="00690258" w:rsidRPr="005F5C86" w:rsidRDefault="00690258" w:rsidP="008B72A7">
            <w:pPr>
              <w:spacing w:line="240" w:lineRule="auto"/>
              <w:rPr>
                <w:rFonts w:asciiTheme="majorHAnsi" w:hAnsiTheme="majorHAnsi"/>
                <w:sz w:val="20"/>
                <w:szCs w:val="24"/>
              </w:rPr>
            </w:pPr>
          </w:p>
          <w:p w:rsidR="00690258" w:rsidRPr="005F5C86" w:rsidRDefault="00690258" w:rsidP="008B72A7">
            <w:pPr>
              <w:spacing w:line="240" w:lineRule="auto"/>
              <w:rPr>
                <w:rFonts w:asciiTheme="majorHAnsi" w:hAnsiTheme="majorHAnsi"/>
                <w:sz w:val="20"/>
                <w:szCs w:val="24"/>
              </w:rPr>
            </w:pPr>
          </w:p>
        </w:tc>
        <w:tc>
          <w:tcPr>
            <w:tcW w:w="3097" w:type="dxa"/>
            <w:hideMark/>
          </w:tcPr>
          <w:p w:rsidR="00690258" w:rsidRPr="005F5C86" w:rsidRDefault="00690258" w:rsidP="008B72A7">
            <w:pPr>
              <w:spacing w:line="240" w:lineRule="auto"/>
              <w:rPr>
                <w:rFonts w:asciiTheme="majorHAnsi" w:hAnsiTheme="majorHAnsi"/>
                <w:sz w:val="20"/>
                <w:szCs w:val="24"/>
              </w:rPr>
            </w:pPr>
            <w:r w:rsidRPr="0054076E">
              <w:rPr>
                <w:rFonts w:asciiTheme="majorHAnsi" w:hAnsiTheme="majorHAnsi"/>
                <w:color w:val="7030A0"/>
                <w:sz w:val="20"/>
                <w:szCs w:val="24"/>
              </w:rPr>
              <w:t>Accreditation &amp; Institutional Quality Committee (AIQ)</w:t>
            </w:r>
          </w:p>
        </w:tc>
        <w:tc>
          <w:tcPr>
            <w:tcW w:w="990" w:type="dxa"/>
            <w:hideMark/>
          </w:tcPr>
          <w:p w:rsidR="00690258" w:rsidRPr="005F5C86" w:rsidRDefault="00690258" w:rsidP="008B72A7">
            <w:pPr>
              <w:spacing w:line="240" w:lineRule="auto"/>
              <w:rPr>
                <w:rFonts w:asciiTheme="majorHAnsi" w:hAnsiTheme="majorHAnsi"/>
                <w:sz w:val="20"/>
                <w:szCs w:val="24"/>
              </w:rPr>
            </w:pPr>
            <w:r w:rsidRPr="005F5C86">
              <w:rPr>
                <w:rFonts w:asciiTheme="majorHAnsi" w:hAnsiTheme="majorHAnsi"/>
                <w:sz w:val="20"/>
                <w:szCs w:val="24"/>
              </w:rPr>
              <w:t> </w:t>
            </w:r>
          </w:p>
        </w:tc>
        <w:tc>
          <w:tcPr>
            <w:tcW w:w="1980" w:type="dxa"/>
          </w:tcPr>
          <w:p w:rsidR="00690258" w:rsidRPr="005F5C86" w:rsidRDefault="00690258" w:rsidP="008B72A7">
            <w:pPr>
              <w:spacing w:line="240" w:lineRule="auto"/>
              <w:rPr>
                <w:rFonts w:asciiTheme="majorHAnsi" w:hAnsiTheme="majorHAnsi"/>
                <w:sz w:val="20"/>
                <w:szCs w:val="24"/>
              </w:rPr>
            </w:pPr>
          </w:p>
        </w:tc>
      </w:tr>
      <w:tr w:rsidR="00690258" w:rsidRPr="003E79FE" w:rsidTr="00690258">
        <w:trPr>
          <w:trHeight w:val="395"/>
        </w:trPr>
        <w:tc>
          <w:tcPr>
            <w:tcW w:w="12528" w:type="dxa"/>
            <w:gridSpan w:val="5"/>
            <w:shd w:val="clear" w:color="auto" w:fill="D99594" w:themeFill="accent2" w:themeFillTint="99"/>
            <w:vAlign w:val="center"/>
          </w:tcPr>
          <w:p w:rsidR="00690258" w:rsidRPr="005F5C86" w:rsidRDefault="00690258" w:rsidP="008B72A7">
            <w:pPr>
              <w:spacing w:line="240" w:lineRule="auto"/>
              <w:jc w:val="center"/>
              <w:rPr>
                <w:rFonts w:asciiTheme="majorHAnsi" w:hAnsiTheme="majorHAnsi"/>
                <w:szCs w:val="24"/>
              </w:rPr>
            </w:pPr>
            <w:r w:rsidRPr="005F5C86">
              <w:rPr>
                <w:rFonts w:asciiTheme="majorHAnsi" w:hAnsiTheme="majorHAnsi"/>
                <w:b/>
                <w:bCs/>
                <w:szCs w:val="24"/>
              </w:rPr>
              <w:t>Academic Support</w:t>
            </w:r>
          </w:p>
        </w:tc>
        <w:tc>
          <w:tcPr>
            <w:tcW w:w="1980" w:type="dxa"/>
            <w:shd w:val="clear" w:color="auto" w:fill="D99594" w:themeFill="accent2" w:themeFillTint="99"/>
          </w:tcPr>
          <w:p w:rsidR="00690258" w:rsidRPr="005F5C86" w:rsidRDefault="00690258" w:rsidP="008B72A7">
            <w:pPr>
              <w:spacing w:line="240" w:lineRule="auto"/>
              <w:jc w:val="center"/>
              <w:rPr>
                <w:rFonts w:asciiTheme="majorHAnsi" w:hAnsiTheme="majorHAnsi"/>
                <w:b/>
                <w:bCs/>
                <w:szCs w:val="24"/>
              </w:rPr>
            </w:pPr>
          </w:p>
        </w:tc>
      </w:tr>
      <w:tr w:rsidR="00690258" w:rsidRPr="003E79FE" w:rsidTr="00690258">
        <w:trPr>
          <w:trHeight w:val="564"/>
        </w:trPr>
        <w:tc>
          <w:tcPr>
            <w:tcW w:w="519" w:type="dxa"/>
          </w:tcPr>
          <w:p w:rsidR="00690258" w:rsidRPr="001B06C6" w:rsidRDefault="00690258" w:rsidP="008B72A7">
            <w:pPr>
              <w:pStyle w:val="ListParagraph"/>
              <w:numPr>
                <w:ilvl w:val="0"/>
                <w:numId w:val="1"/>
              </w:numPr>
              <w:spacing w:line="240" w:lineRule="auto"/>
              <w:rPr>
                <w:rFonts w:asciiTheme="majorHAnsi" w:hAnsiTheme="majorHAnsi"/>
                <w:sz w:val="24"/>
                <w:szCs w:val="24"/>
              </w:rPr>
            </w:pPr>
          </w:p>
        </w:tc>
        <w:tc>
          <w:tcPr>
            <w:tcW w:w="4104" w:type="dxa"/>
          </w:tcPr>
          <w:p w:rsidR="00690258" w:rsidRPr="005F5C86" w:rsidRDefault="00690258" w:rsidP="008B72A7">
            <w:pPr>
              <w:spacing w:line="240" w:lineRule="auto"/>
              <w:rPr>
                <w:rFonts w:asciiTheme="majorHAnsi" w:hAnsiTheme="majorHAnsi"/>
                <w:sz w:val="20"/>
                <w:szCs w:val="20"/>
              </w:rPr>
            </w:pPr>
            <w:r w:rsidRPr="005F5C86">
              <w:rPr>
                <w:rFonts w:asciiTheme="majorHAnsi" w:hAnsiTheme="majorHAnsi"/>
                <w:sz w:val="20"/>
                <w:szCs w:val="20"/>
              </w:rPr>
              <w:t xml:space="preserve">Develop and implement “study halls” with embedded tutoring to ensure student engagement  </w:t>
            </w:r>
          </w:p>
        </w:tc>
        <w:tc>
          <w:tcPr>
            <w:tcW w:w="3818" w:type="dxa"/>
          </w:tcPr>
          <w:p w:rsidR="00690258" w:rsidRPr="005F5C86" w:rsidRDefault="00690258" w:rsidP="008B72A7">
            <w:pPr>
              <w:spacing w:line="240" w:lineRule="auto"/>
              <w:rPr>
                <w:rFonts w:asciiTheme="majorHAnsi" w:hAnsiTheme="majorHAnsi"/>
                <w:sz w:val="20"/>
                <w:szCs w:val="20"/>
              </w:rPr>
            </w:pPr>
            <w:r w:rsidRPr="005F5C86">
              <w:rPr>
                <w:rFonts w:asciiTheme="majorHAnsi" w:hAnsiTheme="majorHAnsi"/>
                <w:sz w:val="20"/>
                <w:szCs w:val="20"/>
              </w:rPr>
              <w:t>Annually assess amount of available study space and utilization using Facilities documentation.</w:t>
            </w:r>
          </w:p>
        </w:tc>
        <w:tc>
          <w:tcPr>
            <w:tcW w:w="3097" w:type="dxa"/>
          </w:tcPr>
          <w:p w:rsidR="00690258" w:rsidRPr="0054076E" w:rsidRDefault="00690258" w:rsidP="008B72A7">
            <w:pPr>
              <w:spacing w:line="240" w:lineRule="auto"/>
              <w:rPr>
                <w:rFonts w:asciiTheme="majorHAnsi" w:hAnsiTheme="majorHAnsi"/>
                <w:color w:val="0070C0"/>
                <w:sz w:val="20"/>
                <w:szCs w:val="20"/>
              </w:rPr>
            </w:pPr>
            <w:r w:rsidRPr="0054076E">
              <w:rPr>
                <w:rFonts w:asciiTheme="majorHAnsi" w:hAnsiTheme="majorHAnsi"/>
                <w:color w:val="0070C0"/>
                <w:sz w:val="20"/>
                <w:szCs w:val="20"/>
              </w:rPr>
              <w:t>Facilities Committee,</w:t>
            </w:r>
          </w:p>
          <w:p w:rsidR="00690258" w:rsidRPr="005F5C86" w:rsidRDefault="00690258" w:rsidP="008B72A7">
            <w:pPr>
              <w:spacing w:line="240" w:lineRule="auto"/>
              <w:rPr>
                <w:rFonts w:asciiTheme="majorHAnsi" w:hAnsiTheme="majorHAnsi"/>
                <w:sz w:val="20"/>
                <w:szCs w:val="20"/>
              </w:rPr>
            </w:pPr>
            <w:r w:rsidRPr="005F5C86">
              <w:rPr>
                <w:rFonts w:asciiTheme="majorHAnsi" w:hAnsiTheme="majorHAnsi"/>
                <w:sz w:val="20"/>
                <w:szCs w:val="20"/>
              </w:rPr>
              <w:t>Supplemental Instruction (SI) Coordinator</w:t>
            </w:r>
          </w:p>
        </w:tc>
        <w:tc>
          <w:tcPr>
            <w:tcW w:w="990" w:type="dxa"/>
          </w:tcPr>
          <w:p w:rsidR="00690258" w:rsidRPr="003E79FE" w:rsidRDefault="00690258" w:rsidP="008B72A7">
            <w:pPr>
              <w:spacing w:line="240" w:lineRule="auto"/>
              <w:rPr>
                <w:rFonts w:asciiTheme="majorHAnsi" w:hAnsiTheme="majorHAnsi"/>
                <w:sz w:val="24"/>
                <w:szCs w:val="24"/>
              </w:rPr>
            </w:pPr>
            <w:r w:rsidRPr="003E79FE">
              <w:rPr>
                <w:rFonts w:asciiTheme="majorHAnsi" w:hAnsiTheme="majorHAnsi"/>
                <w:sz w:val="24"/>
                <w:szCs w:val="24"/>
              </w:rPr>
              <w:t> </w:t>
            </w:r>
          </w:p>
        </w:tc>
        <w:tc>
          <w:tcPr>
            <w:tcW w:w="1980" w:type="dxa"/>
          </w:tcPr>
          <w:p w:rsidR="00690258" w:rsidRPr="003E79FE" w:rsidRDefault="00690258" w:rsidP="008B72A7">
            <w:pPr>
              <w:spacing w:line="240" w:lineRule="auto"/>
              <w:rPr>
                <w:rFonts w:asciiTheme="majorHAnsi" w:hAnsiTheme="majorHAnsi"/>
                <w:sz w:val="24"/>
                <w:szCs w:val="24"/>
              </w:rPr>
            </w:pPr>
          </w:p>
        </w:tc>
      </w:tr>
    </w:tbl>
    <w:p w:rsidR="003848C6" w:rsidRDefault="003848C6"/>
    <w:sectPr w:rsidR="003848C6" w:rsidSect="0069025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A24A6"/>
    <w:multiLevelType w:val="hybridMultilevel"/>
    <w:tmpl w:val="157CA64E"/>
    <w:lvl w:ilvl="0" w:tplc="73E244CC">
      <w:start w:val="1"/>
      <w:numFmt w:val="decimal"/>
      <w:lvlText w:val="%1"/>
      <w:lvlJc w:val="right"/>
      <w:pPr>
        <w:ind w:left="630" w:hanging="360"/>
      </w:pPr>
      <w:rPr>
        <w:rFonts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58"/>
    <w:rsid w:val="003848C6"/>
    <w:rsid w:val="0069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58"/>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58"/>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2015-08-18T05:12:00Z</dcterms:created>
  <dcterms:modified xsi:type="dcterms:W3CDTF">2015-08-18T05:17:00Z</dcterms:modified>
</cp:coreProperties>
</file>