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E4" w:rsidRPr="00FB7AE4" w:rsidRDefault="00442912" w:rsidP="00FB7A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Curriculum – </w:t>
      </w:r>
      <w:r w:rsidR="006C3FA1">
        <w:rPr>
          <w:b/>
          <w:sz w:val="32"/>
          <w:szCs w:val="32"/>
        </w:rPr>
        <w:t xml:space="preserve">Assessment Mapping Report </w:t>
      </w:r>
      <w:r w:rsidR="00FB7AE4" w:rsidRPr="00FB7AE4">
        <w:rPr>
          <w:b/>
          <w:sz w:val="32"/>
          <w:szCs w:val="32"/>
        </w:rPr>
        <w:t>Instructions</w:t>
      </w:r>
    </w:p>
    <w:p w:rsidR="006C3FA1" w:rsidRDefault="006C3FA1" w:rsidP="00FB7AE4">
      <w:pPr>
        <w:spacing w:after="0" w:line="240" w:lineRule="auto"/>
        <w:rPr>
          <w:b/>
        </w:rPr>
      </w:pPr>
    </w:p>
    <w:p w:rsidR="00FB7AE4" w:rsidRDefault="006C3FA1" w:rsidP="001F432D">
      <w:pPr>
        <w:spacing w:after="0" w:line="240" w:lineRule="auto"/>
        <w:jc w:val="center"/>
        <w:rPr>
          <w:b/>
        </w:rPr>
      </w:pPr>
      <w:r w:rsidRPr="00441ED1">
        <w:rPr>
          <w:rFonts w:ascii="Tahoma" w:eastAsiaTheme="minorEastAsia" w:hAnsi="Tahoma" w:cs="Tahoma"/>
          <w:b/>
          <w:bCs/>
          <w:noProof/>
          <w:color w:val="FF0000"/>
          <w:kern w:val="24"/>
          <w:sz w:val="28"/>
          <w:szCs w:val="28"/>
          <w14:shadow w14:blurRad="101600" w14:dist="0" w14:dir="5400000" w14:sx="100000" w14:sy="100000" w14:kx="0" w14:ky="0" w14:algn="ctr">
            <w14:schemeClr w14:val="bg1"/>
          </w14:shadow>
        </w:rPr>
        <w:drawing>
          <wp:inline distT="0" distB="0" distL="0" distR="0" wp14:anchorId="14670BA5" wp14:editId="50367D0D">
            <wp:extent cx="4910328" cy="2916936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0328" cy="29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3F2" w:rsidRDefault="005923F2" w:rsidP="00FB7AE4">
      <w:pPr>
        <w:spacing w:after="0" w:line="240" w:lineRule="auto"/>
        <w:rPr>
          <w:b/>
        </w:rPr>
      </w:pPr>
    </w:p>
    <w:p w:rsidR="005923F2" w:rsidRDefault="003E2FA5" w:rsidP="00EA1B9F">
      <w:pPr>
        <w:spacing w:after="0" w:line="240" w:lineRule="auto"/>
        <w:jc w:val="both"/>
        <w:rPr>
          <w:b/>
        </w:rPr>
      </w:pPr>
      <w:r>
        <w:rPr>
          <w:b/>
        </w:rPr>
        <w:t xml:space="preserve">When a course revision is </w:t>
      </w:r>
      <w:r w:rsidR="00EA1B9F">
        <w:rPr>
          <w:b/>
        </w:rPr>
        <w:t>done</w:t>
      </w:r>
      <w:r>
        <w:rPr>
          <w:b/>
        </w:rPr>
        <w:t xml:space="preserve"> in eLumen, and changes to the Student Learning Outcomes (SLOs) are made, the mapping</w:t>
      </w:r>
      <w:r w:rsidR="00EA1B9F">
        <w:rPr>
          <w:b/>
        </w:rPr>
        <w:t>s</w:t>
      </w:r>
      <w:r>
        <w:rPr>
          <w:b/>
        </w:rPr>
        <w:t xml:space="preserve"> of these SLOs are reset with the other learning outcomes (PLOs, ILOs, and GELOs). </w:t>
      </w:r>
      <w:r w:rsidR="009B716B">
        <w:rPr>
          <w:b/>
        </w:rPr>
        <w:t>The purpose of this document is to align lear</w:t>
      </w:r>
      <w:r w:rsidR="00BB18F4">
        <w:rPr>
          <w:b/>
        </w:rPr>
        <w:t>ning out</w:t>
      </w:r>
      <w:r>
        <w:rPr>
          <w:b/>
        </w:rPr>
        <w:t>comes across all levels and maintain an updated set of mappings during the curricular process.</w:t>
      </w:r>
      <w:bookmarkStart w:id="0" w:name="_GoBack"/>
      <w:bookmarkEnd w:id="0"/>
    </w:p>
    <w:p w:rsidR="006C3FA1" w:rsidRPr="00FB7AE4" w:rsidRDefault="006C3FA1" w:rsidP="00FB7AE4">
      <w:pPr>
        <w:spacing w:after="0" w:line="240" w:lineRule="auto"/>
        <w:rPr>
          <w:b/>
        </w:rPr>
      </w:pPr>
    </w:p>
    <w:p w:rsidR="00FB7AE4" w:rsidRPr="00533269" w:rsidRDefault="00442912" w:rsidP="0037465D">
      <w:pPr>
        <w:spacing w:after="0" w:line="240" w:lineRule="auto"/>
        <w:contextualSpacing/>
        <w:rPr>
          <w:u w:val="single"/>
        </w:rPr>
      </w:pPr>
      <w:r w:rsidRPr="00533269">
        <w:rPr>
          <w:u w:val="single"/>
        </w:rPr>
        <w:t>Instructions:</w:t>
      </w:r>
    </w:p>
    <w:p w:rsidR="007A6A1F" w:rsidRDefault="007A6A1F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>Enter the course number and name (e.g., PHYS B4A – Mechanics and Heat)</w:t>
      </w:r>
      <w:r w:rsidR="0037465D">
        <w:t xml:space="preserve"> that will be mapped.</w:t>
      </w:r>
    </w:p>
    <w:p w:rsidR="007A6A1F" w:rsidRDefault="007A6A1F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 xml:space="preserve">Mapping Table – Column 1: List each SLO </w:t>
      </w:r>
      <w:r>
        <w:t>for the course listed in step 1.</w:t>
      </w:r>
    </w:p>
    <w:p w:rsidR="007A6A1F" w:rsidRDefault="007A6A1F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>Below the Mapping Table, list each PLO for the course that belongs to the program.</w:t>
      </w:r>
    </w:p>
    <w:p w:rsidR="004F0CBC" w:rsidRDefault="004F0CBC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 xml:space="preserve">Mapping Table – Column </w:t>
      </w:r>
      <w:r w:rsidR="00916FBE">
        <w:t>2</w:t>
      </w:r>
      <w:r>
        <w:t xml:space="preserve">: </w:t>
      </w:r>
      <w:r w:rsidR="00F31281">
        <w:t>List all PLOs that match to each SLO listed in Column 1. At least one PLO must be aligned to each SLO.</w:t>
      </w:r>
      <w:r w:rsidR="0037465D">
        <w:t xml:space="preserve"> (More than one PLO can match to a single </w:t>
      </w:r>
      <w:r w:rsidR="00533269">
        <w:t>S</w:t>
      </w:r>
      <w:r w:rsidR="0037465D">
        <w:t>LO.)</w:t>
      </w:r>
    </w:p>
    <w:p w:rsidR="006C3FA1" w:rsidRDefault="00F31281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 xml:space="preserve">Mapping Table – Column </w:t>
      </w:r>
      <w:r w:rsidR="00916FBE">
        <w:t>3</w:t>
      </w:r>
      <w:r w:rsidR="008546ED">
        <w:t>: List all ILOs that match to each SLO listed in Column 1. At least one ILO must be aligned to each SLO.</w:t>
      </w:r>
      <w:r w:rsidR="00533269">
        <w:t xml:space="preserve"> (More than one ILO can match to a single SLO.)</w:t>
      </w:r>
    </w:p>
    <w:p w:rsidR="008546ED" w:rsidRDefault="00916FBE" w:rsidP="0096777E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>Mapping Table – Column 4</w:t>
      </w:r>
      <w:r w:rsidR="008546ED">
        <w:t xml:space="preserve">: </w:t>
      </w:r>
      <w:r w:rsidR="00275B9F">
        <w:t>If the course belongs to any area of the AA/AS G</w:t>
      </w:r>
      <w:r w:rsidR="00D00208">
        <w:t>eneral Education P</w:t>
      </w:r>
      <w:r w:rsidR="00275B9F">
        <w:t xml:space="preserve">attern (see </w:t>
      </w:r>
      <w:r w:rsidR="0096777E">
        <w:t>pages 5-6</w:t>
      </w:r>
      <w:r w:rsidR="00275B9F">
        <w:t>)</w:t>
      </w:r>
      <w:r w:rsidR="00962B8C">
        <w:t xml:space="preserve">, list all GELOs </w:t>
      </w:r>
      <w:r w:rsidR="00D00208">
        <w:t>(page</w:t>
      </w:r>
      <w:r w:rsidR="0025364A">
        <w:t>s</w:t>
      </w:r>
      <w:r w:rsidR="00D00208">
        <w:t xml:space="preserve"> 3</w:t>
      </w:r>
      <w:r w:rsidR="0025364A">
        <w:t>-4</w:t>
      </w:r>
      <w:r w:rsidR="00D00208">
        <w:t xml:space="preserve">) </w:t>
      </w:r>
      <w:r w:rsidR="00962B8C">
        <w:t xml:space="preserve">that match to each SLO listed in Column 1. </w:t>
      </w:r>
      <w:r w:rsidR="00962B8C" w:rsidRPr="0096777E">
        <w:t>At least one GELO must be aligned to each SLO.</w:t>
      </w:r>
      <w:r w:rsidR="0096777E">
        <w:t xml:space="preserve">                                                                                  </w:t>
      </w:r>
      <w:r w:rsidR="00962B8C" w:rsidRPr="0096777E">
        <w:rPr>
          <w:b/>
        </w:rPr>
        <w:t xml:space="preserve">Ensure that the </w:t>
      </w:r>
      <w:r w:rsidR="0025364A" w:rsidRPr="0096777E">
        <w:rPr>
          <w:b/>
        </w:rPr>
        <w:t>specific</w:t>
      </w:r>
      <w:r w:rsidR="00962B8C" w:rsidRPr="0096777E">
        <w:rPr>
          <w:b/>
        </w:rPr>
        <w:t xml:space="preserve"> GELO is listed (e.g., C.1.2 and </w:t>
      </w:r>
      <w:r w:rsidR="00962B8C" w:rsidRPr="0096777E">
        <w:rPr>
          <w:b/>
          <w:i/>
        </w:rPr>
        <w:t>not</w:t>
      </w:r>
      <w:r w:rsidR="00962B8C" w:rsidRPr="0096777E">
        <w:rPr>
          <w:b/>
        </w:rPr>
        <w:t xml:space="preserve"> C.1 or C).</w:t>
      </w:r>
    </w:p>
    <w:p w:rsidR="006C3FA1" w:rsidRPr="000E2888" w:rsidRDefault="006C3FA1" w:rsidP="00533269">
      <w:pPr>
        <w:pStyle w:val="ListParagraph"/>
        <w:numPr>
          <w:ilvl w:val="0"/>
          <w:numId w:val="4"/>
        </w:numPr>
        <w:spacing w:before="180" w:after="180" w:line="240" w:lineRule="auto"/>
        <w:contextualSpacing w:val="0"/>
      </w:pPr>
      <w:r>
        <w:t>Complete the Assessment Mapping Report</w:t>
      </w:r>
      <w:r w:rsidR="004F0CBC">
        <w:t xml:space="preserve"> by uploading the attachment to the curriculum workflow in eLumen.</w:t>
      </w:r>
    </w:p>
    <w:p w:rsidR="00FB7AE4" w:rsidRPr="000E2888" w:rsidRDefault="00FB7AE4" w:rsidP="00FB7AE4">
      <w:pPr>
        <w:spacing w:after="0" w:line="240" w:lineRule="auto"/>
        <w:rPr>
          <w:b/>
        </w:rPr>
      </w:pPr>
    </w:p>
    <w:p w:rsidR="00FB7AE4" w:rsidRPr="000E2888" w:rsidRDefault="00FB7AE4">
      <w:pPr>
        <w:rPr>
          <w:b/>
        </w:rPr>
      </w:pPr>
    </w:p>
    <w:p w:rsidR="000E2888" w:rsidRDefault="000E2888" w:rsidP="00BF3B79">
      <w:pPr>
        <w:jc w:val="center"/>
        <w:rPr>
          <w:b/>
          <w:sz w:val="32"/>
          <w:szCs w:val="32"/>
        </w:rPr>
        <w:sectPr w:rsidR="000E2888" w:rsidSect="000E288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3FA1" w:rsidRDefault="006C3FA1" w:rsidP="00BF3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Assessment Mapping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6210"/>
      </w:tblGrid>
      <w:tr w:rsidR="00524245" w:rsidTr="007A6A1F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24245" w:rsidRDefault="00524245" w:rsidP="009F28A0">
            <w:pPr>
              <w:rPr>
                <w:b/>
              </w:rPr>
            </w:pPr>
            <w:r>
              <w:rPr>
                <w:b/>
              </w:rPr>
              <w:t>Course Number and Name:</w:t>
            </w:r>
          </w:p>
        </w:tc>
        <w:tc>
          <w:tcPr>
            <w:tcW w:w="6210" w:type="dxa"/>
            <w:tcBorders>
              <w:top w:val="nil"/>
              <w:left w:val="nil"/>
              <w:right w:val="nil"/>
            </w:tcBorders>
          </w:tcPr>
          <w:p w:rsidR="00524245" w:rsidRPr="0096777E" w:rsidRDefault="00524245" w:rsidP="009F28A0"/>
        </w:tc>
      </w:tr>
    </w:tbl>
    <w:p w:rsidR="00524245" w:rsidRDefault="00524245" w:rsidP="00524245">
      <w:pPr>
        <w:spacing w:after="0" w:line="240" w:lineRule="auto"/>
        <w:rPr>
          <w:b/>
        </w:rPr>
      </w:pP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7200"/>
        <w:gridCol w:w="1978"/>
        <w:gridCol w:w="1978"/>
        <w:gridCol w:w="1979"/>
      </w:tblGrid>
      <w:tr w:rsidR="00524245" w:rsidTr="007A6A1F">
        <w:tc>
          <w:tcPr>
            <w:tcW w:w="7200" w:type="dxa"/>
          </w:tcPr>
          <w:p w:rsidR="00524245" w:rsidRDefault="00524245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Student Learning Outcome</w:t>
            </w:r>
            <w:r>
              <w:rPr>
                <w:b/>
              </w:rPr>
              <w:t>s (SLOs)</w:t>
            </w:r>
          </w:p>
          <w:p w:rsidR="00524245" w:rsidRPr="00011611" w:rsidRDefault="00524245" w:rsidP="009F28A0">
            <w:r>
              <w:t xml:space="preserve">Upon successful completion of the </w:t>
            </w:r>
            <w:r w:rsidRPr="00011611">
              <w:t>course, the student will be able to:</w:t>
            </w:r>
          </w:p>
        </w:tc>
        <w:tc>
          <w:tcPr>
            <w:tcW w:w="1978" w:type="dxa"/>
            <w:vAlign w:val="center"/>
          </w:tcPr>
          <w:p w:rsidR="00524245" w:rsidRPr="00BF3B79" w:rsidRDefault="00524245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PLO</w:t>
            </w:r>
          </w:p>
        </w:tc>
        <w:tc>
          <w:tcPr>
            <w:tcW w:w="1978" w:type="dxa"/>
            <w:vAlign w:val="center"/>
          </w:tcPr>
          <w:p w:rsidR="00524245" w:rsidRPr="00BF3B79" w:rsidRDefault="00524245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ILO</w:t>
            </w:r>
          </w:p>
        </w:tc>
        <w:tc>
          <w:tcPr>
            <w:tcW w:w="1979" w:type="dxa"/>
            <w:vAlign w:val="center"/>
          </w:tcPr>
          <w:p w:rsidR="00524245" w:rsidRPr="00BF3B79" w:rsidRDefault="00524245" w:rsidP="009F28A0">
            <w:pPr>
              <w:jc w:val="center"/>
              <w:rPr>
                <w:b/>
              </w:rPr>
            </w:pPr>
            <w:r w:rsidRPr="00BF3B79">
              <w:rPr>
                <w:b/>
              </w:rPr>
              <w:t>GELO</w:t>
            </w: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  <w:tr w:rsidR="00524245" w:rsidTr="0096777E">
        <w:trPr>
          <w:trHeight w:val="576"/>
        </w:trPr>
        <w:tc>
          <w:tcPr>
            <w:tcW w:w="7200" w:type="dxa"/>
          </w:tcPr>
          <w:p w:rsidR="00524245" w:rsidRDefault="00524245" w:rsidP="009F28A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8" w:type="dxa"/>
            <w:vAlign w:val="center"/>
          </w:tcPr>
          <w:p w:rsidR="00524245" w:rsidRDefault="00524245" w:rsidP="0096777E">
            <w:pPr>
              <w:jc w:val="center"/>
            </w:pPr>
          </w:p>
        </w:tc>
        <w:tc>
          <w:tcPr>
            <w:tcW w:w="1979" w:type="dxa"/>
            <w:vAlign w:val="center"/>
          </w:tcPr>
          <w:p w:rsidR="00524245" w:rsidRDefault="00524245" w:rsidP="0096777E">
            <w:pPr>
              <w:jc w:val="center"/>
            </w:pPr>
          </w:p>
        </w:tc>
      </w:tr>
    </w:tbl>
    <w:p w:rsidR="00524245" w:rsidRPr="007A6A1F" w:rsidRDefault="00524245" w:rsidP="004D1A12">
      <w:pPr>
        <w:spacing w:after="0" w:line="240" w:lineRule="auto"/>
      </w:pPr>
    </w:p>
    <w:p w:rsidR="00524245" w:rsidRPr="007A6A1F" w:rsidRDefault="00524245" w:rsidP="004D1A12">
      <w:pPr>
        <w:spacing w:after="0" w:line="240" w:lineRule="auto"/>
      </w:pPr>
    </w:p>
    <w:p w:rsidR="00524245" w:rsidRPr="00246766" w:rsidRDefault="00524245" w:rsidP="00524245">
      <w:pPr>
        <w:spacing w:after="0" w:line="240" w:lineRule="auto"/>
        <w:rPr>
          <w:b/>
        </w:rPr>
      </w:pPr>
      <w:r w:rsidRPr="00246766">
        <w:rPr>
          <w:b/>
        </w:rPr>
        <w:t>Program Learning Outcomes (PLOs):</w:t>
      </w:r>
    </w:p>
    <w:p w:rsidR="00524245" w:rsidRDefault="00524245" w:rsidP="00524245">
      <w:pPr>
        <w:spacing w:after="0" w:line="240" w:lineRule="auto"/>
      </w:pPr>
      <w:r>
        <w:t>Upon successful completion of the program, the student will be able to:</w:t>
      </w:r>
    </w:p>
    <w:p w:rsidR="00524245" w:rsidRDefault="00524245" w:rsidP="00524245">
      <w:pPr>
        <w:pStyle w:val="ListParagraph"/>
        <w:numPr>
          <w:ilvl w:val="0"/>
          <w:numId w:val="7"/>
        </w:numPr>
        <w:spacing w:after="0" w:line="240" w:lineRule="auto"/>
      </w:pPr>
    </w:p>
    <w:p w:rsidR="00524245" w:rsidRDefault="00524245" w:rsidP="00524245">
      <w:pPr>
        <w:pStyle w:val="ListParagraph"/>
        <w:numPr>
          <w:ilvl w:val="0"/>
          <w:numId w:val="7"/>
        </w:numPr>
        <w:spacing w:after="0" w:line="240" w:lineRule="auto"/>
      </w:pPr>
    </w:p>
    <w:p w:rsidR="00524245" w:rsidRDefault="00524245" w:rsidP="00524245">
      <w:pPr>
        <w:pStyle w:val="ListParagraph"/>
        <w:numPr>
          <w:ilvl w:val="0"/>
          <w:numId w:val="7"/>
        </w:numPr>
        <w:spacing w:after="0" w:line="240" w:lineRule="auto"/>
      </w:pPr>
    </w:p>
    <w:p w:rsidR="00524245" w:rsidRDefault="00524245" w:rsidP="00524245">
      <w:pPr>
        <w:pStyle w:val="ListParagraph"/>
        <w:numPr>
          <w:ilvl w:val="0"/>
          <w:numId w:val="7"/>
        </w:numPr>
        <w:spacing w:after="0" w:line="240" w:lineRule="auto"/>
      </w:pPr>
    </w:p>
    <w:p w:rsidR="00524245" w:rsidRDefault="00524245" w:rsidP="007A6A1F">
      <w:pPr>
        <w:spacing w:after="0" w:line="240" w:lineRule="auto"/>
      </w:pPr>
    </w:p>
    <w:p w:rsidR="00524245" w:rsidRPr="007A6A1F" w:rsidRDefault="00524245" w:rsidP="004D1A12">
      <w:pPr>
        <w:spacing w:after="0" w:line="240" w:lineRule="auto"/>
      </w:pPr>
    </w:p>
    <w:p w:rsidR="004D1A12" w:rsidRDefault="004D1A12" w:rsidP="004D1A12">
      <w:pPr>
        <w:spacing w:after="0" w:line="240" w:lineRule="auto"/>
        <w:rPr>
          <w:b/>
        </w:rPr>
      </w:pPr>
      <w:r>
        <w:rPr>
          <w:b/>
        </w:rPr>
        <w:t>Bakersfield College Institutional Learning Outcomes (ILOs):</w:t>
      </w:r>
    </w:p>
    <w:p w:rsidR="004D1A12" w:rsidRDefault="004D1A12" w:rsidP="004D1A12">
      <w:pPr>
        <w:spacing w:after="0" w:line="240" w:lineRule="auto"/>
      </w:pPr>
      <w:r>
        <w:t>Upon successful completion of a degree or certificate, the student will be able to:</w:t>
      </w:r>
    </w:p>
    <w:p w:rsidR="004D1A12" w:rsidRDefault="004D1A12" w:rsidP="004D1A12">
      <w:pPr>
        <w:pStyle w:val="ListParagraph"/>
        <w:numPr>
          <w:ilvl w:val="0"/>
          <w:numId w:val="3"/>
        </w:numPr>
      </w:pPr>
      <w:r>
        <w:t>THINK: Think critically and evaluate sources and information for validity and usefulness.</w:t>
      </w:r>
    </w:p>
    <w:p w:rsidR="004D1A12" w:rsidRDefault="004D1A12" w:rsidP="004D1A12">
      <w:pPr>
        <w:pStyle w:val="ListParagraph"/>
        <w:numPr>
          <w:ilvl w:val="0"/>
          <w:numId w:val="3"/>
        </w:numPr>
      </w:pPr>
      <w:r>
        <w:t>COMMUNICATE: Communicate effectively in both written and oral forms.</w:t>
      </w:r>
    </w:p>
    <w:p w:rsidR="004D1A12" w:rsidRDefault="004D1A12" w:rsidP="004D1A12">
      <w:pPr>
        <w:pStyle w:val="ListParagraph"/>
        <w:numPr>
          <w:ilvl w:val="0"/>
          <w:numId w:val="3"/>
        </w:numPr>
      </w:pPr>
      <w:r>
        <w:t>DEMONSTRATE: Demonstrate competency in a field of knowledge or with job-related skills.</w:t>
      </w:r>
    </w:p>
    <w:p w:rsidR="006C3FA1" w:rsidRDefault="004D1A12" w:rsidP="006C3FA1">
      <w:pPr>
        <w:pStyle w:val="ListParagraph"/>
        <w:numPr>
          <w:ilvl w:val="0"/>
          <w:numId w:val="3"/>
        </w:numPr>
      </w:pPr>
      <w:r>
        <w:t>ENGAGE: Engage productively in all levels of society – interpersonal, community, the state and nation, and the world.</w:t>
      </w:r>
    </w:p>
    <w:p w:rsidR="00193C5A" w:rsidRDefault="00193C5A" w:rsidP="00703872"/>
    <w:p w:rsidR="00193C5A" w:rsidRDefault="00193C5A" w:rsidP="00703872"/>
    <w:p w:rsidR="00193C5A" w:rsidRDefault="00193C5A" w:rsidP="00703872">
      <w:pPr>
        <w:sectPr w:rsidR="00193C5A" w:rsidSect="00BF3B7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703872" w:rsidRDefault="00D64CB9" w:rsidP="001E5925">
      <w:pPr>
        <w:jc w:val="center"/>
        <w:rPr>
          <w:b/>
        </w:rPr>
      </w:pPr>
      <w:r w:rsidRPr="00D64CB9">
        <w:rPr>
          <w:b/>
        </w:rPr>
        <w:lastRenderedPageBreak/>
        <w:t>Bakersfield College General Educ</w:t>
      </w:r>
      <w:r w:rsidR="0025364A">
        <w:rPr>
          <w:b/>
        </w:rPr>
        <w:t>ation Learning Outcomes (GELOs)</w:t>
      </w:r>
    </w:p>
    <w:p w:rsidR="00D64CB9" w:rsidRPr="0025364A" w:rsidRDefault="00D64CB9" w:rsidP="0025364A">
      <w:pPr>
        <w:spacing w:after="0" w:line="240" w:lineRule="auto"/>
        <w:rPr>
          <w:i/>
          <w:u w:val="single"/>
        </w:rPr>
      </w:pPr>
      <w:r w:rsidRPr="0025364A">
        <w:rPr>
          <w:i/>
          <w:u w:val="single"/>
        </w:rPr>
        <w:t>Area A: Communication in the English Language and Critical Thinking</w:t>
      </w:r>
    </w:p>
    <w:p w:rsidR="001E5925" w:rsidRPr="001E5925" w:rsidRDefault="00BB4F1B" w:rsidP="0025364A">
      <w:pPr>
        <w:spacing w:after="0" w:line="240" w:lineRule="auto"/>
        <w:rPr>
          <w:b/>
        </w:rPr>
      </w:pPr>
      <w:r>
        <w:rPr>
          <w:b/>
        </w:rPr>
        <w:t xml:space="preserve">A.1 – </w:t>
      </w:r>
      <w:r w:rsidR="001E5925" w:rsidRPr="001E5925">
        <w:rPr>
          <w:b/>
        </w:rPr>
        <w:t>Oral Communication</w:t>
      </w:r>
    </w:p>
    <w:p w:rsidR="00D64CB9" w:rsidRDefault="00D64CB9" w:rsidP="0025364A">
      <w:pPr>
        <w:spacing w:after="0" w:line="240" w:lineRule="auto"/>
      </w:pPr>
      <w:r>
        <w:t>A.1</w:t>
      </w:r>
      <w:r w:rsidR="00BB4F1B">
        <w:t>.1: Form and present informative</w:t>
      </w:r>
      <w:r>
        <w:t xml:space="preserve"> persuasive messages.</w:t>
      </w:r>
    </w:p>
    <w:p w:rsidR="00D64CB9" w:rsidRDefault="00D64CB9" w:rsidP="0025364A">
      <w:pPr>
        <w:spacing w:after="0" w:line="240" w:lineRule="auto"/>
      </w:pPr>
      <w:r>
        <w:t>A.1.2: Demonstrate competence in both active and empathic listening.</w:t>
      </w:r>
    </w:p>
    <w:p w:rsidR="00D64CB9" w:rsidRDefault="00D64CB9" w:rsidP="0025364A">
      <w:pPr>
        <w:spacing w:after="0" w:line="240" w:lineRule="auto"/>
      </w:pPr>
      <w:r>
        <w:t>A.1.3:</w:t>
      </w:r>
      <w:r w:rsidR="001E5925">
        <w:t xml:space="preserve"> Present oral messages to appropriate audiences and adhere to conventions of message delivery.</w:t>
      </w:r>
    </w:p>
    <w:p w:rsidR="001E5925" w:rsidRDefault="001E5925" w:rsidP="0025364A">
      <w:pPr>
        <w:spacing w:after="0" w:line="240" w:lineRule="auto"/>
      </w:pPr>
      <w:r>
        <w:t>A.1.4: Manage personal communication apprehension and anxiety.</w:t>
      </w:r>
    </w:p>
    <w:p w:rsidR="001E5925" w:rsidRDefault="001E5925" w:rsidP="0025364A">
      <w:pPr>
        <w:spacing w:after="0" w:line="240" w:lineRule="auto"/>
      </w:pPr>
    </w:p>
    <w:p w:rsidR="001E5925" w:rsidRDefault="00BB4F1B" w:rsidP="0025364A">
      <w:pPr>
        <w:spacing w:after="0" w:line="240" w:lineRule="auto"/>
        <w:rPr>
          <w:b/>
        </w:rPr>
      </w:pPr>
      <w:r>
        <w:rPr>
          <w:b/>
        </w:rPr>
        <w:t xml:space="preserve">A.2 – </w:t>
      </w:r>
      <w:r w:rsidR="001E5925">
        <w:rPr>
          <w:b/>
        </w:rPr>
        <w:t>Written Communication</w:t>
      </w:r>
    </w:p>
    <w:p w:rsidR="001E5925" w:rsidRDefault="001E5925" w:rsidP="0025364A">
      <w:pPr>
        <w:spacing w:after="0" w:line="240" w:lineRule="auto"/>
      </w:pPr>
      <w:r>
        <w:t>A.2.1: Identify the controlling idea and the main points of college-level expository &amp; argumentative essays.</w:t>
      </w:r>
    </w:p>
    <w:p w:rsidR="001E5925" w:rsidRDefault="001E5925" w:rsidP="0025364A">
      <w:pPr>
        <w:spacing w:after="0" w:line="240" w:lineRule="auto"/>
      </w:pPr>
      <w:r>
        <w:t>A.2.2: Evaluate expository &amp; argumentative essays through the application of critical thinking techniques.</w:t>
      </w:r>
    </w:p>
    <w:p w:rsidR="001E5925" w:rsidRDefault="001E5925" w:rsidP="0025364A">
      <w:pPr>
        <w:spacing w:after="0" w:line="240" w:lineRule="auto"/>
      </w:pPr>
      <w:r>
        <w:t>A.2.3: Write logical &amp; coherent expository &amp; argumentative essays, summaries &amp; paraphrases using correctly the standard conventions of written English.</w:t>
      </w:r>
    </w:p>
    <w:p w:rsidR="001E5925" w:rsidRDefault="001E5925" w:rsidP="0025364A">
      <w:pPr>
        <w:spacing w:after="0" w:line="240" w:lineRule="auto"/>
      </w:pPr>
    </w:p>
    <w:p w:rsidR="001E5925" w:rsidRPr="0025364A" w:rsidRDefault="001E5925" w:rsidP="0025364A">
      <w:pPr>
        <w:spacing w:after="0" w:line="240" w:lineRule="auto"/>
        <w:rPr>
          <w:i/>
          <w:u w:val="single"/>
        </w:rPr>
      </w:pPr>
      <w:r w:rsidRPr="0025364A">
        <w:rPr>
          <w:i/>
          <w:u w:val="single"/>
        </w:rPr>
        <w:t>Area B: Physical Universe and Life Forms</w:t>
      </w:r>
    </w:p>
    <w:p w:rsidR="001E5925" w:rsidRDefault="001E5925" w:rsidP="0025364A">
      <w:pPr>
        <w:spacing w:after="0" w:line="240" w:lineRule="auto"/>
        <w:rPr>
          <w:b/>
        </w:rPr>
      </w:pPr>
      <w:r>
        <w:rPr>
          <w:b/>
        </w:rPr>
        <w:t>B.1 Natural Sciences</w:t>
      </w:r>
    </w:p>
    <w:p w:rsidR="001E5925" w:rsidRDefault="001E5925" w:rsidP="0025364A">
      <w:pPr>
        <w:spacing w:after="0" w:line="240" w:lineRule="auto"/>
      </w:pPr>
      <w:r>
        <w:t>B.1.1: Demonstrate a knowledge of natural phenomena and recognize the processes that explain them.</w:t>
      </w:r>
    </w:p>
    <w:p w:rsidR="001E5925" w:rsidRDefault="001E5925" w:rsidP="0025364A">
      <w:pPr>
        <w:spacing w:after="0" w:line="240" w:lineRule="auto"/>
      </w:pPr>
      <w:r>
        <w:t>B.1.2: Demonstrate a knowledge of scientific methodologies when solving a problem.</w:t>
      </w:r>
    </w:p>
    <w:p w:rsidR="001E5925" w:rsidRDefault="001E5925" w:rsidP="0025364A">
      <w:pPr>
        <w:spacing w:after="0" w:line="240" w:lineRule="auto"/>
      </w:pPr>
    </w:p>
    <w:p w:rsidR="001E5925" w:rsidRDefault="001E5925" w:rsidP="0025364A">
      <w:pPr>
        <w:spacing w:after="0" w:line="240" w:lineRule="auto"/>
        <w:rPr>
          <w:b/>
        </w:rPr>
      </w:pPr>
      <w:r>
        <w:rPr>
          <w:b/>
        </w:rPr>
        <w:t>B.2 Mathematics and Logic (Analytical Thinking)</w:t>
      </w:r>
    </w:p>
    <w:p w:rsidR="001E5925" w:rsidRDefault="001E5925" w:rsidP="0025364A">
      <w:pPr>
        <w:spacing w:after="0" w:line="240" w:lineRule="auto"/>
      </w:pPr>
      <w:r>
        <w:t>B.2.1: Apply formal systems of reasoning in solving problems or analyzing arguments.</w:t>
      </w:r>
    </w:p>
    <w:p w:rsidR="001E5925" w:rsidRDefault="001E5925" w:rsidP="0025364A">
      <w:pPr>
        <w:spacing w:after="0" w:line="240" w:lineRule="auto"/>
      </w:pPr>
    </w:p>
    <w:p w:rsidR="001E5925" w:rsidRPr="0025364A" w:rsidRDefault="001E5925" w:rsidP="0025364A">
      <w:pPr>
        <w:spacing w:after="0" w:line="240" w:lineRule="auto"/>
        <w:rPr>
          <w:i/>
          <w:u w:val="single"/>
        </w:rPr>
      </w:pPr>
      <w:r w:rsidRPr="0025364A">
        <w:rPr>
          <w:i/>
          <w:u w:val="single"/>
        </w:rPr>
        <w:t>Area C: Arts, Literature, Philosophy and Foreign Language</w:t>
      </w:r>
    </w:p>
    <w:p w:rsidR="001E5925" w:rsidRDefault="001E5925" w:rsidP="0025364A">
      <w:pPr>
        <w:spacing w:after="0" w:line="240" w:lineRule="auto"/>
        <w:rPr>
          <w:b/>
        </w:rPr>
      </w:pPr>
      <w:r>
        <w:rPr>
          <w:b/>
        </w:rPr>
        <w:t>C.1 Introduction to the Arts</w:t>
      </w:r>
    </w:p>
    <w:p w:rsidR="001E5925" w:rsidRDefault="001E5925" w:rsidP="0025364A">
      <w:pPr>
        <w:spacing w:after="0" w:line="240" w:lineRule="auto"/>
      </w:pPr>
      <w:r>
        <w:t xml:space="preserve">C.1.1: </w:t>
      </w:r>
      <w:r w:rsidR="008A5945">
        <w:t>Demonstrate an understanding of and an ability to describe the ways in which arts, literature, philosophy or foreign languages reflect historical, intellectual, and cultural contexts, as well as aesthetic tastes.</w:t>
      </w:r>
    </w:p>
    <w:p w:rsidR="008A5945" w:rsidRDefault="008A5945" w:rsidP="0025364A">
      <w:pPr>
        <w:spacing w:after="0" w:line="240" w:lineRule="auto"/>
      </w:pPr>
      <w:r>
        <w:t xml:space="preserve">C.1.2: Demonstrate the ability to recognize, describe and/or produce various components of an art form or language either visually and/or </w:t>
      </w:r>
      <w:proofErr w:type="spellStart"/>
      <w:r>
        <w:t>auditorily</w:t>
      </w:r>
      <w:proofErr w:type="spellEnd"/>
      <w:r>
        <w:t>.</w:t>
      </w:r>
    </w:p>
    <w:p w:rsidR="008A5945" w:rsidRDefault="008A5945" w:rsidP="0025364A">
      <w:pPr>
        <w:spacing w:after="0" w:line="240" w:lineRule="auto"/>
      </w:pPr>
    </w:p>
    <w:p w:rsidR="008A5945" w:rsidRDefault="008A5945" w:rsidP="0025364A">
      <w:pPr>
        <w:spacing w:after="0" w:line="240" w:lineRule="auto"/>
        <w:rPr>
          <w:b/>
        </w:rPr>
      </w:pPr>
      <w:r>
        <w:rPr>
          <w:b/>
        </w:rPr>
        <w:t>C.2 Introductions to the Humanities</w:t>
      </w:r>
    </w:p>
    <w:p w:rsidR="008A5945" w:rsidRDefault="008A5945" w:rsidP="0025364A">
      <w:pPr>
        <w:spacing w:after="0" w:line="240" w:lineRule="auto"/>
      </w:pPr>
      <w:r>
        <w:t>C.2.1: Demonstrate an understanding of and an ability to describe the ways in which arts, literature, philosophy or foreign languages reflect historical, intellectual, and cultural contexts, as well as aesthetic tastes.</w:t>
      </w:r>
    </w:p>
    <w:p w:rsidR="008A5945" w:rsidRDefault="008A5945" w:rsidP="0025364A">
      <w:pPr>
        <w:spacing w:after="0" w:line="240" w:lineRule="auto"/>
      </w:pPr>
    </w:p>
    <w:p w:rsidR="00587931" w:rsidRDefault="00587931">
      <w:pPr>
        <w:rPr>
          <w:i/>
          <w:u w:val="single"/>
        </w:rPr>
      </w:pPr>
      <w:r>
        <w:rPr>
          <w:i/>
          <w:u w:val="single"/>
        </w:rPr>
        <w:br w:type="page"/>
      </w:r>
    </w:p>
    <w:p w:rsidR="008A5945" w:rsidRPr="0025364A" w:rsidRDefault="008A5945" w:rsidP="0025364A">
      <w:pPr>
        <w:spacing w:after="0" w:line="240" w:lineRule="auto"/>
        <w:rPr>
          <w:i/>
          <w:u w:val="single"/>
        </w:rPr>
      </w:pPr>
      <w:r w:rsidRPr="0025364A">
        <w:rPr>
          <w:i/>
          <w:u w:val="single"/>
        </w:rPr>
        <w:lastRenderedPageBreak/>
        <w:t>Area D: Social, Political, Legal, and Economic Institution and Behavior; Historical Background</w:t>
      </w:r>
    </w:p>
    <w:p w:rsidR="008A5945" w:rsidRDefault="0025364A" w:rsidP="0025364A">
      <w:pPr>
        <w:spacing w:after="0" w:line="240" w:lineRule="auto"/>
        <w:rPr>
          <w:b/>
        </w:rPr>
      </w:pPr>
      <w:r>
        <w:rPr>
          <w:b/>
        </w:rPr>
        <w:t>D.1 Foundations in the Behavioral Sciences</w:t>
      </w:r>
    </w:p>
    <w:p w:rsidR="0025364A" w:rsidRDefault="0025364A" w:rsidP="0025364A">
      <w:pPr>
        <w:spacing w:after="0" w:line="240" w:lineRule="auto"/>
      </w:pPr>
      <w:r>
        <w:t>D.1.1: Demonstrate an understanding of the perspectives, theories, methods and core concepts of the behavioral sciences.</w:t>
      </w:r>
    </w:p>
    <w:p w:rsidR="0025364A" w:rsidRDefault="0025364A" w:rsidP="0025364A">
      <w:pPr>
        <w:spacing w:after="0" w:line="240" w:lineRule="auto"/>
      </w:pPr>
      <w:r>
        <w:t>D.1.2: Explain the major problems and issues in the disciplines in their contemporary, historical and geographical contexts.</w:t>
      </w:r>
    </w:p>
    <w:p w:rsidR="0025364A" w:rsidRDefault="0025364A" w:rsidP="0025364A">
      <w:pPr>
        <w:spacing w:after="0" w:line="240" w:lineRule="auto"/>
      </w:pPr>
      <w:r>
        <w:t>D.1.3: Demonstrate an understanding of and an ability to describe the contributions and perspectives of women, ethnic and other minorities, and Western and non-Western peoples.</w:t>
      </w:r>
    </w:p>
    <w:p w:rsidR="00587931" w:rsidRDefault="00587931" w:rsidP="0025364A">
      <w:pPr>
        <w:spacing w:after="0" w:line="240" w:lineRule="auto"/>
        <w:rPr>
          <w:b/>
        </w:rPr>
      </w:pPr>
    </w:p>
    <w:p w:rsidR="0025364A" w:rsidRDefault="0025364A" w:rsidP="0025364A">
      <w:pPr>
        <w:spacing w:after="0" w:line="240" w:lineRule="auto"/>
        <w:rPr>
          <w:b/>
        </w:rPr>
      </w:pPr>
      <w:r>
        <w:rPr>
          <w:b/>
        </w:rPr>
        <w:t>D.2 Foundations in the Social Sciences</w:t>
      </w:r>
    </w:p>
    <w:p w:rsidR="0025364A" w:rsidRDefault="0025364A" w:rsidP="0025364A">
      <w:pPr>
        <w:spacing w:after="0" w:line="240" w:lineRule="auto"/>
      </w:pPr>
      <w:r>
        <w:t>D.2.1: Demonstrate an understanding of the perspectives, theories, methods and core concepts of the social sciences.</w:t>
      </w:r>
    </w:p>
    <w:p w:rsidR="0025364A" w:rsidRDefault="0025364A" w:rsidP="0025364A">
      <w:pPr>
        <w:spacing w:after="0" w:line="240" w:lineRule="auto"/>
      </w:pPr>
      <w:r>
        <w:t>D.2.2: Explain the major problems and issues in the disciplines in their contemporary, historical and geographical contexts.</w:t>
      </w:r>
    </w:p>
    <w:p w:rsidR="0025364A" w:rsidRDefault="0025364A" w:rsidP="0025364A">
      <w:pPr>
        <w:spacing w:after="0" w:line="240" w:lineRule="auto"/>
      </w:pPr>
      <w:r>
        <w:t>D.2.3: Demonstrate an understanding of and an ability to describe the contributions and perspectives of women, ethnic and other minorities, and Western and non-Western peoples.</w:t>
      </w:r>
    </w:p>
    <w:p w:rsidR="0025364A" w:rsidRDefault="0025364A" w:rsidP="0025364A">
      <w:pPr>
        <w:spacing w:after="0" w:line="240" w:lineRule="auto"/>
      </w:pPr>
    </w:p>
    <w:p w:rsidR="0025364A" w:rsidRDefault="0025364A" w:rsidP="0025364A">
      <w:pPr>
        <w:spacing w:after="0" w:line="240" w:lineRule="auto"/>
        <w:rPr>
          <w:b/>
        </w:rPr>
      </w:pPr>
      <w:r>
        <w:rPr>
          <w:b/>
        </w:rPr>
        <w:t>D.3 American (U.S.) Institutions</w:t>
      </w:r>
    </w:p>
    <w:p w:rsidR="0025364A" w:rsidRDefault="0025364A" w:rsidP="0025364A">
      <w:pPr>
        <w:spacing w:after="0" w:line="240" w:lineRule="auto"/>
      </w:pPr>
      <w:r>
        <w:t>D.3.1: Demonstrate an understanding of the perspectives, theories, methods and core concepts of the social sciences.</w:t>
      </w:r>
    </w:p>
    <w:p w:rsidR="0025364A" w:rsidRDefault="0025364A" w:rsidP="0025364A">
      <w:pPr>
        <w:spacing w:after="0" w:line="240" w:lineRule="auto"/>
      </w:pPr>
      <w:r>
        <w:t>D.3.2: Explain the major problems and issues in the disciplines in their contemporary, historical and geographical contexts.</w:t>
      </w:r>
    </w:p>
    <w:p w:rsidR="0025364A" w:rsidRDefault="0025364A" w:rsidP="0025364A">
      <w:pPr>
        <w:spacing w:after="0" w:line="240" w:lineRule="auto"/>
      </w:pPr>
      <w:r>
        <w:t>D.3.3: Demonstrate an understanding of and an ability to describe the contributions and perspectives of women, ethnic and other minorities, and Western and non-Western peoples.</w:t>
      </w:r>
    </w:p>
    <w:p w:rsidR="0025364A" w:rsidRDefault="0025364A" w:rsidP="0025364A">
      <w:pPr>
        <w:spacing w:after="0" w:line="240" w:lineRule="auto"/>
      </w:pPr>
    </w:p>
    <w:p w:rsidR="0025364A" w:rsidRPr="0025364A" w:rsidRDefault="0025364A" w:rsidP="0025364A">
      <w:pPr>
        <w:spacing w:after="0" w:line="240" w:lineRule="auto"/>
        <w:rPr>
          <w:i/>
          <w:u w:val="single"/>
        </w:rPr>
      </w:pPr>
      <w:r w:rsidRPr="0025364A">
        <w:rPr>
          <w:i/>
          <w:u w:val="single"/>
        </w:rPr>
        <w:t>Area E: Lifelong Understanding and Self-Development</w:t>
      </w:r>
    </w:p>
    <w:p w:rsidR="0025364A" w:rsidRDefault="0025364A" w:rsidP="0025364A">
      <w:pPr>
        <w:spacing w:after="0" w:line="240" w:lineRule="auto"/>
        <w:rPr>
          <w:b/>
        </w:rPr>
      </w:pPr>
      <w:r>
        <w:rPr>
          <w:b/>
        </w:rPr>
        <w:t>E.1 Lifelong Understanding and Self-Development</w:t>
      </w:r>
    </w:p>
    <w:p w:rsidR="0025364A" w:rsidRDefault="0025364A" w:rsidP="0025364A">
      <w:pPr>
        <w:spacing w:after="0" w:line="240" w:lineRule="auto"/>
      </w:pPr>
      <w:r>
        <w:t>E.1.1: Critically examine the development of the individual as an integrated physiological, psychological, spiritual, and social being.</w:t>
      </w:r>
    </w:p>
    <w:p w:rsidR="0025364A" w:rsidRPr="0025364A" w:rsidRDefault="0025364A" w:rsidP="0025364A">
      <w:pPr>
        <w:spacing w:after="0" w:line="240" w:lineRule="auto"/>
      </w:pPr>
      <w:r>
        <w:t>E.1.2: Identify, describe and explain the interactions of the internal and external influences and effects in human development and behavior over the course of the human life span.</w:t>
      </w:r>
    </w:p>
    <w:sectPr w:rsidR="0025364A" w:rsidRPr="0025364A" w:rsidSect="00BF3B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8B7"/>
    <w:multiLevelType w:val="hybridMultilevel"/>
    <w:tmpl w:val="7A742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C60"/>
    <w:multiLevelType w:val="hybridMultilevel"/>
    <w:tmpl w:val="FD58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07141"/>
    <w:multiLevelType w:val="hybridMultilevel"/>
    <w:tmpl w:val="5CA47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A4148"/>
    <w:multiLevelType w:val="hybridMultilevel"/>
    <w:tmpl w:val="7EB8C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E2D3C"/>
    <w:multiLevelType w:val="hybridMultilevel"/>
    <w:tmpl w:val="3AF0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65D6"/>
    <w:multiLevelType w:val="hybridMultilevel"/>
    <w:tmpl w:val="FB1C0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0463B"/>
    <w:multiLevelType w:val="hybridMultilevel"/>
    <w:tmpl w:val="A09E4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4F"/>
    <w:rsid w:val="00011611"/>
    <w:rsid w:val="000C5524"/>
    <w:rsid w:val="000D5CAF"/>
    <w:rsid w:val="000E2888"/>
    <w:rsid w:val="00123DA0"/>
    <w:rsid w:val="00193C5A"/>
    <w:rsid w:val="001E5925"/>
    <w:rsid w:val="001F432D"/>
    <w:rsid w:val="00246766"/>
    <w:rsid w:val="0025364A"/>
    <w:rsid w:val="00275B9F"/>
    <w:rsid w:val="002D60DC"/>
    <w:rsid w:val="0037465D"/>
    <w:rsid w:val="003C7979"/>
    <w:rsid w:val="003E2FA5"/>
    <w:rsid w:val="00442912"/>
    <w:rsid w:val="00491C31"/>
    <w:rsid w:val="004D1A12"/>
    <w:rsid w:val="004F0CBC"/>
    <w:rsid w:val="00524245"/>
    <w:rsid w:val="00533269"/>
    <w:rsid w:val="00586F56"/>
    <w:rsid w:val="00587931"/>
    <w:rsid w:val="005923F2"/>
    <w:rsid w:val="00670BBE"/>
    <w:rsid w:val="006A0B39"/>
    <w:rsid w:val="006C3FA1"/>
    <w:rsid w:val="006F26DF"/>
    <w:rsid w:val="00703872"/>
    <w:rsid w:val="007A6A1F"/>
    <w:rsid w:val="007B74F3"/>
    <w:rsid w:val="007C6376"/>
    <w:rsid w:val="008546ED"/>
    <w:rsid w:val="0088643B"/>
    <w:rsid w:val="008A5945"/>
    <w:rsid w:val="00916FBE"/>
    <w:rsid w:val="00926171"/>
    <w:rsid w:val="00950074"/>
    <w:rsid w:val="00962B8C"/>
    <w:rsid w:val="0096777E"/>
    <w:rsid w:val="009B716B"/>
    <w:rsid w:val="009F196E"/>
    <w:rsid w:val="00A3131D"/>
    <w:rsid w:val="00A77CCA"/>
    <w:rsid w:val="00AC05B1"/>
    <w:rsid w:val="00BB18F4"/>
    <w:rsid w:val="00BB4F1B"/>
    <w:rsid w:val="00BD5741"/>
    <w:rsid w:val="00BF3B79"/>
    <w:rsid w:val="00C120EA"/>
    <w:rsid w:val="00C40CD0"/>
    <w:rsid w:val="00C43059"/>
    <w:rsid w:val="00D00208"/>
    <w:rsid w:val="00D64CB9"/>
    <w:rsid w:val="00D65EF2"/>
    <w:rsid w:val="00DA73A4"/>
    <w:rsid w:val="00E40881"/>
    <w:rsid w:val="00EA1B9F"/>
    <w:rsid w:val="00EE6C84"/>
    <w:rsid w:val="00F13C1A"/>
    <w:rsid w:val="00F31281"/>
    <w:rsid w:val="00F36711"/>
    <w:rsid w:val="00F55F4F"/>
    <w:rsid w:val="00F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86DA"/>
  <w15:chartTrackingRefBased/>
  <w15:docId w15:val="{B643B690-D48F-4E7D-A709-A62D8482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63F9-154A-4268-90BC-CE382EEA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</dc:creator>
  <cp:keywords/>
  <dc:description/>
  <cp:lastModifiedBy>Brent</cp:lastModifiedBy>
  <cp:revision>52</cp:revision>
  <dcterms:created xsi:type="dcterms:W3CDTF">2018-08-04T00:46:00Z</dcterms:created>
  <dcterms:modified xsi:type="dcterms:W3CDTF">2019-02-22T04:27:00Z</dcterms:modified>
</cp:coreProperties>
</file>