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D0" w:rsidRPr="001C2A79" w:rsidRDefault="006620D0" w:rsidP="00E47E67">
      <w:pPr>
        <w:spacing w:after="0"/>
        <w:jc w:val="center"/>
        <w:rPr>
          <w:rFonts w:asciiTheme="majorHAnsi" w:hAnsiTheme="majorHAnsi"/>
          <w:b/>
          <w:color w:val="C00000"/>
          <w:sz w:val="28"/>
          <w:szCs w:val="28"/>
        </w:rPr>
      </w:pPr>
      <w:r w:rsidRPr="001C2A79">
        <w:rPr>
          <w:rFonts w:asciiTheme="majorHAnsi" w:hAnsiTheme="majorHAnsi"/>
          <w:b/>
          <w:color w:val="C00000"/>
          <w:sz w:val="28"/>
          <w:szCs w:val="28"/>
        </w:rPr>
        <w:t xml:space="preserve">Context for </w:t>
      </w:r>
      <w:r w:rsidR="001C2A79" w:rsidRPr="001C2A79">
        <w:rPr>
          <w:rFonts w:asciiTheme="majorHAnsi" w:hAnsiTheme="majorHAnsi"/>
          <w:b/>
          <w:color w:val="C00000"/>
          <w:sz w:val="28"/>
          <w:szCs w:val="28"/>
        </w:rPr>
        <w:t>Assessment—Resources</w:t>
      </w:r>
    </w:p>
    <w:p w:rsidR="00A22595" w:rsidRDefault="00A22595" w:rsidP="00A22595">
      <w:pPr>
        <w:spacing w:after="0"/>
        <w:rPr>
          <w:rFonts w:asciiTheme="majorHAnsi" w:hAnsiTheme="majorHAnsi"/>
          <w:b/>
          <w:sz w:val="24"/>
          <w:szCs w:val="24"/>
        </w:rPr>
      </w:pPr>
    </w:p>
    <w:p w:rsidR="00A22595" w:rsidRPr="00E47E67" w:rsidRDefault="006620D0" w:rsidP="00A22595">
      <w:pPr>
        <w:spacing w:after="0"/>
        <w:rPr>
          <w:rFonts w:asciiTheme="majorHAnsi" w:hAnsiTheme="majorHAnsi"/>
          <w:b/>
          <w:color w:val="C00000"/>
          <w:sz w:val="24"/>
          <w:szCs w:val="24"/>
        </w:rPr>
      </w:pPr>
      <w:r w:rsidRPr="00E47E67">
        <w:rPr>
          <w:rFonts w:asciiTheme="majorHAnsi" w:hAnsiTheme="majorHAnsi"/>
          <w:b/>
          <w:color w:val="C00000"/>
          <w:sz w:val="24"/>
          <w:szCs w:val="24"/>
        </w:rPr>
        <w:t xml:space="preserve">External:  </w:t>
      </w:r>
    </w:p>
    <w:p w:rsidR="00A22595" w:rsidRPr="00E47E67" w:rsidRDefault="00A22595" w:rsidP="00A22595">
      <w:pPr>
        <w:spacing w:after="0"/>
        <w:rPr>
          <w:rFonts w:asciiTheme="majorHAnsi" w:hAnsiTheme="majorHAnsi"/>
          <w:b/>
        </w:rPr>
      </w:pPr>
    </w:p>
    <w:p w:rsidR="00A22595" w:rsidRPr="00E47E67" w:rsidRDefault="00A22595" w:rsidP="00A22595">
      <w:pPr>
        <w:spacing w:after="0"/>
        <w:rPr>
          <w:rFonts w:asciiTheme="majorHAnsi" w:hAnsiTheme="majorHAnsi"/>
          <w:b/>
        </w:rPr>
      </w:pPr>
      <w:r w:rsidRPr="00E47E67">
        <w:rPr>
          <w:rFonts w:asciiTheme="majorHAnsi" w:hAnsiTheme="majorHAnsi"/>
          <w:b/>
        </w:rPr>
        <w:t>The Academic Senate for California Community Colleges</w:t>
      </w:r>
    </w:p>
    <w:p w:rsidR="00A22595" w:rsidRPr="00E47E67" w:rsidRDefault="00A22595" w:rsidP="00A22595">
      <w:pPr>
        <w:spacing w:after="0"/>
        <w:rPr>
          <w:rFonts w:asciiTheme="majorHAnsi" w:hAnsiTheme="majorHAnsi"/>
        </w:rPr>
      </w:pPr>
      <w:r w:rsidRPr="00E47E67">
        <w:rPr>
          <w:rFonts w:asciiTheme="majorHAnsi" w:hAnsiTheme="majorHAnsi"/>
          <w:i/>
        </w:rPr>
        <w:t xml:space="preserve">Guiding Principles for SLO Assessment, </w:t>
      </w:r>
      <w:r w:rsidR="00E47E67">
        <w:rPr>
          <w:rFonts w:asciiTheme="majorHAnsi" w:hAnsiTheme="majorHAnsi"/>
        </w:rPr>
        <w:t>adopted f</w:t>
      </w:r>
      <w:r w:rsidRPr="00E47E67">
        <w:rPr>
          <w:rFonts w:asciiTheme="majorHAnsi" w:hAnsiTheme="majorHAnsi"/>
        </w:rPr>
        <w:t xml:space="preserve">all 2010 </w:t>
      </w:r>
      <w:r w:rsidRPr="00E47E67">
        <w:rPr>
          <w:rFonts w:asciiTheme="majorHAnsi" w:hAnsiTheme="majorHAnsi"/>
        </w:rPr>
        <w:t>(file too large to post on committee page)</w:t>
      </w:r>
    </w:p>
    <w:p w:rsidR="00A22595" w:rsidRPr="00E47E67" w:rsidRDefault="00A22595" w:rsidP="00A22595">
      <w:pPr>
        <w:spacing w:after="0"/>
        <w:rPr>
          <w:rFonts w:asciiTheme="majorHAnsi" w:hAnsiTheme="majorHAnsi"/>
          <w:color w:val="C00000"/>
        </w:rPr>
      </w:pPr>
      <w:hyperlink r:id="rId8" w:history="1">
        <w:r w:rsidRPr="00E47E67">
          <w:rPr>
            <w:rStyle w:val="Hyperlink"/>
            <w:rFonts w:asciiTheme="majorHAnsi" w:hAnsiTheme="majorHAnsi"/>
            <w:color w:val="C00000"/>
          </w:rPr>
          <w:t>http://asccc.org/publications/academic-senate-papers</w:t>
        </w:r>
      </w:hyperlink>
      <w:r w:rsidRPr="00E47E67">
        <w:rPr>
          <w:rFonts w:asciiTheme="majorHAnsi" w:hAnsiTheme="majorHAnsi"/>
          <w:color w:val="C00000"/>
        </w:rPr>
        <w:t xml:space="preserve"> </w:t>
      </w:r>
    </w:p>
    <w:p w:rsidR="00A22595" w:rsidRPr="00E47E67" w:rsidRDefault="00A22595" w:rsidP="00A22595">
      <w:pPr>
        <w:spacing w:after="0"/>
        <w:ind w:firstLine="360"/>
        <w:rPr>
          <w:rFonts w:asciiTheme="majorHAnsi" w:hAnsiTheme="majorHAnsi"/>
          <w:b/>
        </w:rPr>
      </w:pPr>
    </w:p>
    <w:p w:rsidR="006620D0" w:rsidRPr="00E47E67" w:rsidRDefault="006620D0" w:rsidP="00A22595">
      <w:pPr>
        <w:spacing w:after="0"/>
        <w:rPr>
          <w:rFonts w:asciiTheme="majorHAnsi" w:hAnsiTheme="majorHAnsi"/>
        </w:rPr>
      </w:pPr>
      <w:r w:rsidRPr="00E47E67">
        <w:rPr>
          <w:rFonts w:asciiTheme="majorHAnsi" w:hAnsiTheme="majorHAnsi"/>
          <w:b/>
        </w:rPr>
        <w:t xml:space="preserve">Accreditation  </w:t>
      </w:r>
      <w:r w:rsidRPr="00E47E67">
        <w:rPr>
          <w:rFonts w:asciiTheme="majorHAnsi" w:hAnsiTheme="majorHAnsi"/>
        </w:rPr>
        <w:t xml:space="preserve"> </w:t>
      </w:r>
    </w:p>
    <w:p w:rsidR="006620D0" w:rsidRPr="00E47E67" w:rsidRDefault="006620D0" w:rsidP="00A22595">
      <w:pPr>
        <w:pStyle w:val="ListParagraph"/>
        <w:numPr>
          <w:ilvl w:val="0"/>
          <w:numId w:val="1"/>
        </w:numPr>
        <w:spacing w:after="0"/>
        <w:rPr>
          <w:rFonts w:asciiTheme="majorHAnsi" w:hAnsiTheme="majorHAnsi"/>
        </w:rPr>
      </w:pPr>
      <w:r w:rsidRPr="00E47E67">
        <w:rPr>
          <w:rFonts w:asciiTheme="majorHAnsi" w:hAnsiTheme="majorHAnsi"/>
        </w:rPr>
        <w:t xml:space="preserve">The 2014 Standards cite “Learning Outcomes” 17 times in 18 pages.  </w:t>
      </w:r>
    </w:p>
    <w:p w:rsidR="006620D0" w:rsidRPr="00E47E67" w:rsidRDefault="006620D0" w:rsidP="00A22595">
      <w:pPr>
        <w:pStyle w:val="ListParagraph"/>
        <w:numPr>
          <w:ilvl w:val="0"/>
          <w:numId w:val="1"/>
        </w:numPr>
        <w:spacing w:after="0"/>
        <w:rPr>
          <w:rFonts w:asciiTheme="majorHAnsi" w:hAnsiTheme="majorHAnsi"/>
        </w:rPr>
      </w:pPr>
      <w:r w:rsidRPr="00E47E67">
        <w:rPr>
          <w:rFonts w:asciiTheme="majorHAnsi" w:hAnsiTheme="majorHAnsi"/>
        </w:rPr>
        <w:t>The Eligibility Requirements cite “outcomes” 6 times in 6 pages.</w:t>
      </w:r>
    </w:p>
    <w:p w:rsidR="006620D0" w:rsidRPr="00E47E67" w:rsidRDefault="006620D0" w:rsidP="00A22595">
      <w:pPr>
        <w:pStyle w:val="ListParagraph"/>
        <w:numPr>
          <w:ilvl w:val="0"/>
          <w:numId w:val="1"/>
        </w:numPr>
        <w:spacing w:after="0"/>
        <w:rPr>
          <w:rFonts w:asciiTheme="majorHAnsi" w:hAnsiTheme="majorHAnsi"/>
          <w:color w:val="C00000"/>
        </w:rPr>
      </w:pPr>
      <w:r w:rsidRPr="00E47E67">
        <w:rPr>
          <w:rFonts w:asciiTheme="majorHAnsi" w:hAnsiTheme="majorHAnsi"/>
        </w:rPr>
        <w:t xml:space="preserve">The Eligibility Requirements and Standards are available here:  </w:t>
      </w:r>
      <w:hyperlink r:id="rId9" w:history="1">
        <w:r w:rsidRPr="00E47E67">
          <w:rPr>
            <w:rStyle w:val="Hyperlink"/>
            <w:rFonts w:asciiTheme="majorHAnsi" w:hAnsiTheme="majorHAnsi"/>
            <w:color w:val="C00000"/>
          </w:rPr>
          <w:t>http://www.accjc.org/eligibility-requirements-standards</w:t>
        </w:r>
      </w:hyperlink>
      <w:r w:rsidRPr="00E47E67">
        <w:rPr>
          <w:rFonts w:asciiTheme="majorHAnsi" w:hAnsiTheme="majorHAnsi"/>
          <w:color w:val="C00000"/>
        </w:rPr>
        <w:t xml:space="preserve"> </w:t>
      </w:r>
    </w:p>
    <w:p w:rsidR="00A22595" w:rsidRPr="00E47E67" w:rsidRDefault="00A22595" w:rsidP="00A22595">
      <w:pPr>
        <w:spacing w:after="0"/>
        <w:rPr>
          <w:rFonts w:asciiTheme="majorHAnsi" w:hAnsiTheme="majorHAnsi"/>
          <w:b/>
          <w:color w:val="C00000"/>
        </w:rPr>
      </w:pPr>
    </w:p>
    <w:p w:rsidR="00A22595" w:rsidRPr="00E47E67" w:rsidRDefault="001C2A79" w:rsidP="00A22595">
      <w:pPr>
        <w:spacing w:after="0"/>
        <w:rPr>
          <w:rFonts w:asciiTheme="majorHAnsi" w:hAnsiTheme="majorHAnsi"/>
          <w:b/>
          <w:color w:val="C00000"/>
          <w:sz w:val="24"/>
          <w:szCs w:val="24"/>
        </w:rPr>
      </w:pPr>
      <w:r w:rsidRPr="00E47E67">
        <w:rPr>
          <w:rFonts w:asciiTheme="majorHAnsi" w:hAnsiTheme="majorHAnsi"/>
          <w:b/>
          <w:color w:val="C00000"/>
          <w:sz w:val="24"/>
          <w:szCs w:val="24"/>
        </w:rPr>
        <w:t xml:space="preserve">Internal:  </w:t>
      </w:r>
    </w:p>
    <w:p w:rsidR="00A22595" w:rsidRPr="00E47E67" w:rsidRDefault="00A22595" w:rsidP="00A22595">
      <w:pPr>
        <w:spacing w:after="0"/>
        <w:rPr>
          <w:rFonts w:asciiTheme="majorHAnsi" w:hAnsiTheme="majorHAnsi"/>
          <w:b/>
        </w:rPr>
      </w:pPr>
    </w:p>
    <w:p w:rsidR="00A22595" w:rsidRPr="00E47E67" w:rsidRDefault="00A22595" w:rsidP="00A22595">
      <w:pPr>
        <w:spacing w:after="0"/>
        <w:rPr>
          <w:rFonts w:asciiTheme="majorHAnsi" w:hAnsiTheme="majorHAnsi"/>
          <w:b/>
        </w:rPr>
      </w:pPr>
      <w:r w:rsidRPr="00E47E67">
        <w:rPr>
          <w:rFonts w:asciiTheme="majorHAnsi" w:hAnsiTheme="majorHAnsi"/>
          <w:b/>
        </w:rPr>
        <w:t>Curriculum</w:t>
      </w:r>
    </w:p>
    <w:p w:rsidR="00A22595" w:rsidRPr="00E47E67" w:rsidRDefault="00A22595" w:rsidP="00A22595">
      <w:pPr>
        <w:spacing w:after="0"/>
        <w:rPr>
          <w:rFonts w:asciiTheme="majorHAnsi" w:hAnsiTheme="majorHAnsi"/>
        </w:rPr>
      </w:pPr>
      <w:r w:rsidRPr="00E47E67">
        <w:rPr>
          <w:rFonts w:asciiTheme="majorHAnsi" w:hAnsiTheme="majorHAnsi"/>
        </w:rPr>
        <w:t>SLOs and objectives must be part of every Course Outline of Record (COR).</w:t>
      </w:r>
    </w:p>
    <w:p w:rsidR="00E47E67" w:rsidRPr="00E47E67" w:rsidRDefault="00E47E67" w:rsidP="00A22595">
      <w:pPr>
        <w:spacing w:after="0"/>
        <w:rPr>
          <w:rFonts w:asciiTheme="majorHAnsi" w:hAnsiTheme="majorHAnsi"/>
        </w:rPr>
      </w:pPr>
    </w:p>
    <w:p w:rsidR="00A22595" w:rsidRPr="00E47E67" w:rsidRDefault="00A22595" w:rsidP="00A22595">
      <w:pPr>
        <w:spacing w:after="0"/>
        <w:rPr>
          <w:rFonts w:asciiTheme="majorHAnsi" w:hAnsiTheme="majorHAnsi"/>
          <w:b/>
        </w:rPr>
      </w:pPr>
      <w:r w:rsidRPr="00E47E67">
        <w:rPr>
          <w:rFonts w:asciiTheme="majorHAnsi" w:hAnsiTheme="majorHAnsi"/>
          <w:b/>
        </w:rPr>
        <w:t>Program Review</w:t>
      </w:r>
    </w:p>
    <w:p w:rsidR="00A22595" w:rsidRPr="00E47E67" w:rsidRDefault="00A22595" w:rsidP="00E47E67">
      <w:pPr>
        <w:spacing w:after="0"/>
        <w:rPr>
          <w:rFonts w:asciiTheme="majorHAnsi" w:hAnsiTheme="majorHAnsi"/>
        </w:rPr>
      </w:pPr>
      <w:r w:rsidRPr="00E47E67">
        <w:rPr>
          <w:rFonts w:asciiTheme="majorHAnsi" w:hAnsiTheme="majorHAnsi"/>
        </w:rPr>
        <w:t xml:space="preserve">Questions about Outcomes Assessment are included in the Annual Update and the Comprehensive Program Review. </w:t>
      </w:r>
    </w:p>
    <w:p w:rsidR="00A22595" w:rsidRPr="00E47E67" w:rsidRDefault="00A22595" w:rsidP="00A22595">
      <w:pPr>
        <w:spacing w:after="0"/>
        <w:rPr>
          <w:rFonts w:asciiTheme="majorHAnsi" w:hAnsiTheme="majorHAnsi"/>
          <w:b/>
        </w:rPr>
      </w:pPr>
    </w:p>
    <w:p w:rsidR="00A22595" w:rsidRPr="00E47E67" w:rsidRDefault="006620D0" w:rsidP="00A22595">
      <w:pPr>
        <w:spacing w:after="0"/>
        <w:rPr>
          <w:rFonts w:asciiTheme="majorHAnsi" w:hAnsiTheme="majorHAnsi"/>
          <w:b/>
        </w:rPr>
      </w:pPr>
      <w:r w:rsidRPr="00E47E67">
        <w:rPr>
          <w:rFonts w:asciiTheme="majorHAnsi" w:hAnsiTheme="majorHAnsi"/>
          <w:b/>
        </w:rPr>
        <w:t xml:space="preserve">Strategic Directions:  </w:t>
      </w:r>
    </w:p>
    <w:p w:rsidR="006620D0" w:rsidRPr="00E47E67" w:rsidRDefault="006620D0" w:rsidP="00E47E67">
      <w:pPr>
        <w:spacing w:after="0"/>
        <w:rPr>
          <w:rFonts w:asciiTheme="majorHAnsi" w:hAnsiTheme="majorHAnsi"/>
          <w:b/>
          <w:color w:val="C00000"/>
        </w:rPr>
      </w:pPr>
      <w:hyperlink r:id="rId10" w:history="1">
        <w:r w:rsidRPr="00E47E67">
          <w:rPr>
            <w:rStyle w:val="Hyperlink"/>
            <w:rFonts w:asciiTheme="majorHAnsi" w:hAnsiTheme="majorHAnsi"/>
            <w:color w:val="C00000"/>
          </w:rPr>
          <w:t>https://www.bakersfieldcollege.edu/scorecard/strategic-directions</w:t>
        </w:r>
      </w:hyperlink>
      <w:r w:rsidRPr="00E47E67">
        <w:rPr>
          <w:rFonts w:asciiTheme="majorHAnsi" w:hAnsiTheme="majorHAnsi"/>
          <w:b/>
          <w:color w:val="C00000"/>
        </w:rPr>
        <w:t xml:space="preserve"> </w:t>
      </w:r>
    </w:p>
    <w:p w:rsidR="00A22595" w:rsidRPr="00E47E67" w:rsidRDefault="00A22595" w:rsidP="00A22595">
      <w:pPr>
        <w:spacing w:after="0"/>
        <w:ind w:left="720"/>
        <w:rPr>
          <w:rFonts w:asciiTheme="majorHAnsi" w:hAnsiTheme="majorHAnsi"/>
          <w:b/>
        </w:rPr>
      </w:pPr>
    </w:p>
    <w:p w:rsidR="006620D0" w:rsidRPr="00E47E67" w:rsidRDefault="00A22595" w:rsidP="00E47E67">
      <w:pPr>
        <w:spacing w:after="0"/>
        <w:rPr>
          <w:rFonts w:asciiTheme="majorHAnsi" w:hAnsiTheme="majorHAnsi"/>
          <w:i/>
        </w:rPr>
      </w:pPr>
      <w:r w:rsidRPr="00E47E67">
        <w:rPr>
          <w:rFonts w:asciiTheme="majorHAnsi" w:hAnsiTheme="majorHAnsi"/>
          <w:b/>
        </w:rPr>
        <w:t>S</w:t>
      </w:r>
      <w:r w:rsidR="006620D0" w:rsidRPr="00E47E67">
        <w:rPr>
          <w:rFonts w:asciiTheme="majorHAnsi" w:hAnsiTheme="majorHAnsi"/>
          <w:b/>
        </w:rPr>
        <w:t>trategic Direction 1</w:t>
      </w:r>
      <w:r w:rsidR="006620D0" w:rsidRPr="00E47E67">
        <w:rPr>
          <w:rFonts w:asciiTheme="majorHAnsi" w:hAnsiTheme="majorHAnsi"/>
        </w:rPr>
        <w:t xml:space="preserve">—Student Learning   </w:t>
      </w:r>
      <w:r w:rsidR="006620D0" w:rsidRPr="00E47E67">
        <w:rPr>
          <w:rFonts w:asciiTheme="majorHAnsi" w:hAnsiTheme="majorHAnsi"/>
          <w:i/>
        </w:rPr>
        <w:t>A commitment to provide a holistic education that develops curiosity, inquiry, and empowered learners.</w:t>
      </w:r>
    </w:p>
    <w:p w:rsidR="006620D0" w:rsidRPr="00E47E67" w:rsidRDefault="006620D0" w:rsidP="00E47E67">
      <w:pPr>
        <w:spacing w:after="0"/>
        <w:rPr>
          <w:rFonts w:asciiTheme="majorHAnsi" w:hAnsiTheme="majorHAnsi"/>
        </w:rPr>
      </w:pPr>
      <w:r w:rsidRPr="00E47E67">
        <w:rPr>
          <w:rFonts w:asciiTheme="majorHAnsi" w:hAnsiTheme="majorHAnsi"/>
        </w:rPr>
        <w:t>Accreditation requires us to collect disaggregated data, based on Learning Outcomes, to determine if there is disproportionate impact on any group.  Newly adopted eLumen software will enable us to do that.  We will need to review the data and develop or increase support strategies.</w:t>
      </w:r>
    </w:p>
    <w:p w:rsidR="00A22595" w:rsidRPr="00E47E67" w:rsidRDefault="00A22595" w:rsidP="00A22595">
      <w:pPr>
        <w:spacing w:after="0"/>
        <w:ind w:left="720"/>
        <w:rPr>
          <w:rFonts w:asciiTheme="majorHAnsi" w:hAnsiTheme="majorHAnsi"/>
          <w:b/>
        </w:rPr>
      </w:pPr>
    </w:p>
    <w:p w:rsidR="006620D0" w:rsidRPr="00E47E67" w:rsidRDefault="006620D0" w:rsidP="00E47E67">
      <w:pPr>
        <w:spacing w:after="0"/>
        <w:rPr>
          <w:rFonts w:asciiTheme="majorHAnsi" w:hAnsiTheme="majorHAnsi"/>
          <w:i/>
        </w:rPr>
      </w:pPr>
      <w:r w:rsidRPr="00E47E67">
        <w:rPr>
          <w:rFonts w:asciiTheme="majorHAnsi" w:hAnsiTheme="majorHAnsi"/>
          <w:b/>
        </w:rPr>
        <w:t>Strategic Direction 2</w:t>
      </w:r>
      <w:r w:rsidRPr="00E47E67">
        <w:rPr>
          <w:rFonts w:asciiTheme="majorHAnsi" w:hAnsiTheme="majorHAnsi"/>
        </w:rPr>
        <w:t xml:space="preserve">:  Student Progression and Completion   </w:t>
      </w:r>
      <w:r w:rsidRPr="00E47E67">
        <w:rPr>
          <w:rFonts w:asciiTheme="majorHAnsi" w:hAnsiTheme="majorHAnsi"/>
          <w:i/>
        </w:rPr>
        <w:t>A commitment to eliminate barriers that cause students difficulties in completing their educational goals.</w:t>
      </w:r>
    </w:p>
    <w:p w:rsidR="001C2A79" w:rsidRPr="00E47E67" w:rsidRDefault="001C2A79" w:rsidP="00E47E67">
      <w:pPr>
        <w:spacing w:after="0"/>
        <w:rPr>
          <w:rFonts w:asciiTheme="majorHAnsi" w:hAnsiTheme="majorHAnsi"/>
          <w:color w:val="C00000"/>
        </w:rPr>
      </w:pPr>
      <w:r w:rsidRPr="00E47E67">
        <w:rPr>
          <w:rFonts w:asciiTheme="majorHAnsi" w:hAnsiTheme="majorHAnsi"/>
        </w:rPr>
        <w:t xml:space="preserve">We currently collect disaggregated data to determine if there is disproportionate impact on any group (we can do this now—see Renegade Scorecard)   </w:t>
      </w:r>
      <w:hyperlink r:id="rId11" w:history="1">
        <w:r w:rsidRPr="00E47E67">
          <w:rPr>
            <w:rStyle w:val="Hyperlink"/>
            <w:rFonts w:asciiTheme="majorHAnsi" w:hAnsiTheme="majorHAnsi"/>
            <w:color w:val="C00000"/>
          </w:rPr>
          <w:t>https://www.bakersfieldcollege.edu/scorecard</w:t>
        </w:r>
      </w:hyperlink>
    </w:p>
    <w:p w:rsidR="001C2A79" w:rsidRPr="00E47E67" w:rsidRDefault="001C2A79" w:rsidP="00A22595">
      <w:pPr>
        <w:spacing w:after="0"/>
        <w:rPr>
          <w:rFonts w:asciiTheme="majorHAnsi" w:hAnsiTheme="majorHAnsi"/>
        </w:rPr>
      </w:pPr>
    </w:p>
    <w:p w:rsidR="006620D0" w:rsidRPr="00E47E67" w:rsidRDefault="006620D0" w:rsidP="00E47E67">
      <w:pPr>
        <w:spacing w:after="0"/>
        <w:rPr>
          <w:rFonts w:asciiTheme="majorHAnsi" w:hAnsiTheme="majorHAnsi"/>
          <w:color w:val="C00000"/>
        </w:rPr>
      </w:pPr>
      <w:r w:rsidRPr="00E47E67">
        <w:rPr>
          <w:rFonts w:asciiTheme="majorHAnsi" w:hAnsiTheme="majorHAnsi"/>
        </w:rPr>
        <w:t xml:space="preserve">For information on Student Outcomes, Enrollment/FTES, Demographics &amp; Profiles, State &amp; Federal Reporting, Program Review Data, Planning Support, Surveys, and a Report Directory, see the District Institutional Research page:  </w:t>
      </w:r>
      <w:hyperlink r:id="rId12" w:history="1">
        <w:r w:rsidRPr="00E47E67">
          <w:rPr>
            <w:rStyle w:val="Hyperlink"/>
            <w:rFonts w:asciiTheme="majorHAnsi" w:hAnsiTheme="majorHAnsi"/>
            <w:color w:val="C00000"/>
          </w:rPr>
          <w:t>https://www.kccd.edu/institutional-research</w:t>
        </w:r>
      </w:hyperlink>
      <w:r w:rsidRPr="00E47E67">
        <w:rPr>
          <w:rFonts w:asciiTheme="majorHAnsi" w:hAnsiTheme="majorHAnsi"/>
          <w:color w:val="C00000"/>
        </w:rPr>
        <w:t xml:space="preserve"> </w:t>
      </w:r>
    </w:p>
    <w:p w:rsidR="00F43653" w:rsidRPr="00E47E67" w:rsidRDefault="00F43653" w:rsidP="00A22595">
      <w:pPr>
        <w:spacing w:after="0"/>
        <w:rPr>
          <w:rFonts w:asciiTheme="majorHAnsi" w:hAnsiTheme="majorHAnsi"/>
        </w:rPr>
      </w:pPr>
      <w:bookmarkStart w:id="0" w:name="_GoBack"/>
      <w:bookmarkEnd w:id="0"/>
    </w:p>
    <w:sectPr w:rsidR="00F43653" w:rsidRPr="00E47E67" w:rsidSect="00E47E67">
      <w:footerReference w:type="default" r:id="rId13"/>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D7" w:rsidRDefault="004466D7" w:rsidP="001C2A79">
      <w:pPr>
        <w:spacing w:after="0" w:line="240" w:lineRule="auto"/>
      </w:pPr>
      <w:r>
        <w:separator/>
      </w:r>
    </w:p>
  </w:endnote>
  <w:endnote w:type="continuationSeparator" w:id="0">
    <w:p w:rsidR="004466D7" w:rsidRDefault="004466D7" w:rsidP="001C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79" w:rsidRPr="00A22595" w:rsidRDefault="001C2A79">
    <w:pPr>
      <w:pStyle w:val="Footer"/>
      <w:rPr>
        <w:rFonts w:asciiTheme="majorHAnsi" w:hAnsiTheme="majorHAnsi"/>
      </w:rPr>
    </w:pPr>
    <w:r w:rsidRPr="00A22595">
      <w:rPr>
        <w:rFonts w:asciiTheme="majorHAnsi" w:hAnsiTheme="majorHAnsi"/>
      </w:rPr>
      <w:t>Kate Pluta, Assessment Summer Retreat, May 24, 2016</w:t>
    </w:r>
  </w:p>
  <w:p w:rsidR="007F65E1" w:rsidRDefault="00446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D7" w:rsidRDefault="004466D7" w:rsidP="001C2A79">
      <w:pPr>
        <w:spacing w:after="0" w:line="240" w:lineRule="auto"/>
      </w:pPr>
      <w:r>
        <w:separator/>
      </w:r>
    </w:p>
  </w:footnote>
  <w:footnote w:type="continuationSeparator" w:id="0">
    <w:p w:rsidR="004466D7" w:rsidRDefault="004466D7" w:rsidP="001C2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D3"/>
    <w:multiLevelType w:val="hybridMultilevel"/>
    <w:tmpl w:val="AB6AB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D0"/>
    <w:rsid w:val="001C2A79"/>
    <w:rsid w:val="004466D7"/>
    <w:rsid w:val="006620D0"/>
    <w:rsid w:val="008974E0"/>
    <w:rsid w:val="00A22595"/>
    <w:rsid w:val="00E47E67"/>
    <w:rsid w:val="00F4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2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D0"/>
  </w:style>
  <w:style w:type="character" w:styleId="Hyperlink">
    <w:name w:val="Hyperlink"/>
    <w:basedOn w:val="DefaultParagraphFont"/>
    <w:uiPriority w:val="99"/>
    <w:unhideWhenUsed/>
    <w:rsid w:val="006620D0"/>
    <w:rPr>
      <w:color w:val="0000FF" w:themeColor="hyperlink"/>
      <w:u w:val="single"/>
    </w:rPr>
  </w:style>
  <w:style w:type="paragraph" w:styleId="ListParagraph">
    <w:name w:val="List Paragraph"/>
    <w:basedOn w:val="Normal"/>
    <w:uiPriority w:val="34"/>
    <w:qFormat/>
    <w:rsid w:val="006620D0"/>
    <w:pPr>
      <w:ind w:left="720"/>
      <w:contextualSpacing/>
    </w:pPr>
  </w:style>
  <w:style w:type="paragraph" w:styleId="Header">
    <w:name w:val="header"/>
    <w:basedOn w:val="Normal"/>
    <w:link w:val="HeaderChar"/>
    <w:uiPriority w:val="99"/>
    <w:unhideWhenUsed/>
    <w:rsid w:val="001C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A79"/>
  </w:style>
  <w:style w:type="paragraph" w:styleId="BalloonText">
    <w:name w:val="Balloon Text"/>
    <w:basedOn w:val="Normal"/>
    <w:link w:val="BalloonTextChar"/>
    <w:uiPriority w:val="99"/>
    <w:semiHidden/>
    <w:unhideWhenUsed/>
    <w:rsid w:val="001C2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2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D0"/>
  </w:style>
  <w:style w:type="character" w:styleId="Hyperlink">
    <w:name w:val="Hyperlink"/>
    <w:basedOn w:val="DefaultParagraphFont"/>
    <w:uiPriority w:val="99"/>
    <w:unhideWhenUsed/>
    <w:rsid w:val="006620D0"/>
    <w:rPr>
      <w:color w:val="0000FF" w:themeColor="hyperlink"/>
      <w:u w:val="single"/>
    </w:rPr>
  </w:style>
  <w:style w:type="paragraph" w:styleId="ListParagraph">
    <w:name w:val="List Paragraph"/>
    <w:basedOn w:val="Normal"/>
    <w:uiPriority w:val="34"/>
    <w:qFormat/>
    <w:rsid w:val="006620D0"/>
    <w:pPr>
      <w:ind w:left="720"/>
      <w:contextualSpacing/>
    </w:pPr>
  </w:style>
  <w:style w:type="paragraph" w:styleId="Header">
    <w:name w:val="header"/>
    <w:basedOn w:val="Normal"/>
    <w:link w:val="HeaderChar"/>
    <w:uiPriority w:val="99"/>
    <w:unhideWhenUsed/>
    <w:rsid w:val="001C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A79"/>
  </w:style>
  <w:style w:type="paragraph" w:styleId="BalloonText">
    <w:name w:val="Balloon Text"/>
    <w:basedOn w:val="Normal"/>
    <w:link w:val="BalloonTextChar"/>
    <w:uiPriority w:val="99"/>
    <w:semiHidden/>
    <w:unhideWhenUsed/>
    <w:rsid w:val="001C2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cc.org/publications/academic-senate-pape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ccd.edu/institutional-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akersfieldcollege.edu/scorec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kersfieldcollege.edu/scorecard/strategic-directions" TargetMode="External"/><Relationship Id="rId4" Type="http://schemas.openxmlformats.org/officeDocument/2006/relationships/settings" Target="settings.xml"/><Relationship Id="rId9" Type="http://schemas.openxmlformats.org/officeDocument/2006/relationships/hyperlink" Target="http://www.accjc.org/eligibility-requirements-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1</cp:revision>
  <dcterms:created xsi:type="dcterms:W3CDTF">2016-05-24T01:07:00Z</dcterms:created>
  <dcterms:modified xsi:type="dcterms:W3CDTF">2016-05-24T01:42:00Z</dcterms:modified>
</cp:coreProperties>
</file>