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4042" w14:textId="77777777" w:rsidR="00CF13E5" w:rsidRDefault="00CF13E5" w:rsidP="007A3580">
      <w:pPr>
        <w:spacing w:after="0" w:line="240" w:lineRule="auto"/>
        <w:jc w:val="center"/>
        <w:rPr>
          <w:rFonts w:ascii="Times New Roman" w:hAnsi="Times New Roman" w:cs="Times New Roman"/>
          <w:b/>
          <w:color w:val="000000" w:themeColor="text1"/>
          <w:sz w:val="24"/>
          <w:szCs w:val="24"/>
        </w:rPr>
      </w:pPr>
    </w:p>
    <w:p w14:paraId="557ADFC5" w14:textId="77777777" w:rsidR="00CF13E5" w:rsidRDefault="00CF13E5" w:rsidP="007A3580">
      <w:pPr>
        <w:spacing w:after="0" w:line="240" w:lineRule="auto"/>
        <w:jc w:val="center"/>
        <w:rPr>
          <w:rFonts w:ascii="Times New Roman" w:hAnsi="Times New Roman" w:cs="Times New Roman"/>
          <w:b/>
          <w:color w:val="000000" w:themeColor="text1"/>
          <w:sz w:val="24"/>
          <w:szCs w:val="24"/>
        </w:rPr>
      </w:pPr>
    </w:p>
    <w:p w14:paraId="65E76075" w14:textId="77777777" w:rsidR="00CF13E5" w:rsidRDefault="00CF13E5" w:rsidP="007A3580">
      <w:pPr>
        <w:spacing w:after="0" w:line="240" w:lineRule="auto"/>
        <w:jc w:val="center"/>
        <w:rPr>
          <w:rFonts w:ascii="Times New Roman" w:hAnsi="Times New Roman" w:cs="Times New Roman"/>
          <w:b/>
          <w:color w:val="000000" w:themeColor="text1"/>
          <w:sz w:val="24"/>
          <w:szCs w:val="24"/>
        </w:rPr>
      </w:pPr>
    </w:p>
    <w:p w14:paraId="786C44D0" w14:textId="77777777" w:rsidR="00CF13E5" w:rsidRDefault="00CF13E5" w:rsidP="007A3580">
      <w:pPr>
        <w:spacing w:after="0" w:line="240" w:lineRule="auto"/>
        <w:jc w:val="center"/>
        <w:rPr>
          <w:rFonts w:ascii="Times New Roman" w:hAnsi="Times New Roman" w:cs="Times New Roman"/>
          <w:b/>
          <w:color w:val="000000" w:themeColor="text1"/>
          <w:sz w:val="24"/>
          <w:szCs w:val="24"/>
        </w:rPr>
      </w:pPr>
    </w:p>
    <w:p w14:paraId="6C98D75F" w14:textId="77777777" w:rsidR="00CF13E5" w:rsidRDefault="00CF13E5" w:rsidP="007A3580">
      <w:pPr>
        <w:spacing w:after="0" w:line="240" w:lineRule="auto"/>
        <w:jc w:val="center"/>
        <w:rPr>
          <w:rFonts w:ascii="Times New Roman" w:hAnsi="Times New Roman" w:cs="Times New Roman"/>
          <w:b/>
          <w:color w:val="000000" w:themeColor="text1"/>
          <w:sz w:val="24"/>
          <w:szCs w:val="24"/>
        </w:rPr>
      </w:pPr>
    </w:p>
    <w:p w14:paraId="60025EAF" w14:textId="64253FEA" w:rsidR="007A3580" w:rsidRPr="007A3580" w:rsidRDefault="007A3580" w:rsidP="007A358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Deconstructing Developmental Pathways and Outcomes</w:t>
      </w:r>
      <w:r w:rsidR="00CF13E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at Bakersfield College</w:t>
      </w:r>
    </w:p>
    <w:p w14:paraId="55F75C7B"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0DA3ACA9" w14:textId="77777777" w:rsidR="007A3580" w:rsidRPr="007A3580" w:rsidRDefault="007A3580" w:rsidP="007A3580">
      <w:pPr>
        <w:spacing w:after="0" w:line="240" w:lineRule="auto"/>
        <w:jc w:val="center"/>
        <w:rPr>
          <w:rFonts w:ascii="Times New Roman" w:hAnsi="Times New Roman" w:cs="Times New Roman"/>
          <w:color w:val="000000" w:themeColor="text1"/>
          <w:sz w:val="24"/>
          <w:szCs w:val="24"/>
        </w:rPr>
      </w:pPr>
      <w:r w:rsidRPr="007A3580">
        <w:rPr>
          <w:rFonts w:ascii="Times New Roman" w:hAnsi="Times New Roman" w:cs="Times New Roman"/>
          <w:color w:val="000000" w:themeColor="text1"/>
          <w:sz w:val="24"/>
          <w:szCs w:val="24"/>
        </w:rPr>
        <w:t>by</w:t>
      </w:r>
    </w:p>
    <w:p w14:paraId="5B2377EE" w14:textId="77777777" w:rsidR="007A3580" w:rsidRPr="007A3580" w:rsidRDefault="007A3580" w:rsidP="007A3580">
      <w:pPr>
        <w:spacing w:after="0" w:line="240" w:lineRule="auto"/>
        <w:jc w:val="center"/>
        <w:rPr>
          <w:rFonts w:ascii="Times New Roman" w:hAnsi="Times New Roman" w:cs="Times New Roman"/>
          <w:color w:val="000000" w:themeColor="text1"/>
          <w:sz w:val="24"/>
          <w:szCs w:val="24"/>
        </w:rPr>
      </w:pPr>
    </w:p>
    <w:p w14:paraId="7ABCC990" w14:textId="77777777" w:rsidR="007A3580" w:rsidRPr="007A3580" w:rsidRDefault="007A3580" w:rsidP="007A3580">
      <w:pPr>
        <w:spacing w:after="0" w:line="240" w:lineRule="auto"/>
        <w:jc w:val="center"/>
        <w:rPr>
          <w:rFonts w:ascii="Times New Roman" w:hAnsi="Times New Roman" w:cs="Times New Roman"/>
          <w:color w:val="000000" w:themeColor="text1"/>
          <w:sz w:val="24"/>
          <w:szCs w:val="24"/>
        </w:rPr>
      </w:pPr>
      <w:r w:rsidRPr="007A3580">
        <w:rPr>
          <w:rFonts w:ascii="Times New Roman" w:hAnsi="Times New Roman" w:cs="Times New Roman"/>
          <w:color w:val="000000" w:themeColor="text1"/>
          <w:sz w:val="24"/>
          <w:szCs w:val="24"/>
        </w:rPr>
        <w:t>Peter Riley Bahr*</w:t>
      </w:r>
    </w:p>
    <w:p w14:paraId="378D8CED" w14:textId="77777777" w:rsidR="007A3580" w:rsidRPr="007A3580" w:rsidRDefault="007A3580" w:rsidP="007A3580">
      <w:pPr>
        <w:spacing w:after="0" w:line="240" w:lineRule="auto"/>
        <w:jc w:val="center"/>
        <w:rPr>
          <w:rFonts w:ascii="Times New Roman" w:hAnsi="Times New Roman" w:cs="Times New Roman"/>
          <w:color w:val="000000" w:themeColor="text1"/>
          <w:sz w:val="24"/>
          <w:szCs w:val="24"/>
        </w:rPr>
      </w:pPr>
      <w:r w:rsidRPr="007A3580">
        <w:rPr>
          <w:rFonts w:ascii="Times New Roman" w:hAnsi="Times New Roman" w:cs="Times New Roman"/>
          <w:color w:val="000000" w:themeColor="text1"/>
          <w:sz w:val="24"/>
          <w:szCs w:val="24"/>
        </w:rPr>
        <w:t>Center for the Study of Higher and Postsecondary Education</w:t>
      </w:r>
    </w:p>
    <w:p w14:paraId="4C64446D" w14:textId="77777777" w:rsidR="007A3580" w:rsidRPr="007A3580" w:rsidRDefault="007A3580" w:rsidP="007A3580">
      <w:pPr>
        <w:spacing w:after="0" w:line="240" w:lineRule="auto"/>
        <w:jc w:val="center"/>
        <w:rPr>
          <w:rFonts w:ascii="Times New Roman" w:hAnsi="Times New Roman" w:cs="Times New Roman"/>
          <w:color w:val="000000" w:themeColor="text1"/>
          <w:sz w:val="24"/>
          <w:szCs w:val="24"/>
        </w:rPr>
      </w:pPr>
      <w:r w:rsidRPr="007A3580">
        <w:rPr>
          <w:rFonts w:ascii="Times New Roman" w:hAnsi="Times New Roman" w:cs="Times New Roman"/>
          <w:color w:val="000000" w:themeColor="text1"/>
          <w:sz w:val="24"/>
          <w:szCs w:val="24"/>
        </w:rPr>
        <w:t>University of Michigan</w:t>
      </w:r>
    </w:p>
    <w:p w14:paraId="3DA1EBC1"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07DE2302"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6FF1B9AC" w14:textId="0666FACE" w:rsidR="007A3580" w:rsidRPr="007A3580" w:rsidRDefault="007A3580" w:rsidP="007A3580">
      <w:pPr>
        <w:spacing w:after="0" w:line="240" w:lineRule="auto"/>
        <w:jc w:val="center"/>
        <w:rPr>
          <w:rFonts w:ascii="Times New Roman" w:hAnsi="Times New Roman" w:cs="Times New Roman"/>
          <w:color w:val="000000" w:themeColor="text1"/>
          <w:sz w:val="24"/>
          <w:szCs w:val="24"/>
        </w:rPr>
      </w:pPr>
      <w:r w:rsidRPr="007A3580">
        <w:rPr>
          <w:rFonts w:ascii="Times New Roman" w:hAnsi="Times New Roman" w:cs="Times New Roman"/>
          <w:color w:val="000000" w:themeColor="text1"/>
          <w:sz w:val="24"/>
          <w:szCs w:val="24"/>
        </w:rPr>
        <w:t xml:space="preserve">Revised </w:t>
      </w:r>
      <w:r w:rsidR="007554E7">
        <w:rPr>
          <w:rFonts w:ascii="Times New Roman" w:hAnsi="Times New Roman" w:cs="Times New Roman"/>
          <w:color w:val="000000" w:themeColor="text1"/>
          <w:sz w:val="24"/>
          <w:szCs w:val="24"/>
        </w:rPr>
        <w:t xml:space="preserve">October </w:t>
      </w:r>
      <w:r w:rsidR="005054AC">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2018</w:t>
      </w:r>
    </w:p>
    <w:p w14:paraId="276CF34C"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19BE6F2C"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39BBA62E" w14:textId="77777777" w:rsidR="007A3580" w:rsidRPr="007A3580" w:rsidRDefault="007A3580" w:rsidP="007A3580">
      <w:pPr>
        <w:spacing w:after="0" w:line="240" w:lineRule="auto"/>
        <w:jc w:val="center"/>
        <w:rPr>
          <w:rFonts w:ascii="Times New Roman" w:hAnsi="Times New Roman" w:cs="Times New Roman"/>
          <w:color w:val="000000" w:themeColor="text1"/>
          <w:sz w:val="24"/>
          <w:szCs w:val="24"/>
        </w:rPr>
      </w:pPr>
    </w:p>
    <w:p w14:paraId="6EE2F937"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208CBD2D"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52423858"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51786F5E"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14555C77"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29C9099D"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20829159"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4C0EB77B"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6BA1D3B4"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3A43A16B"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4F94579E"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08F228C3"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4D126495"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55A97441"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60DDD06E"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3891FE9A"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53E13056"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01083DA5"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343193B9" w14:textId="77777777" w:rsidR="007A3580" w:rsidRDefault="007A3580" w:rsidP="007A3580">
      <w:pPr>
        <w:spacing w:after="0" w:line="240" w:lineRule="auto"/>
        <w:rPr>
          <w:rFonts w:ascii="Times New Roman" w:hAnsi="Times New Roman" w:cs="Times New Roman"/>
          <w:color w:val="000000" w:themeColor="text1"/>
          <w:sz w:val="24"/>
          <w:szCs w:val="24"/>
        </w:rPr>
      </w:pPr>
    </w:p>
    <w:p w14:paraId="53DC5310" w14:textId="77777777" w:rsidR="000D1C6A" w:rsidRPr="007A3580" w:rsidRDefault="000D1C6A" w:rsidP="007A3580">
      <w:pPr>
        <w:spacing w:after="0" w:line="240" w:lineRule="auto"/>
        <w:rPr>
          <w:rFonts w:ascii="Times New Roman" w:hAnsi="Times New Roman" w:cs="Times New Roman"/>
          <w:color w:val="000000" w:themeColor="text1"/>
          <w:sz w:val="24"/>
          <w:szCs w:val="24"/>
        </w:rPr>
      </w:pPr>
    </w:p>
    <w:p w14:paraId="3BBECD53"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6BD3ADCA" w14:textId="77777777" w:rsidR="007A3580" w:rsidRPr="007A3580" w:rsidRDefault="007A3580" w:rsidP="007A3580">
      <w:pPr>
        <w:spacing w:after="0" w:line="240" w:lineRule="auto"/>
        <w:rPr>
          <w:rFonts w:ascii="Times New Roman" w:hAnsi="Times New Roman" w:cs="Times New Roman"/>
          <w:color w:val="000000" w:themeColor="text1"/>
          <w:sz w:val="24"/>
          <w:szCs w:val="24"/>
        </w:rPr>
      </w:pPr>
    </w:p>
    <w:p w14:paraId="073922C8" w14:textId="37B075B2" w:rsidR="00CF13E5" w:rsidRDefault="007A3580" w:rsidP="000D1C6A">
      <w:pPr>
        <w:spacing w:after="0" w:line="240" w:lineRule="auto"/>
        <w:rPr>
          <w:rFonts w:ascii="Times New Roman" w:hAnsi="Times New Roman" w:cs="Times New Roman"/>
          <w:b/>
          <w:sz w:val="24"/>
          <w:szCs w:val="24"/>
        </w:rPr>
      </w:pPr>
      <w:r w:rsidRPr="007A3580">
        <w:rPr>
          <w:rFonts w:ascii="Times New Roman" w:hAnsi="Times New Roman" w:cs="Times New Roman"/>
          <w:color w:val="000000" w:themeColor="text1"/>
          <w:sz w:val="24"/>
          <w:szCs w:val="24"/>
        </w:rPr>
        <w:t>*Correspondence may be directed to the author at the Center for the Study of Higher and Postsecondary Education, University of Michigan, 610 E. University Avenue, Ann Arbor, MI 48109-1259; email: prbahr@umich.edu.  Valuable feedback on this work was provided by Janet Fulks</w:t>
      </w:r>
      <w:r w:rsidR="007D7CE2">
        <w:rPr>
          <w:rFonts w:ascii="Times New Roman" w:hAnsi="Times New Roman" w:cs="Times New Roman"/>
          <w:color w:val="000000" w:themeColor="text1"/>
          <w:sz w:val="24"/>
          <w:szCs w:val="24"/>
        </w:rPr>
        <w:t>, Craig Hayward, and</w:t>
      </w:r>
      <w:r w:rsidR="00685B70">
        <w:rPr>
          <w:rFonts w:ascii="Times New Roman" w:hAnsi="Times New Roman" w:cs="Times New Roman"/>
          <w:color w:val="000000" w:themeColor="text1"/>
          <w:sz w:val="24"/>
          <w:szCs w:val="24"/>
        </w:rPr>
        <w:t xml:space="preserve"> other faculty and administrators of Bakersfield College</w:t>
      </w:r>
      <w:r w:rsidR="00CF13E5">
        <w:rPr>
          <w:rFonts w:ascii="Times New Roman" w:hAnsi="Times New Roman" w:cs="Times New Roman"/>
          <w:color w:val="000000" w:themeColor="text1"/>
          <w:sz w:val="24"/>
          <w:szCs w:val="24"/>
        </w:rPr>
        <w:t xml:space="preserve">.  </w:t>
      </w:r>
      <w:r w:rsidR="004659F6">
        <w:rPr>
          <w:rFonts w:ascii="Times New Roman" w:hAnsi="Times New Roman" w:cs="Times New Roman"/>
          <w:color w:val="000000" w:themeColor="text1"/>
          <w:sz w:val="24"/>
          <w:szCs w:val="24"/>
        </w:rPr>
        <w:t>S</w:t>
      </w:r>
      <w:r w:rsidR="00CF13E5">
        <w:rPr>
          <w:rFonts w:ascii="Times New Roman" w:hAnsi="Times New Roman" w:cs="Times New Roman"/>
          <w:color w:val="000000" w:themeColor="text1"/>
          <w:sz w:val="24"/>
          <w:szCs w:val="24"/>
        </w:rPr>
        <w:t xml:space="preserve">upport and assistance with data were provided by Craig Hayward, Alma Livingston, and </w:t>
      </w:r>
      <w:r w:rsidRPr="007A3580">
        <w:rPr>
          <w:rFonts w:ascii="Times New Roman" w:hAnsi="Times New Roman" w:cs="Times New Roman"/>
          <w:sz w:val="24"/>
          <w:szCs w:val="24"/>
        </w:rPr>
        <w:t>Lisa Fitzgerald.</w:t>
      </w:r>
      <w:r w:rsidR="00CF13E5">
        <w:rPr>
          <w:rFonts w:ascii="Times New Roman" w:hAnsi="Times New Roman" w:cs="Times New Roman"/>
          <w:b/>
          <w:sz w:val="24"/>
          <w:szCs w:val="24"/>
        </w:rPr>
        <w:br w:type="page"/>
      </w:r>
    </w:p>
    <w:p w14:paraId="6C338194" w14:textId="07A004BC" w:rsidR="00EB155A" w:rsidRPr="007A3580" w:rsidRDefault="00EB155A" w:rsidP="00EB155A">
      <w:pPr>
        <w:spacing w:after="0" w:line="240" w:lineRule="auto"/>
        <w:rPr>
          <w:rFonts w:ascii="Times New Roman" w:hAnsi="Times New Roman" w:cs="Times New Roman"/>
          <w:b/>
          <w:sz w:val="24"/>
          <w:szCs w:val="24"/>
        </w:rPr>
      </w:pPr>
      <w:r w:rsidRPr="007A3580">
        <w:rPr>
          <w:rFonts w:ascii="Times New Roman" w:hAnsi="Times New Roman" w:cs="Times New Roman"/>
          <w:b/>
          <w:sz w:val="24"/>
          <w:szCs w:val="24"/>
        </w:rPr>
        <w:lastRenderedPageBreak/>
        <w:t xml:space="preserve">SECTION </w:t>
      </w:r>
      <w:r>
        <w:rPr>
          <w:rFonts w:ascii="Times New Roman" w:hAnsi="Times New Roman" w:cs="Times New Roman"/>
          <w:b/>
          <w:sz w:val="24"/>
          <w:szCs w:val="24"/>
        </w:rPr>
        <w:t>1</w:t>
      </w:r>
      <w:r w:rsidRPr="007A3580">
        <w:rPr>
          <w:rFonts w:ascii="Times New Roman" w:hAnsi="Times New Roman" w:cs="Times New Roman"/>
          <w:b/>
          <w:sz w:val="24"/>
          <w:szCs w:val="24"/>
        </w:rPr>
        <w:t>:  BACKGROUND</w:t>
      </w:r>
      <w:r w:rsidR="005C31C7">
        <w:rPr>
          <w:rFonts w:ascii="Times New Roman" w:hAnsi="Times New Roman" w:cs="Times New Roman"/>
          <w:b/>
          <w:sz w:val="24"/>
          <w:szCs w:val="24"/>
        </w:rPr>
        <w:t xml:space="preserve">, </w:t>
      </w:r>
      <w:r w:rsidR="00540381">
        <w:rPr>
          <w:rFonts w:ascii="Times New Roman" w:hAnsi="Times New Roman" w:cs="Times New Roman"/>
          <w:b/>
          <w:sz w:val="24"/>
          <w:szCs w:val="24"/>
        </w:rPr>
        <w:t>FOCI</w:t>
      </w:r>
      <w:r w:rsidR="005C31C7">
        <w:rPr>
          <w:rFonts w:ascii="Times New Roman" w:hAnsi="Times New Roman" w:cs="Times New Roman"/>
          <w:b/>
          <w:sz w:val="24"/>
          <w:szCs w:val="24"/>
        </w:rPr>
        <w:t>, AND ORGANIZATION OF THIS REPORT</w:t>
      </w:r>
    </w:p>
    <w:p w14:paraId="0EFEF252" w14:textId="77777777" w:rsidR="00EB155A" w:rsidRPr="007A3580" w:rsidRDefault="00EB155A" w:rsidP="00EB155A">
      <w:pPr>
        <w:spacing w:after="0" w:line="240" w:lineRule="auto"/>
        <w:rPr>
          <w:rFonts w:ascii="Times New Roman" w:hAnsi="Times New Roman" w:cs="Times New Roman"/>
          <w:sz w:val="24"/>
          <w:szCs w:val="24"/>
        </w:rPr>
      </w:pPr>
    </w:p>
    <w:p w14:paraId="63934F11" w14:textId="20E25653" w:rsidR="00792364" w:rsidRDefault="00EB155A" w:rsidP="00EB155A">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Bakersfield College</w:t>
      </w:r>
      <w:r w:rsidR="00436AB9">
        <w:rPr>
          <w:rFonts w:ascii="Times New Roman" w:hAnsi="Times New Roman" w:cs="Times New Roman"/>
          <w:sz w:val="24"/>
          <w:szCs w:val="24"/>
        </w:rPr>
        <w:t xml:space="preserve"> (BC)</w:t>
      </w:r>
      <w:r w:rsidRPr="007A3580">
        <w:rPr>
          <w:rFonts w:ascii="Times New Roman" w:hAnsi="Times New Roman" w:cs="Times New Roman"/>
          <w:sz w:val="24"/>
          <w:szCs w:val="24"/>
        </w:rPr>
        <w:t xml:space="preserve"> is engaged in a substantial effort to revise the structure and content of the developmental math and English curriculum with goals of improving the rate and pace of achievement of college-level competency.  This study presented here was undertaken to investigate the results of this reform</w:t>
      </w:r>
      <w:r>
        <w:rPr>
          <w:rFonts w:ascii="Times New Roman" w:hAnsi="Times New Roman" w:cs="Times New Roman"/>
          <w:sz w:val="24"/>
          <w:szCs w:val="24"/>
        </w:rPr>
        <w:t xml:space="preserve">.  </w:t>
      </w:r>
      <w:r w:rsidR="00116D4A">
        <w:rPr>
          <w:rFonts w:ascii="Times New Roman" w:hAnsi="Times New Roman" w:cs="Times New Roman"/>
          <w:sz w:val="24"/>
          <w:szCs w:val="24"/>
        </w:rPr>
        <w:t xml:space="preserve">While the research reported here was in progress, important </w:t>
      </w:r>
      <w:r w:rsidR="00850B1D">
        <w:rPr>
          <w:rFonts w:ascii="Times New Roman" w:hAnsi="Times New Roman" w:cs="Times New Roman"/>
          <w:sz w:val="24"/>
          <w:szCs w:val="24"/>
        </w:rPr>
        <w:t xml:space="preserve">and relevant </w:t>
      </w:r>
      <w:r w:rsidR="00116D4A">
        <w:rPr>
          <w:rFonts w:ascii="Times New Roman" w:hAnsi="Times New Roman" w:cs="Times New Roman"/>
          <w:sz w:val="24"/>
          <w:szCs w:val="24"/>
        </w:rPr>
        <w:t>legislation was passed by the State of California</w:t>
      </w:r>
      <w:r w:rsidR="00850B1D">
        <w:rPr>
          <w:rFonts w:ascii="Times New Roman" w:hAnsi="Times New Roman" w:cs="Times New Roman"/>
          <w:sz w:val="24"/>
          <w:szCs w:val="24"/>
        </w:rPr>
        <w:t xml:space="preserve">, referred to commonly as AB705.  The current </w:t>
      </w:r>
      <w:r w:rsidR="00116D4A">
        <w:rPr>
          <w:rFonts w:ascii="Times New Roman" w:hAnsi="Times New Roman" w:cs="Times New Roman"/>
          <w:sz w:val="24"/>
          <w:szCs w:val="24"/>
        </w:rPr>
        <w:t xml:space="preserve">implementation </w:t>
      </w:r>
      <w:r w:rsidR="00850B1D">
        <w:rPr>
          <w:rFonts w:ascii="Times New Roman" w:hAnsi="Times New Roman" w:cs="Times New Roman"/>
          <w:sz w:val="24"/>
          <w:szCs w:val="24"/>
        </w:rPr>
        <w:t xml:space="preserve">of AB705 </w:t>
      </w:r>
      <w:r w:rsidR="00116D4A">
        <w:rPr>
          <w:rFonts w:ascii="Times New Roman" w:hAnsi="Times New Roman" w:cs="Times New Roman"/>
          <w:sz w:val="24"/>
          <w:szCs w:val="24"/>
        </w:rPr>
        <w:t xml:space="preserve">by the Chancellor’s Office requires community colleges to make substantial changes both to how they place students in the curriculum and to the standards of success that inform the curriculum that is offered.  Hence, this report also seeks to provide insights into </w:t>
      </w:r>
      <w:r w:rsidR="00850B1D">
        <w:rPr>
          <w:rFonts w:ascii="Times New Roman" w:hAnsi="Times New Roman" w:cs="Times New Roman"/>
          <w:sz w:val="24"/>
          <w:szCs w:val="24"/>
        </w:rPr>
        <w:t>the efforts of BC to comply with AB705.</w:t>
      </w:r>
    </w:p>
    <w:p w14:paraId="357A2F94" w14:textId="77777777" w:rsidR="00792364" w:rsidRDefault="00792364" w:rsidP="00EB155A">
      <w:pPr>
        <w:spacing w:after="0" w:line="240" w:lineRule="auto"/>
        <w:rPr>
          <w:rFonts w:ascii="Times New Roman" w:hAnsi="Times New Roman" w:cs="Times New Roman"/>
          <w:sz w:val="24"/>
          <w:szCs w:val="24"/>
        </w:rPr>
      </w:pPr>
    </w:p>
    <w:p w14:paraId="159DC127" w14:textId="75701E08" w:rsidR="002E6B8C" w:rsidRDefault="00116D4A" w:rsidP="00EB155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This</w:t>
      </w:r>
      <w:r w:rsidR="00EB155A">
        <w:rPr>
          <w:rFonts w:ascii="Times New Roman" w:hAnsi="Times New Roman" w:cs="Times New Roman"/>
          <w:sz w:val="24"/>
          <w:szCs w:val="24"/>
        </w:rPr>
        <w:t xml:space="preserve"> report </w:t>
      </w:r>
      <w:r w:rsidR="00EB155A" w:rsidRPr="007A3580">
        <w:rPr>
          <w:rFonts w:ascii="Times New Roman" w:hAnsi="Times New Roman" w:cs="Times New Roman"/>
          <w:sz w:val="24"/>
          <w:szCs w:val="24"/>
        </w:rPr>
        <w:t>deconstruct</w:t>
      </w:r>
      <w:r w:rsidR="00F34AE8">
        <w:rPr>
          <w:rFonts w:ascii="Times New Roman" w:hAnsi="Times New Roman" w:cs="Times New Roman"/>
          <w:sz w:val="24"/>
          <w:szCs w:val="24"/>
        </w:rPr>
        <w:t>s</w:t>
      </w:r>
      <w:r w:rsidR="00EB155A" w:rsidRPr="007A3580">
        <w:rPr>
          <w:rFonts w:ascii="Times New Roman" w:hAnsi="Times New Roman" w:cs="Times New Roman"/>
          <w:sz w:val="24"/>
          <w:szCs w:val="24"/>
        </w:rPr>
        <w:t xml:space="preserve"> students’ pathways through developmental education and </w:t>
      </w:r>
      <w:r w:rsidR="00EB155A" w:rsidRPr="007A3580">
        <w:rPr>
          <w:rFonts w:ascii="Times New Roman" w:hAnsi="Times New Roman" w:cs="Times New Roman"/>
          <w:color w:val="000000" w:themeColor="text1"/>
          <w:sz w:val="24"/>
          <w:szCs w:val="24"/>
        </w:rPr>
        <w:t>disentangl</w:t>
      </w:r>
      <w:r w:rsidR="00F34AE8">
        <w:rPr>
          <w:rFonts w:ascii="Times New Roman" w:hAnsi="Times New Roman" w:cs="Times New Roman"/>
          <w:color w:val="000000" w:themeColor="text1"/>
          <w:sz w:val="24"/>
          <w:szCs w:val="24"/>
        </w:rPr>
        <w:t xml:space="preserve">es </w:t>
      </w:r>
      <w:r w:rsidR="00EB155A" w:rsidRPr="007A3580">
        <w:rPr>
          <w:rFonts w:ascii="Times New Roman" w:hAnsi="Times New Roman" w:cs="Times New Roman"/>
          <w:color w:val="000000" w:themeColor="text1"/>
          <w:sz w:val="24"/>
          <w:szCs w:val="24"/>
        </w:rPr>
        <w:t>the relationships between developmental pathways, student characteristics</w:t>
      </w:r>
      <w:r w:rsidR="0029387A">
        <w:rPr>
          <w:rFonts w:ascii="Times New Roman" w:hAnsi="Times New Roman" w:cs="Times New Roman"/>
          <w:color w:val="000000" w:themeColor="text1"/>
          <w:sz w:val="24"/>
          <w:szCs w:val="24"/>
        </w:rPr>
        <w:t>, student</w:t>
      </w:r>
      <w:r w:rsidR="00EB155A" w:rsidRPr="007A3580">
        <w:rPr>
          <w:rFonts w:ascii="Times New Roman" w:hAnsi="Times New Roman" w:cs="Times New Roman"/>
          <w:color w:val="000000" w:themeColor="text1"/>
          <w:sz w:val="24"/>
          <w:szCs w:val="24"/>
        </w:rPr>
        <w:t xml:space="preserve"> behaviors, and successful attainment of college-level competency</w:t>
      </w:r>
      <w:r w:rsidR="00F34AE8">
        <w:rPr>
          <w:rFonts w:ascii="Times New Roman" w:hAnsi="Times New Roman" w:cs="Times New Roman"/>
          <w:color w:val="000000" w:themeColor="text1"/>
          <w:sz w:val="24"/>
          <w:szCs w:val="24"/>
        </w:rPr>
        <w:t>, variously defined</w:t>
      </w:r>
      <w:r w:rsidR="00EB155A" w:rsidRPr="007A3580">
        <w:rPr>
          <w:rFonts w:ascii="Times New Roman" w:hAnsi="Times New Roman" w:cs="Times New Roman"/>
          <w:color w:val="000000" w:themeColor="text1"/>
          <w:sz w:val="24"/>
          <w:szCs w:val="24"/>
        </w:rPr>
        <w:t xml:space="preserve">.  </w:t>
      </w:r>
      <w:r w:rsidR="00F34AE8">
        <w:rPr>
          <w:rFonts w:ascii="Times New Roman" w:hAnsi="Times New Roman" w:cs="Times New Roman"/>
          <w:color w:val="000000" w:themeColor="text1"/>
          <w:sz w:val="24"/>
          <w:szCs w:val="24"/>
        </w:rPr>
        <w:t xml:space="preserve">A central focus of the </w:t>
      </w:r>
      <w:r w:rsidR="00792364">
        <w:rPr>
          <w:rFonts w:ascii="Times New Roman" w:hAnsi="Times New Roman" w:cs="Times New Roman"/>
          <w:sz w:val="24"/>
          <w:szCs w:val="24"/>
        </w:rPr>
        <w:t xml:space="preserve">study </w:t>
      </w:r>
      <w:r w:rsidR="00F34AE8">
        <w:rPr>
          <w:rFonts w:ascii="Times New Roman" w:hAnsi="Times New Roman" w:cs="Times New Roman"/>
          <w:sz w:val="24"/>
          <w:szCs w:val="24"/>
        </w:rPr>
        <w:t xml:space="preserve">is </w:t>
      </w:r>
      <w:r w:rsidR="00792364">
        <w:rPr>
          <w:rFonts w:ascii="Times New Roman" w:hAnsi="Times New Roman" w:cs="Times New Roman"/>
          <w:sz w:val="24"/>
          <w:szCs w:val="24"/>
        </w:rPr>
        <w:t>the educational outcomes of students who entere</w:t>
      </w:r>
      <w:r w:rsidR="00AA1E25">
        <w:rPr>
          <w:rFonts w:ascii="Times New Roman" w:hAnsi="Times New Roman" w:cs="Times New Roman"/>
          <w:sz w:val="24"/>
          <w:szCs w:val="24"/>
        </w:rPr>
        <w:t>d the math curriculum or English curriculum</w:t>
      </w:r>
      <w:r w:rsidR="00792364">
        <w:rPr>
          <w:rFonts w:ascii="Times New Roman" w:hAnsi="Times New Roman" w:cs="Times New Roman"/>
          <w:sz w:val="24"/>
          <w:szCs w:val="24"/>
        </w:rPr>
        <w:t xml:space="preserve"> at BC through a current developmental math or English course, and especially certain sets of courses that </w:t>
      </w:r>
      <w:r w:rsidR="00792364" w:rsidRPr="00E22CDE">
        <w:rPr>
          <w:rFonts w:ascii="Times New Roman" w:hAnsi="Times New Roman" w:cs="Times New Roman"/>
          <w:sz w:val="24"/>
          <w:szCs w:val="24"/>
        </w:rPr>
        <w:t xml:space="preserve">may be </w:t>
      </w:r>
      <w:r w:rsidR="00792364" w:rsidRPr="002E5719">
        <w:rPr>
          <w:rFonts w:ascii="Times New Roman" w:hAnsi="Times New Roman" w:cs="Times New Roman"/>
          <w:sz w:val="24"/>
          <w:szCs w:val="24"/>
        </w:rPr>
        <w:t>conceived of as</w:t>
      </w:r>
      <w:r w:rsidR="00792364" w:rsidRPr="00E22CDE">
        <w:rPr>
          <w:rFonts w:ascii="Times New Roman" w:hAnsi="Times New Roman" w:cs="Times New Roman"/>
          <w:sz w:val="24"/>
          <w:szCs w:val="24"/>
        </w:rPr>
        <w:t xml:space="preserve"> parallel points of entry to </w:t>
      </w:r>
      <w:r w:rsidR="00AA1E25">
        <w:rPr>
          <w:rFonts w:ascii="Times New Roman" w:hAnsi="Times New Roman" w:cs="Times New Roman"/>
          <w:sz w:val="24"/>
          <w:szCs w:val="24"/>
        </w:rPr>
        <w:t>the math curriculum or English curriculum</w:t>
      </w:r>
      <w:r w:rsidR="00792364" w:rsidRPr="00E22CDE">
        <w:rPr>
          <w:rFonts w:ascii="Times New Roman" w:hAnsi="Times New Roman" w:cs="Times New Roman"/>
          <w:sz w:val="24"/>
          <w:szCs w:val="24"/>
        </w:rPr>
        <w:t xml:space="preserve">.  </w:t>
      </w:r>
      <w:r w:rsidR="00792364">
        <w:rPr>
          <w:rFonts w:ascii="Times New Roman" w:hAnsi="Times New Roman" w:cs="Times New Roman"/>
          <w:color w:val="000000" w:themeColor="text1"/>
          <w:sz w:val="24"/>
          <w:szCs w:val="24"/>
        </w:rPr>
        <w:t xml:space="preserve">The </w:t>
      </w:r>
      <w:r w:rsidR="00F34AE8">
        <w:rPr>
          <w:rFonts w:ascii="Times New Roman" w:hAnsi="Times New Roman" w:cs="Times New Roman"/>
          <w:color w:val="000000" w:themeColor="text1"/>
          <w:sz w:val="24"/>
          <w:szCs w:val="24"/>
        </w:rPr>
        <w:t>study</w:t>
      </w:r>
      <w:r w:rsidR="00792364">
        <w:rPr>
          <w:rFonts w:ascii="Times New Roman" w:hAnsi="Times New Roman" w:cs="Times New Roman"/>
          <w:color w:val="000000" w:themeColor="text1"/>
          <w:sz w:val="24"/>
          <w:szCs w:val="24"/>
        </w:rPr>
        <w:t xml:space="preserve"> also compares the outcomes of students who </w:t>
      </w:r>
      <w:r w:rsidR="00AA1E25">
        <w:rPr>
          <w:rFonts w:ascii="Times New Roman" w:hAnsi="Times New Roman" w:cs="Times New Roman"/>
          <w:color w:val="000000" w:themeColor="text1"/>
          <w:sz w:val="24"/>
          <w:szCs w:val="24"/>
        </w:rPr>
        <w:t>began</w:t>
      </w:r>
      <w:r w:rsidR="00792364">
        <w:rPr>
          <w:rFonts w:ascii="Times New Roman" w:hAnsi="Times New Roman" w:cs="Times New Roman"/>
          <w:color w:val="000000" w:themeColor="text1"/>
          <w:sz w:val="24"/>
          <w:szCs w:val="24"/>
        </w:rPr>
        <w:t xml:space="preserve"> math </w:t>
      </w:r>
      <w:r w:rsidR="00AA1E25">
        <w:rPr>
          <w:rFonts w:ascii="Times New Roman" w:hAnsi="Times New Roman" w:cs="Times New Roman"/>
          <w:color w:val="000000" w:themeColor="text1"/>
          <w:sz w:val="24"/>
          <w:szCs w:val="24"/>
        </w:rPr>
        <w:t>or</w:t>
      </w:r>
      <w:r w:rsidR="00792364">
        <w:rPr>
          <w:rFonts w:ascii="Times New Roman" w:hAnsi="Times New Roman" w:cs="Times New Roman"/>
          <w:color w:val="000000" w:themeColor="text1"/>
          <w:sz w:val="24"/>
          <w:szCs w:val="24"/>
        </w:rPr>
        <w:t xml:space="preserve"> English in developmental education with the outcomes of students who </w:t>
      </w:r>
      <w:r w:rsidR="00AA1E25">
        <w:rPr>
          <w:rFonts w:ascii="Times New Roman" w:hAnsi="Times New Roman" w:cs="Times New Roman"/>
          <w:color w:val="000000" w:themeColor="text1"/>
          <w:sz w:val="24"/>
          <w:szCs w:val="24"/>
        </w:rPr>
        <w:t>had</w:t>
      </w:r>
      <w:r w:rsidR="00792364">
        <w:rPr>
          <w:rFonts w:ascii="Times New Roman" w:hAnsi="Times New Roman" w:cs="Times New Roman"/>
          <w:color w:val="000000" w:themeColor="text1"/>
          <w:sz w:val="24"/>
          <w:szCs w:val="24"/>
        </w:rPr>
        <w:t xml:space="preserve"> similar levels of academic achievement </w:t>
      </w:r>
      <w:r w:rsidR="00AA1E25">
        <w:rPr>
          <w:rFonts w:ascii="Times New Roman" w:hAnsi="Times New Roman" w:cs="Times New Roman"/>
          <w:color w:val="000000" w:themeColor="text1"/>
          <w:sz w:val="24"/>
          <w:szCs w:val="24"/>
        </w:rPr>
        <w:t xml:space="preserve">in high school </w:t>
      </w:r>
      <w:r w:rsidR="00792364">
        <w:rPr>
          <w:rFonts w:ascii="Times New Roman" w:hAnsi="Times New Roman" w:cs="Times New Roman"/>
          <w:color w:val="000000" w:themeColor="text1"/>
          <w:sz w:val="24"/>
          <w:szCs w:val="24"/>
        </w:rPr>
        <w:t xml:space="preserve">but </w:t>
      </w:r>
      <w:r w:rsidR="00AA1E25">
        <w:rPr>
          <w:rFonts w:ascii="Times New Roman" w:hAnsi="Times New Roman" w:cs="Times New Roman"/>
          <w:color w:val="000000" w:themeColor="text1"/>
          <w:sz w:val="24"/>
          <w:szCs w:val="24"/>
        </w:rPr>
        <w:t>began</w:t>
      </w:r>
      <w:r w:rsidR="00792364">
        <w:rPr>
          <w:rFonts w:ascii="Times New Roman" w:hAnsi="Times New Roman" w:cs="Times New Roman"/>
          <w:color w:val="000000" w:themeColor="text1"/>
          <w:sz w:val="24"/>
          <w:szCs w:val="24"/>
        </w:rPr>
        <w:t xml:space="preserve"> </w:t>
      </w:r>
      <w:r w:rsidR="00AA1E25">
        <w:rPr>
          <w:rFonts w:ascii="Times New Roman" w:hAnsi="Times New Roman" w:cs="Times New Roman"/>
          <w:color w:val="000000" w:themeColor="text1"/>
          <w:sz w:val="24"/>
          <w:szCs w:val="24"/>
        </w:rPr>
        <w:t xml:space="preserve">math or English </w:t>
      </w:r>
      <w:r w:rsidR="00792364">
        <w:rPr>
          <w:rFonts w:ascii="Times New Roman" w:hAnsi="Times New Roman" w:cs="Times New Roman"/>
          <w:color w:val="000000" w:themeColor="text1"/>
          <w:sz w:val="24"/>
          <w:szCs w:val="24"/>
        </w:rPr>
        <w:t xml:space="preserve">in </w:t>
      </w:r>
      <w:r w:rsidR="00F34AE8">
        <w:rPr>
          <w:rFonts w:ascii="Times New Roman" w:hAnsi="Times New Roman" w:cs="Times New Roman"/>
          <w:color w:val="000000" w:themeColor="text1"/>
          <w:sz w:val="24"/>
          <w:szCs w:val="24"/>
        </w:rPr>
        <w:t>transfer</w:t>
      </w:r>
      <w:r w:rsidR="00792364">
        <w:rPr>
          <w:rFonts w:ascii="Times New Roman" w:hAnsi="Times New Roman" w:cs="Times New Roman"/>
          <w:color w:val="000000" w:themeColor="text1"/>
          <w:sz w:val="24"/>
          <w:szCs w:val="24"/>
        </w:rPr>
        <w:t xml:space="preserve">-level coursework.  </w:t>
      </w:r>
    </w:p>
    <w:p w14:paraId="23953452" w14:textId="77777777" w:rsidR="002E6B8C" w:rsidRDefault="002E6B8C" w:rsidP="00EB155A">
      <w:pPr>
        <w:spacing w:after="0" w:line="240" w:lineRule="auto"/>
        <w:rPr>
          <w:rFonts w:ascii="Times New Roman" w:hAnsi="Times New Roman" w:cs="Times New Roman"/>
          <w:color w:val="000000" w:themeColor="text1"/>
          <w:sz w:val="24"/>
          <w:szCs w:val="24"/>
        </w:rPr>
      </w:pPr>
    </w:p>
    <w:p w14:paraId="2E04E0F7" w14:textId="10E153FB" w:rsidR="002E6B8C" w:rsidRPr="0072729B" w:rsidRDefault="002E6B8C">
      <w:pPr>
        <w:spacing w:after="0" w:line="240" w:lineRule="auto"/>
        <w:rPr>
          <w:rFonts w:ascii="Times New Roman" w:hAnsi="Times New Roman" w:cs="Times New Roman"/>
          <w:color w:val="000000" w:themeColor="text1"/>
          <w:sz w:val="24"/>
          <w:szCs w:val="24"/>
        </w:rPr>
      </w:pPr>
      <w:r w:rsidRPr="0072729B">
        <w:rPr>
          <w:rFonts w:ascii="Times New Roman" w:hAnsi="Times New Roman" w:cs="Times New Roman"/>
          <w:sz w:val="24"/>
          <w:szCs w:val="24"/>
        </w:rPr>
        <w:t>With respect to developmental math, this study focuses primarily on students who enter</w:t>
      </w:r>
      <w:r w:rsidR="00AA1E25">
        <w:rPr>
          <w:rFonts w:ascii="Times New Roman" w:hAnsi="Times New Roman" w:cs="Times New Roman"/>
          <w:sz w:val="24"/>
          <w:szCs w:val="24"/>
        </w:rPr>
        <w:t>ed</w:t>
      </w:r>
      <w:r w:rsidRPr="0072729B">
        <w:rPr>
          <w:rFonts w:ascii="Times New Roman" w:hAnsi="Times New Roman" w:cs="Times New Roman"/>
          <w:sz w:val="24"/>
          <w:szCs w:val="24"/>
        </w:rPr>
        <w:t xml:space="preserve"> the math curriculum through LRNC B530, Math B65, and Math B60.  </w:t>
      </w:r>
      <w:r w:rsidRPr="00F05A1A">
        <w:rPr>
          <w:rFonts w:ascii="Times New Roman" w:hAnsi="Times New Roman" w:cs="Times New Roman"/>
          <w:sz w:val="24"/>
          <w:szCs w:val="24"/>
        </w:rPr>
        <w:t xml:space="preserve">These three courses </w:t>
      </w:r>
      <w:r w:rsidR="009861E7">
        <w:rPr>
          <w:rFonts w:ascii="Times New Roman" w:hAnsi="Times New Roman" w:cs="Times New Roman"/>
          <w:sz w:val="24"/>
          <w:szCs w:val="24"/>
        </w:rPr>
        <w:t xml:space="preserve">share </w:t>
      </w:r>
      <w:r w:rsidRPr="00F05A1A">
        <w:rPr>
          <w:rFonts w:ascii="Times New Roman" w:hAnsi="Times New Roman" w:cs="Times New Roman"/>
          <w:sz w:val="24"/>
          <w:szCs w:val="24"/>
        </w:rPr>
        <w:t xml:space="preserve">the same prerequisite </w:t>
      </w:r>
      <w:r w:rsidRPr="0084703F">
        <w:rPr>
          <w:rFonts w:ascii="Times New Roman" w:hAnsi="Times New Roman" w:cs="Times New Roman"/>
          <w:sz w:val="24"/>
          <w:szCs w:val="24"/>
        </w:rPr>
        <w:t>of ACDV B72 or placement into math level 02</w:t>
      </w:r>
      <w:r w:rsidR="00912991" w:rsidRPr="00912991">
        <w:rPr>
          <w:rFonts w:ascii="Times New Roman" w:hAnsi="Times New Roman" w:cs="Times New Roman"/>
          <w:sz w:val="24"/>
          <w:szCs w:val="24"/>
        </w:rPr>
        <w:t xml:space="preserve">, and </w:t>
      </w:r>
      <w:r w:rsidR="00AA1E25">
        <w:rPr>
          <w:rFonts w:ascii="Times New Roman" w:hAnsi="Times New Roman" w:cs="Times New Roman"/>
          <w:sz w:val="24"/>
          <w:szCs w:val="24"/>
        </w:rPr>
        <w:t xml:space="preserve">each </w:t>
      </w:r>
      <w:r w:rsidR="005361A4">
        <w:rPr>
          <w:rFonts w:ascii="Times New Roman" w:hAnsi="Times New Roman" w:cs="Times New Roman"/>
          <w:sz w:val="24"/>
          <w:szCs w:val="24"/>
        </w:rPr>
        <w:t xml:space="preserve">to some degree </w:t>
      </w:r>
      <w:r w:rsidR="009861E7">
        <w:rPr>
          <w:rFonts w:ascii="Times New Roman" w:hAnsi="Times New Roman" w:cs="Times New Roman"/>
          <w:sz w:val="24"/>
          <w:szCs w:val="24"/>
        </w:rPr>
        <w:t>provide</w:t>
      </w:r>
      <w:r w:rsidR="00AA1E25">
        <w:rPr>
          <w:rFonts w:ascii="Times New Roman" w:hAnsi="Times New Roman" w:cs="Times New Roman"/>
          <w:sz w:val="24"/>
          <w:szCs w:val="24"/>
        </w:rPr>
        <w:t>s</w:t>
      </w:r>
      <w:r w:rsidR="00912991" w:rsidRPr="00F05A1A">
        <w:rPr>
          <w:rFonts w:ascii="Times New Roman" w:hAnsi="Times New Roman" w:cs="Times New Roman"/>
          <w:sz w:val="24"/>
          <w:szCs w:val="24"/>
        </w:rPr>
        <w:t xml:space="preserve"> instruction </w:t>
      </w:r>
      <w:r w:rsidR="00912991" w:rsidRPr="0084703F">
        <w:rPr>
          <w:rFonts w:ascii="Times New Roman" w:hAnsi="Times New Roman" w:cs="Times New Roman"/>
          <w:sz w:val="24"/>
          <w:szCs w:val="24"/>
        </w:rPr>
        <w:t xml:space="preserve">at the </w:t>
      </w:r>
      <w:r w:rsidR="005361A4">
        <w:rPr>
          <w:rFonts w:ascii="Times New Roman" w:hAnsi="Times New Roman" w:cs="Times New Roman"/>
          <w:sz w:val="24"/>
          <w:szCs w:val="24"/>
        </w:rPr>
        <w:t xml:space="preserve">level of </w:t>
      </w:r>
      <w:r w:rsidR="00912991" w:rsidRPr="0084703F">
        <w:rPr>
          <w:rFonts w:ascii="Times New Roman" w:hAnsi="Times New Roman" w:cs="Times New Roman"/>
          <w:sz w:val="24"/>
          <w:szCs w:val="24"/>
        </w:rPr>
        <w:t xml:space="preserve">beginning algebra. </w:t>
      </w:r>
      <w:r w:rsidR="007554E7">
        <w:rPr>
          <w:rFonts w:ascii="Times New Roman" w:hAnsi="Times New Roman" w:cs="Times New Roman"/>
          <w:sz w:val="24"/>
          <w:szCs w:val="24"/>
        </w:rPr>
        <w:t xml:space="preserve"> </w:t>
      </w:r>
      <w:r w:rsidR="00F34AE8">
        <w:rPr>
          <w:rFonts w:ascii="Times New Roman" w:hAnsi="Times New Roman" w:cs="Times New Roman"/>
          <w:sz w:val="24"/>
          <w:szCs w:val="24"/>
        </w:rPr>
        <w:t>T</w:t>
      </w:r>
      <w:r w:rsidR="00912991" w:rsidRPr="0072729B">
        <w:rPr>
          <w:rFonts w:ascii="Times New Roman" w:hAnsi="Times New Roman" w:cs="Times New Roman"/>
          <w:sz w:val="24"/>
          <w:szCs w:val="24"/>
        </w:rPr>
        <w:t xml:space="preserve">his study also focuses </w:t>
      </w:r>
      <w:r w:rsidR="009643F3">
        <w:rPr>
          <w:rFonts w:ascii="Times New Roman" w:hAnsi="Times New Roman" w:cs="Times New Roman"/>
          <w:sz w:val="24"/>
          <w:szCs w:val="24"/>
        </w:rPr>
        <w:t>special</w:t>
      </w:r>
      <w:r w:rsidR="005361A4">
        <w:rPr>
          <w:rFonts w:ascii="Times New Roman" w:hAnsi="Times New Roman" w:cs="Times New Roman"/>
          <w:sz w:val="24"/>
          <w:szCs w:val="24"/>
        </w:rPr>
        <w:t xml:space="preserve"> </w:t>
      </w:r>
      <w:r w:rsidR="009643F3">
        <w:rPr>
          <w:rFonts w:ascii="Times New Roman" w:hAnsi="Times New Roman" w:cs="Times New Roman"/>
          <w:sz w:val="24"/>
          <w:szCs w:val="24"/>
        </w:rPr>
        <w:t>(but not exclusive</w:t>
      </w:r>
      <w:r w:rsidR="005361A4">
        <w:rPr>
          <w:rFonts w:ascii="Times New Roman" w:hAnsi="Times New Roman" w:cs="Times New Roman"/>
          <w:sz w:val="24"/>
          <w:szCs w:val="24"/>
        </w:rPr>
        <w:t>)</w:t>
      </w:r>
      <w:r w:rsidR="00912991" w:rsidRPr="0072729B">
        <w:rPr>
          <w:rFonts w:ascii="Times New Roman" w:hAnsi="Times New Roman" w:cs="Times New Roman"/>
          <w:sz w:val="24"/>
          <w:szCs w:val="24"/>
        </w:rPr>
        <w:t xml:space="preserve"> </w:t>
      </w:r>
      <w:r w:rsidR="009643F3">
        <w:rPr>
          <w:rFonts w:ascii="Times New Roman" w:hAnsi="Times New Roman" w:cs="Times New Roman"/>
          <w:sz w:val="24"/>
          <w:szCs w:val="24"/>
        </w:rPr>
        <w:t xml:space="preserve">attention </w:t>
      </w:r>
      <w:r w:rsidR="00912991" w:rsidRPr="0072729B">
        <w:rPr>
          <w:rFonts w:ascii="Times New Roman" w:hAnsi="Times New Roman" w:cs="Times New Roman"/>
          <w:sz w:val="24"/>
          <w:szCs w:val="24"/>
        </w:rPr>
        <w:t>on</w:t>
      </w:r>
      <w:r w:rsidR="00540381">
        <w:rPr>
          <w:rFonts w:ascii="Times New Roman" w:hAnsi="Times New Roman" w:cs="Times New Roman"/>
          <w:sz w:val="24"/>
          <w:szCs w:val="24"/>
        </w:rPr>
        <w:t xml:space="preserve"> transfer-seeking students and on</w:t>
      </w:r>
      <w:r w:rsidR="00912991" w:rsidRPr="0072729B">
        <w:rPr>
          <w:rFonts w:ascii="Times New Roman" w:hAnsi="Times New Roman" w:cs="Times New Roman"/>
          <w:sz w:val="24"/>
          <w:szCs w:val="24"/>
        </w:rPr>
        <w:t xml:space="preserve"> the outcome of achieving transfer-level quantitative competency</w:t>
      </w:r>
      <w:r w:rsidR="00912991">
        <w:rPr>
          <w:rFonts w:ascii="Times New Roman" w:hAnsi="Times New Roman" w:cs="Times New Roman"/>
          <w:sz w:val="24"/>
          <w:szCs w:val="24"/>
        </w:rPr>
        <w:t>, meaning the successful completion of a transfer-level quantitative course</w:t>
      </w:r>
      <w:r w:rsidR="00912991" w:rsidRPr="0072729B">
        <w:rPr>
          <w:rFonts w:ascii="Times New Roman" w:hAnsi="Times New Roman" w:cs="Times New Roman"/>
          <w:sz w:val="24"/>
          <w:szCs w:val="24"/>
        </w:rPr>
        <w:t>.</w:t>
      </w:r>
      <w:r w:rsidR="00912991" w:rsidRPr="00F05A1A">
        <w:rPr>
          <w:rFonts w:ascii="Times New Roman" w:hAnsi="Times New Roman" w:cs="Times New Roman"/>
          <w:sz w:val="24"/>
          <w:szCs w:val="24"/>
        </w:rPr>
        <w:t xml:space="preserve">  That said, </w:t>
      </w:r>
      <w:r w:rsidR="005361A4">
        <w:rPr>
          <w:rFonts w:ascii="Times New Roman" w:hAnsi="Times New Roman" w:cs="Times New Roman"/>
          <w:sz w:val="24"/>
          <w:szCs w:val="24"/>
        </w:rPr>
        <w:t>several sections</w:t>
      </w:r>
      <w:r w:rsidR="00540381">
        <w:rPr>
          <w:rFonts w:ascii="Times New Roman" w:hAnsi="Times New Roman" w:cs="Times New Roman"/>
          <w:sz w:val="24"/>
          <w:szCs w:val="24"/>
        </w:rPr>
        <w:t xml:space="preserve"> of the analysis of developmental </w:t>
      </w:r>
      <w:r w:rsidR="00CF3ED0">
        <w:rPr>
          <w:rFonts w:ascii="Times New Roman" w:hAnsi="Times New Roman" w:cs="Times New Roman"/>
          <w:sz w:val="24"/>
          <w:szCs w:val="24"/>
        </w:rPr>
        <w:t xml:space="preserve">math </w:t>
      </w:r>
      <w:r w:rsidR="00540381">
        <w:rPr>
          <w:rFonts w:ascii="Times New Roman" w:hAnsi="Times New Roman" w:cs="Times New Roman"/>
          <w:sz w:val="24"/>
          <w:szCs w:val="24"/>
        </w:rPr>
        <w:t xml:space="preserve">consider </w:t>
      </w:r>
      <w:r w:rsidR="00CF3ED0">
        <w:rPr>
          <w:rFonts w:ascii="Times New Roman" w:hAnsi="Times New Roman" w:cs="Times New Roman"/>
          <w:sz w:val="24"/>
          <w:szCs w:val="24"/>
        </w:rPr>
        <w:t xml:space="preserve">students with </w:t>
      </w:r>
      <w:r w:rsidR="00540381">
        <w:rPr>
          <w:rFonts w:ascii="Times New Roman" w:hAnsi="Times New Roman" w:cs="Times New Roman"/>
          <w:sz w:val="24"/>
          <w:szCs w:val="24"/>
        </w:rPr>
        <w:t>a broader range of</w:t>
      </w:r>
      <w:r w:rsidR="00CF3ED0">
        <w:rPr>
          <w:rFonts w:ascii="Times New Roman" w:hAnsi="Times New Roman" w:cs="Times New Roman"/>
          <w:sz w:val="24"/>
          <w:szCs w:val="24"/>
        </w:rPr>
        <w:t xml:space="preserve"> goals</w:t>
      </w:r>
      <w:r w:rsidR="00436AB9">
        <w:rPr>
          <w:rFonts w:ascii="Times New Roman" w:hAnsi="Times New Roman" w:cs="Times New Roman"/>
          <w:sz w:val="24"/>
          <w:szCs w:val="24"/>
        </w:rPr>
        <w:t xml:space="preserve"> </w:t>
      </w:r>
      <w:r w:rsidR="00850B1D">
        <w:rPr>
          <w:rFonts w:ascii="Times New Roman" w:hAnsi="Times New Roman" w:cs="Times New Roman"/>
          <w:sz w:val="24"/>
          <w:szCs w:val="24"/>
        </w:rPr>
        <w:t>and consider</w:t>
      </w:r>
      <w:r w:rsidR="00436AB9">
        <w:rPr>
          <w:rFonts w:ascii="Times New Roman" w:hAnsi="Times New Roman" w:cs="Times New Roman"/>
          <w:sz w:val="24"/>
          <w:szCs w:val="24"/>
        </w:rPr>
        <w:t xml:space="preserve"> </w:t>
      </w:r>
      <w:r w:rsidR="00CF3ED0">
        <w:rPr>
          <w:rFonts w:ascii="Times New Roman" w:hAnsi="Times New Roman" w:cs="Times New Roman"/>
          <w:sz w:val="24"/>
          <w:szCs w:val="24"/>
        </w:rPr>
        <w:t>a broader range of</w:t>
      </w:r>
      <w:r w:rsidR="00912991" w:rsidRPr="00F05A1A">
        <w:rPr>
          <w:rFonts w:ascii="Times New Roman" w:hAnsi="Times New Roman" w:cs="Times New Roman"/>
          <w:sz w:val="24"/>
          <w:szCs w:val="24"/>
        </w:rPr>
        <w:t xml:space="preserve"> outcomes, </w:t>
      </w:r>
      <w:r w:rsidR="00540381">
        <w:rPr>
          <w:rFonts w:ascii="Times New Roman" w:hAnsi="Times New Roman" w:cs="Times New Roman"/>
          <w:sz w:val="24"/>
          <w:szCs w:val="24"/>
        </w:rPr>
        <w:t xml:space="preserve">such as achieving </w:t>
      </w:r>
      <w:r w:rsidR="00912991" w:rsidRPr="00F05A1A">
        <w:rPr>
          <w:rFonts w:ascii="Times New Roman" w:hAnsi="Times New Roman" w:cs="Times New Roman"/>
          <w:sz w:val="24"/>
          <w:szCs w:val="24"/>
        </w:rPr>
        <w:t>associate degree-level quantitative competency and</w:t>
      </w:r>
      <w:r w:rsidR="00436AB9">
        <w:rPr>
          <w:rFonts w:ascii="Times New Roman" w:hAnsi="Times New Roman" w:cs="Times New Roman"/>
          <w:sz w:val="24"/>
          <w:szCs w:val="24"/>
        </w:rPr>
        <w:t xml:space="preserve"> </w:t>
      </w:r>
      <w:r w:rsidR="00CF3ED0">
        <w:rPr>
          <w:rFonts w:ascii="Times New Roman" w:hAnsi="Times New Roman" w:cs="Times New Roman"/>
          <w:sz w:val="24"/>
          <w:szCs w:val="24"/>
        </w:rPr>
        <w:t>completing</w:t>
      </w:r>
      <w:r w:rsidR="00912991" w:rsidRPr="00F05A1A">
        <w:rPr>
          <w:rFonts w:ascii="Times New Roman" w:hAnsi="Times New Roman" w:cs="Times New Roman"/>
          <w:sz w:val="24"/>
          <w:szCs w:val="24"/>
        </w:rPr>
        <w:t xml:space="preserve"> a STEM-track transfer-level math course.</w:t>
      </w:r>
      <w:r w:rsidR="009643F3">
        <w:rPr>
          <w:rFonts w:ascii="Times New Roman" w:hAnsi="Times New Roman" w:cs="Times New Roman"/>
          <w:sz w:val="24"/>
          <w:szCs w:val="24"/>
        </w:rPr>
        <w:t xml:space="preserve">  </w:t>
      </w:r>
    </w:p>
    <w:p w14:paraId="35BCEB4F" w14:textId="77777777" w:rsidR="00EB155A" w:rsidRDefault="00EB155A" w:rsidP="00EB155A">
      <w:pPr>
        <w:spacing w:after="0" w:line="240" w:lineRule="auto"/>
        <w:rPr>
          <w:rFonts w:ascii="Times New Roman" w:hAnsi="Times New Roman" w:cs="Times New Roman"/>
          <w:sz w:val="24"/>
          <w:szCs w:val="24"/>
        </w:rPr>
      </w:pPr>
    </w:p>
    <w:p w14:paraId="5AF6657F" w14:textId="77777777" w:rsidR="006A36EB" w:rsidRDefault="00540381" w:rsidP="00912991">
      <w:pPr>
        <w:spacing w:after="0" w:line="240" w:lineRule="auto"/>
        <w:rPr>
          <w:rFonts w:ascii="Times New Roman" w:hAnsi="Times New Roman" w:cs="Times New Roman"/>
          <w:sz w:val="24"/>
          <w:szCs w:val="24"/>
        </w:rPr>
      </w:pPr>
      <w:r>
        <w:rPr>
          <w:rFonts w:ascii="Times New Roman" w:hAnsi="Times New Roman" w:cs="Times New Roman"/>
          <w:sz w:val="24"/>
          <w:szCs w:val="24"/>
        </w:rPr>
        <w:t>With respect to developmental English, t</w:t>
      </w:r>
      <w:r w:rsidR="00912991" w:rsidRPr="00F05A1A">
        <w:rPr>
          <w:rFonts w:ascii="Times New Roman" w:hAnsi="Times New Roman" w:cs="Times New Roman"/>
          <w:sz w:val="24"/>
          <w:szCs w:val="24"/>
        </w:rPr>
        <w:t>his study focuses primarily on two comparisons:</w:t>
      </w:r>
      <w:r w:rsidR="00912991" w:rsidRPr="0072729B">
        <w:rPr>
          <w:rFonts w:ascii="Times New Roman" w:hAnsi="Times New Roman" w:cs="Times New Roman"/>
          <w:sz w:val="24"/>
          <w:szCs w:val="24"/>
        </w:rPr>
        <w:t xml:space="preserve">  Engl B60 versus Engl B53, and Engl B50 versus LRNC B510.</w:t>
      </w:r>
      <w:r w:rsidR="00912991" w:rsidRPr="00F05A1A">
        <w:rPr>
          <w:rFonts w:ascii="Times New Roman" w:hAnsi="Times New Roman" w:cs="Times New Roman"/>
          <w:sz w:val="24"/>
          <w:szCs w:val="24"/>
        </w:rPr>
        <w:t xml:space="preserve">  </w:t>
      </w:r>
      <w:r w:rsidR="00CF3ED0">
        <w:rPr>
          <w:rFonts w:ascii="Times New Roman" w:hAnsi="Times New Roman" w:cs="Times New Roman"/>
          <w:sz w:val="24"/>
          <w:szCs w:val="24"/>
        </w:rPr>
        <w:t xml:space="preserve">Engl B60 and Engl B53 </w:t>
      </w:r>
      <w:r w:rsidR="005C31C7">
        <w:rPr>
          <w:rFonts w:ascii="Times New Roman" w:hAnsi="Times New Roman" w:cs="Times New Roman"/>
          <w:sz w:val="24"/>
          <w:szCs w:val="24"/>
        </w:rPr>
        <w:t xml:space="preserve">both </w:t>
      </w:r>
      <w:r w:rsidR="00CF3ED0">
        <w:rPr>
          <w:rFonts w:ascii="Times New Roman" w:hAnsi="Times New Roman" w:cs="Times New Roman"/>
          <w:sz w:val="24"/>
          <w:szCs w:val="24"/>
        </w:rPr>
        <w:t>begin at the basic writing level</w:t>
      </w:r>
      <w:r w:rsidR="00F903A1">
        <w:rPr>
          <w:rFonts w:ascii="Times New Roman" w:hAnsi="Times New Roman" w:cs="Times New Roman"/>
          <w:sz w:val="24"/>
          <w:szCs w:val="24"/>
        </w:rPr>
        <w:t>, two levels below college composition</w:t>
      </w:r>
      <w:r w:rsidR="00CF3ED0">
        <w:rPr>
          <w:rFonts w:ascii="Times New Roman" w:hAnsi="Times New Roman" w:cs="Times New Roman"/>
          <w:sz w:val="24"/>
          <w:szCs w:val="24"/>
        </w:rPr>
        <w:t xml:space="preserve">.  Similarly, Engl B50 and LRNC B510 </w:t>
      </w:r>
      <w:r w:rsidR="00F903A1">
        <w:rPr>
          <w:rFonts w:ascii="Times New Roman" w:hAnsi="Times New Roman" w:cs="Times New Roman"/>
          <w:sz w:val="24"/>
          <w:szCs w:val="24"/>
        </w:rPr>
        <w:t xml:space="preserve">begin at the same level, one level below college composition.  </w:t>
      </w:r>
      <w:r w:rsidR="006A36EB">
        <w:rPr>
          <w:rFonts w:ascii="Times New Roman" w:hAnsi="Times New Roman" w:cs="Times New Roman"/>
          <w:sz w:val="24"/>
          <w:szCs w:val="24"/>
        </w:rPr>
        <w:t xml:space="preserve">The primary outcome of interest is the achievement of transfer-level English competency.  </w:t>
      </w:r>
      <w:r w:rsidR="00912991" w:rsidRPr="00F05A1A">
        <w:rPr>
          <w:rFonts w:ascii="Times New Roman" w:hAnsi="Times New Roman" w:cs="Times New Roman"/>
          <w:sz w:val="24"/>
          <w:szCs w:val="24"/>
        </w:rPr>
        <w:t xml:space="preserve">Note that, unlike </w:t>
      </w:r>
      <w:r w:rsidR="006A36EB">
        <w:rPr>
          <w:rFonts w:ascii="Times New Roman" w:hAnsi="Times New Roman" w:cs="Times New Roman"/>
          <w:sz w:val="24"/>
          <w:szCs w:val="24"/>
        </w:rPr>
        <w:t>some</w:t>
      </w:r>
      <w:r w:rsidR="00912991" w:rsidRPr="00F05A1A">
        <w:rPr>
          <w:rFonts w:ascii="Times New Roman" w:hAnsi="Times New Roman" w:cs="Times New Roman"/>
          <w:sz w:val="24"/>
          <w:szCs w:val="24"/>
        </w:rPr>
        <w:t xml:space="preserve"> of the analyses of developmental math</w:t>
      </w:r>
      <w:r w:rsidR="00912991" w:rsidRPr="0084703F">
        <w:rPr>
          <w:rFonts w:ascii="Times New Roman" w:hAnsi="Times New Roman" w:cs="Times New Roman"/>
          <w:sz w:val="24"/>
          <w:szCs w:val="24"/>
        </w:rPr>
        <w:t xml:space="preserve">, the analyses of developmental English are </w:t>
      </w:r>
      <w:r w:rsidR="00912991" w:rsidRPr="005C31C7">
        <w:rPr>
          <w:rFonts w:ascii="Times New Roman" w:hAnsi="Times New Roman" w:cs="Times New Roman"/>
          <w:i/>
          <w:sz w:val="24"/>
          <w:szCs w:val="24"/>
        </w:rPr>
        <w:t>not</w:t>
      </w:r>
      <w:r w:rsidR="00912991" w:rsidRPr="00F05A1A">
        <w:rPr>
          <w:rFonts w:ascii="Times New Roman" w:hAnsi="Times New Roman" w:cs="Times New Roman"/>
          <w:sz w:val="24"/>
          <w:szCs w:val="24"/>
        </w:rPr>
        <w:t xml:space="preserve"> limited to transfer-seeking students</w:t>
      </w:r>
      <w:r w:rsidR="00912991" w:rsidRPr="0084703F">
        <w:rPr>
          <w:rFonts w:ascii="Times New Roman" w:hAnsi="Times New Roman" w:cs="Times New Roman"/>
          <w:sz w:val="24"/>
          <w:szCs w:val="24"/>
        </w:rPr>
        <w:t>.  This is because the courses that satisfy Engli</w:t>
      </w:r>
      <w:r w:rsidR="00912991" w:rsidRPr="00540381">
        <w:rPr>
          <w:rFonts w:ascii="Times New Roman" w:hAnsi="Times New Roman" w:cs="Times New Roman"/>
          <w:sz w:val="24"/>
          <w:szCs w:val="24"/>
        </w:rPr>
        <w:t xml:space="preserve">sh competency requirements for an associate’s degree at BC also satisfy key English competency requirements for transfer.  </w:t>
      </w:r>
    </w:p>
    <w:p w14:paraId="5F83FA61" w14:textId="77777777" w:rsidR="006A36EB" w:rsidRDefault="006A36EB" w:rsidP="00912991">
      <w:pPr>
        <w:spacing w:after="0" w:line="240" w:lineRule="auto"/>
        <w:rPr>
          <w:rFonts w:ascii="Times New Roman" w:hAnsi="Times New Roman" w:cs="Times New Roman"/>
          <w:sz w:val="24"/>
          <w:szCs w:val="24"/>
        </w:rPr>
      </w:pPr>
    </w:p>
    <w:p w14:paraId="7C024E1C" w14:textId="6F17D446" w:rsidR="006A36EB" w:rsidRDefault="006A36EB" w:rsidP="009129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much of this report focuses on comparisons between </w:t>
      </w:r>
      <w:r w:rsidR="00A85082">
        <w:rPr>
          <w:rFonts w:ascii="Times New Roman" w:hAnsi="Times New Roman" w:cs="Times New Roman"/>
          <w:sz w:val="24"/>
          <w:szCs w:val="24"/>
        </w:rPr>
        <w:t xml:space="preserve">students placed in one </w:t>
      </w:r>
      <w:r>
        <w:rPr>
          <w:rFonts w:ascii="Times New Roman" w:hAnsi="Times New Roman" w:cs="Times New Roman"/>
          <w:sz w:val="24"/>
          <w:szCs w:val="24"/>
        </w:rPr>
        <w:t xml:space="preserve">developmental math </w:t>
      </w:r>
      <w:r w:rsidR="00F34AE8">
        <w:rPr>
          <w:rFonts w:ascii="Times New Roman" w:hAnsi="Times New Roman" w:cs="Times New Roman"/>
          <w:sz w:val="24"/>
          <w:szCs w:val="24"/>
        </w:rPr>
        <w:t xml:space="preserve">or English </w:t>
      </w:r>
      <w:r w:rsidR="00A85082">
        <w:rPr>
          <w:rFonts w:ascii="Times New Roman" w:hAnsi="Times New Roman" w:cs="Times New Roman"/>
          <w:sz w:val="24"/>
          <w:szCs w:val="24"/>
        </w:rPr>
        <w:t xml:space="preserve">course versus another, the final section of the report expands these comparisons to consider transfer-level courses as well.  In particular, </w:t>
      </w:r>
      <w:r>
        <w:rPr>
          <w:rFonts w:ascii="Times New Roman" w:hAnsi="Times New Roman" w:cs="Times New Roman"/>
          <w:sz w:val="24"/>
          <w:szCs w:val="24"/>
        </w:rPr>
        <w:t xml:space="preserve">the educational outcomes of students entering the curriculum through the focal developmental courses are </w:t>
      </w:r>
      <w:r>
        <w:rPr>
          <w:rFonts w:ascii="Times New Roman" w:hAnsi="Times New Roman" w:cs="Times New Roman"/>
          <w:sz w:val="24"/>
          <w:szCs w:val="24"/>
        </w:rPr>
        <w:lastRenderedPageBreak/>
        <w:t xml:space="preserve">compared with the outcomes of students who have similar levels of high school achievement but who </w:t>
      </w:r>
      <w:r w:rsidR="00AA1E25">
        <w:rPr>
          <w:rFonts w:ascii="Times New Roman" w:hAnsi="Times New Roman" w:cs="Times New Roman"/>
          <w:sz w:val="24"/>
          <w:szCs w:val="24"/>
        </w:rPr>
        <w:t>entered the curriculum through</w:t>
      </w:r>
      <w:r>
        <w:rPr>
          <w:rFonts w:ascii="Times New Roman" w:hAnsi="Times New Roman" w:cs="Times New Roman"/>
          <w:sz w:val="24"/>
          <w:szCs w:val="24"/>
        </w:rPr>
        <w:t xml:space="preserve"> transfer-level courses.</w:t>
      </w:r>
    </w:p>
    <w:p w14:paraId="5CF96EAF" w14:textId="77777777" w:rsidR="00912991" w:rsidRDefault="00912991" w:rsidP="00EB155A">
      <w:pPr>
        <w:spacing w:after="0" w:line="240" w:lineRule="auto"/>
        <w:rPr>
          <w:rFonts w:ascii="Times New Roman" w:hAnsi="Times New Roman" w:cs="Times New Roman"/>
          <w:sz w:val="24"/>
          <w:szCs w:val="24"/>
        </w:rPr>
      </w:pPr>
    </w:p>
    <w:p w14:paraId="79ECEF1D" w14:textId="12043219" w:rsidR="00EB155A" w:rsidRPr="007A3580" w:rsidRDefault="00EB155A" w:rsidP="00EB155A">
      <w:pPr>
        <w:spacing w:after="0" w:line="240" w:lineRule="auto"/>
        <w:rPr>
          <w:rFonts w:ascii="Times New Roman" w:hAnsi="Times New Roman" w:cs="Times New Roman"/>
          <w:sz w:val="24"/>
          <w:szCs w:val="24"/>
        </w:rPr>
      </w:pPr>
      <w:r w:rsidRPr="00850B1D">
        <w:rPr>
          <w:rFonts w:ascii="Times New Roman" w:hAnsi="Times New Roman" w:cs="Times New Roman"/>
          <w:sz w:val="24"/>
          <w:szCs w:val="24"/>
        </w:rPr>
        <w:t xml:space="preserve">Section </w:t>
      </w:r>
      <w:r w:rsidR="005C31C7" w:rsidRPr="00850B1D">
        <w:rPr>
          <w:rFonts w:ascii="Times New Roman" w:hAnsi="Times New Roman" w:cs="Times New Roman"/>
          <w:sz w:val="24"/>
          <w:szCs w:val="24"/>
        </w:rPr>
        <w:t>2</w:t>
      </w:r>
      <w:r w:rsidRPr="00850B1D">
        <w:rPr>
          <w:rFonts w:ascii="Times New Roman" w:hAnsi="Times New Roman" w:cs="Times New Roman"/>
          <w:sz w:val="24"/>
          <w:szCs w:val="24"/>
        </w:rPr>
        <w:t xml:space="preserve">, </w:t>
      </w:r>
      <w:r w:rsidR="00982D44" w:rsidRPr="00850B1D">
        <w:rPr>
          <w:rFonts w:ascii="Times New Roman" w:hAnsi="Times New Roman" w:cs="Times New Roman"/>
          <w:sz w:val="24"/>
          <w:szCs w:val="24"/>
        </w:rPr>
        <w:t xml:space="preserve">which follows, </w:t>
      </w:r>
      <w:r w:rsidRPr="00850B1D">
        <w:rPr>
          <w:rFonts w:ascii="Times New Roman" w:hAnsi="Times New Roman" w:cs="Times New Roman"/>
          <w:sz w:val="24"/>
          <w:szCs w:val="24"/>
        </w:rPr>
        <w:t>present</w:t>
      </w:r>
      <w:r w:rsidR="00850B1D" w:rsidRPr="00850B1D">
        <w:rPr>
          <w:rFonts w:ascii="Times New Roman" w:hAnsi="Times New Roman" w:cs="Times New Roman"/>
          <w:sz w:val="24"/>
          <w:szCs w:val="24"/>
        </w:rPr>
        <w:t>s</w:t>
      </w:r>
      <w:r w:rsidRPr="00850B1D">
        <w:rPr>
          <w:rFonts w:ascii="Times New Roman" w:hAnsi="Times New Roman" w:cs="Times New Roman"/>
          <w:sz w:val="24"/>
          <w:szCs w:val="24"/>
        </w:rPr>
        <w:t xml:space="preserve"> </w:t>
      </w:r>
      <w:r w:rsidR="00982D44" w:rsidRPr="00850B1D">
        <w:rPr>
          <w:rFonts w:ascii="Times New Roman" w:hAnsi="Times New Roman" w:cs="Times New Roman"/>
          <w:sz w:val="24"/>
          <w:szCs w:val="24"/>
        </w:rPr>
        <w:t>selected</w:t>
      </w:r>
      <w:r w:rsidRPr="00850B1D">
        <w:rPr>
          <w:rFonts w:ascii="Times New Roman" w:hAnsi="Times New Roman" w:cs="Times New Roman"/>
          <w:sz w:val="24"/>
          <w:szCs w:val="24"/>
        </w:rPr>
        <w:t xml:space="preserve"> terminology and definitions used in this report.  Section </w:t>
      </w:r>
      <w:r w:rsidR="005C31C7" w:rsidRPr="00850B1D">
        <w:rPr>
          <w:rFonts w:ascii="Times New Roman" w:hAnsi="Times New Roman" w:cs="Times New Roman"/>
          <w:sz w:val="24"/>
          <w:szCs w:val="24"/>
        </w:rPr>
        <w:t>3</w:t>
      </w:r>
      <w:r w:rsidR="00982D44" w:rsidRPr="00850B1D">
        <w:rPr>
          <w:rFonts w:ascii="Times New Roman" w:hAnsi="Times New Roman" w:cs="Times New Roman"/>
          <w:sz w:val="24"/>
          <w:szCs w:val="24"/>
        </w:rPr>
        <w:t xml:space="preserve"> </w:t>
      </w:r>
      <w:r w:rsidR="004A12A1" w:rsidRPr="0072729B">
        <w:rPr>
          <w:rFonts w:ascii="Times New Roman" w:hAnsi="Times New Roman" w:cs="Times New Roman"/>
          <w:sz w:val="24"/>
          <w:szCs w:val="24"/>
        </w:rPr>
        <w:t xml:space="preserve">offers </w:t>
      </w:r>
      <w:r w:rsidRPr="00850B1D">
        <w:rPr>
          <w:rFonts w:ascii="Times New Roman" w:hAnsi="Times New Roman" w:cs="Times New Roman"/>
          <w:sz w:val="24"/>
          <w:szCs w:val="24"/>
        </w:rPr>
        <w:t xml:space="preserve">a summary of </w:t>
      </w:r>
      <w:r w:rsidR="00B316C5" w:rsidRPr="00850B1D">
        <w:rPr>
          <w:rFonts w:ascii="Times New Roman" w:hAnsi="Times New Roman" w:cs="Times New Roman"/>
          <w:sz w:val="24"/>
          <w:szCs w:val="24"/>
        </w:rPr>
        <w:t xml:space="preserve">key findings of this study.  Section </w:t>
      </w:r>
      <w:r w:rsidR="00982D44" w:rsidRPr="00850B1D">
        <w:rPr>
          <w:rFonts w:ascii="Times New Roman" w:hAnsi="Times New Roman" w:cs="Times New Roman"/>
          <w:sz w:val="24"/>
          <w:szCs w:val="24"/>
        </w:rPr>
        <w:t>4</w:t>
      </w:r>
      <w:r w:rsidR="00B316C5" w:rsidRPr="00850B1D">
        <w:rPr>
          <w:rFonts w:ascii="Times New Roman" w:hAnsi="Times New Roman" w:cs="Times New Roman"/>
          <w:sz w:val="24"/>
          <w:szCs w:val="24"/>
        </w:rPr>
        <w:t xml:space="preserve"> describes</w:t>
      </w:r>
      <w:r w:rsidRPr="00850B1D">
        <w:rPr>
          <w:rFonts w:ascii="Times New Roman" w:hAnsi="Times New Roman" w:cs="Times New Roman"/>
          <w:sz w:val="24"/>
          <w:szCs w:val="24"/>
        </w:rPr>
        <w:t xml:space="preserve"> the data used in this study and </w:t>
      </w:r>
      <w:r w:rsidR="00AA1E25" w:rsidRPr="0072729B">
        <w:rPr>
          <w:rFonts w:ascii="Times New Roman" w:hAnsi="Times New Roman" w:cs="Times New Roman"/>
          <w:sz w:val="24"/>
          <w:szCs w:val="24"/>
        </w:rPr>
        <w:t xml:space="preserve">the </w:t>
      </w:r>
      <w:r w:rsidRPr="00850B1D">
        <w:rPr>
          <w:rFonts w:ascii="Times New Roman" w:hAnsi="Times New Roman" w:cs="Times New Roman"/>
          <w:sz w:val="24"/>
          <w:szCs w:val="24"/>
        </w:rPr>
        <w:t xml:space="preserve">samples that were the focus of the analyses.  Section </w:t>
      </w:r>
      <w:r w:rsidR="00982D44" w:rsidRPr="00850B1D">
        <w:rPr>
          <w:rFonts w:ascii="Times New Roman" w:hAnsi="Times New Roman" w:cs="Times New Roman"/>
          <w:sz w:val="24"/>
          <w:szCs w:val="24"/>
        </w:rPr>
        <w:t>5</w:t>
      </w:r>
      <w:r w:rsidRPr="00850B1D">
        <w:rPr>
          <w:rFonts w:ascii="Times New Roman" w:hAnsi="Times New Roman" w:cs="Times New Roman"/>
          <w:sz w:val="24"/>
          <w:szCs w:val="24"/>
        </w:rPr>
        <w:t xml:space="preserve"> presents the results of the analysis of developmental math.  The first subsection of Section </w:t>
      </w:r>
      <w:r w:rsidR="00982D44" w:rsidRPr="00850B1D">
        <w:rPr>
          <w:rFonts w:ascii="Times New Roman" w:hAnsi="Times New Roman" w:cs="Times New Roman"/>
          <w:sz w:val="24"/>
          <w:szCs w:val="24"/>
        </w:rPr>
        <w:t>5</w:t>
      </w:r>
      <w:r w:rsidRPr="00850B1D">
        <w:rPr>
          <w:rFonts w:ascii="Times New Roman" w:hAnsi="Times New Roman" w:cs="Times New Roman"/>
          <w:sz w:val="24"/>
          <w:szCs w:val="24"/>
        </w:rPr>
        <w:t xml:space="preserve"> describes the focus of the analysis, and each subsequent subsection poses a series of research questions and then seeks to answer these questions.  Section </w:t>
      </w:r>
      <w:r w:rsidR="00982D44" w:rsidRPr="00850B1D">
        <w:rPr>
          <w:rFonts w:ascii="Times New Roman" w:hAnsi="Times New Roman" w:cs="Times New Roman"/>
          <w:sz w:val="24"/>
          <w:szCs w:val="24"/>
        </w:rPr>
        <w:t>6</w:t>
      </w:r>
      <w:r w:rsidRPr="00850B1D">
        <w:rPr>
          <w:rFonts w:ascii="Times New Roman" w:hAnsi="Times New Roman" w:cs="Times New Roman"/>
          <w:sz w:val="24"/>
          <w:szCs w:val="24"/>
        </w:rPr>
        <w:t xml:space="preserve"> presents the results of the analysis of developmental English and is organized in a manner similar to Section </w:t>
      </w:r>
      <w:r w:rsidR="00982D44" w:rsidRPr="00850B1D">
        <w:rPr>
          <w:rFonts w:ascii="Times New Roman" w:hAnsi="Times New Roman" w:cs="Times New Roman"/>
          <w:sz w:val="24"/>
          <w:szCs w:val="24"/>
        </w:rPr>
        <w:t>5</w:t>
      </w:r>
      <w:r w:rsidRPr="00850B1D">
        <w:rPr>
          <w:rFonts w:ascii="Times New Roman" w:hAnsi="Times New Roman" w:cs="Times New Roman"/>
          <w:sz w:val="24"/>
          <w:szCs w:val="24"/>
        </w:rPr>
        <w:t xml:space="preserve">.  </w:t>
      </w:r>
      <w:r w:rsidR="00B316C5" w:rsidRPr="00850B1D">
        <w:rPr>
          <w:rFonts w:ascii="Times New Roman" w:hAnsi="Times New Roman" w:cs="Times New Roman"/>
          <w:sz w:val="24"/>
          <w:szCs w:val="24"/>
        </w:rPr>
        <w:t xml:space="preserve">Section </w:t>
      </w:r>
      <w:r w:rsidR="00641DBB" w:rsidRPr="0072729B">
        <w:rPr>
          <w:rFonts w:ascii="Times New Roman" w:hAnsi="Times New Roman" w:cs="Times New Roman"/>
          <w:sz w:val="24"/>
          <w:szCs w:val="24"/>
        </w:rPr>
        <w:t>7</w:t>
      </w:r>
      <w:r w:rsidR="00D872D4" w:rsidRPr="0072729B">
        <w:rPr>
          <w:rFonts w:ascii="Times New Roman" w:hAnsi="Times New Roman" w:cs="Times New Roman"/>
          <w:sz w:val="24"/>
          <w:szCs w:val="24"/>
        </w:rPr>
        <w:t xml:space="preserve"> presents analys</w:t>
      </w:r>
      <w:r w:rsidR="00AA4A9A">
        <w:rPr>
          <w:rFonts w:ascii="Times New Roman" w:hAnsi="Times New Roman" w:cs="Times New Roman"/>
          <w:sz w:val="24"/>
          <w:szCs w:val="24"/>
        </w:rPr>
        <w:t>e</w:t>
      </w:r>
      <w:r w:rsidR="00D872D4" w:rsidRPr="0072729B">
        <w:rPr>
          <w:rFonts w:ascii="Times New Roman" w:hAnsi="Times New Roman" w:cs="Times New Roman"/>
          <w:sz w:val="24"/>
          <w:szCs w:val="24"/>
        </w:rPr>
        <w:t xml:space="preserve">s of the </w:t>
      </w:r>
      <w:r w:rsidR="00AA4A9A">
        <w:rPr>
          <w:rFonts w:ascii="Times New Roman" w:hAnsi="Times New Roman" w:cs="Times New Roman"/>
          <w:sz w:val="24"/>
          <w:szCs w:val="24"/>
        </w:rPr>
        <w:t>outcomes</w:t>
      </w:r>
      <w:r w:rsidR="00D872D4" w:rsidRPr="0072729B">
        <w:rPr>
          <w:rFonts w:ascii="Times New Roman" w:hAnsi="Times New Roman" w:cs="Times New Roman"/>
          <w:sz w:val="24"/>
          <w:szCs w:val="24"/>
        </w:rPr>
        <w:t xml:space="preserve"> of </w:t>
      </w:r>
      <w:r w:rsidR="00AA4A9A">
        <w:rPr>
          <w:rFonts w:ascii="Times New Roman" w:hAnsi="Times New Roman" w:cs="Times New Roman"/>
          <w:sz w:val="24"/>
          <w:szCs w:val="24"/>
        </w:rPr>
        <w:t xml:space="preserve">for </w:t>
      </w:r>
      <w:r w:rsidR="00D872D4" w:rsidRPr="0072729B">
        <w:rPr>
          <w:rFonts w:ascii="Times New Roman" w:hAnsi="Times New Roman" w:cs="Times New Roman"/>
          <w:sz w:val="24"/>
          <w:szCs w:val="24"/>
        </w:rPr>
        <w:t xml:space="preserve">students </w:t>
      </w:r>
      <w:r w:rsidR="00426511">
        <w:rPr>
          <w:rFonts w:ascii="Times New Roman" w:hAnsi="Times New Roman" w:cs="Times New Roman"/>
          <w:sz w:val="24"/>
          <w:szCs w:val="24"/>
        </w:rPr>
        <w:t>entering the curriculum</w:t>
      </w:r>
      <w:r w:rsidR="00AA4A9A">
        <w:rPr>
          <w:rFonts w:ascii="Times New Roman" w:hAnsi="Times New Roman" w:cs="Times New Roman"/>
          <w:sz w:val="24"/>
          <w:szCs w:val="24"/>
        </w:rPr>
        <w:t xml:space="preserve"> </w:t>
      </w:r>
      <w:r w:rsidR="00426511">
        <w:rPr>
          <w:rFonts w:ascii="Times New Roman" w:hAnsi="Times New Roman" w:cs="Times New Roman"/>
          <w:sz w:val="24"/>
          <w:szCs w:val="24"/>
        </w:rPr>
        <w:t xml:space="preserve">through </w:t>
      </w:r>
      <w:r w:rsidR="00D872D4" w:rsidRPr="0072729B">
        <w:rPr>
          <w:rFonts w:ascii="Times New Roman" w:hAnsi="Times New Roman" w:cs="Times New Roman"/>
          <w:sz w:val="24"/>
          <w:szCs w:val="24"/>
        </w:rPr>
        <w:t xml:space="preserve">developmental versus transfer-level coursework, once differences </w:t>
      </w:r>
      <w:r w:rsidR="00AA4A9A">
        <w:rPr>
          <w:rFonts w:ascii="Times New Roman" w:hAnsi="Times New Roman" w:cs="Times New Roman"/>
          <w:sz w:val="24"/>
          <w:szCs w:val="24"/>
        </w:rPr>
        <w:t xml:space="preserve">between students </w:t>
      </w:r>
      <w:r w:rsidR="00D872D4" w:rsidRPr="0072729B">
        <w:rPr>
          <w:rFonts w:ascii="Times New Roman" w:hAnsi="Times New Roman" w:cs="Times New Roman"/>
          <w:sz w:val="24"/>
          <w:szCs w:val="24"/>
        </w:rPr>
        <w:t>in high school achievement and other characteristics are taken into account</w:t>
      </w:r>
      <w:r w:rsidR="00D872D4" w:rsidRPr="00850B1D">
        <w:rPr>
          <w:rFonts w:ascii="Times New Roman" w:hAnsi="Times New Roman" w:cs="Times New Roman"/>
          <w:sz w:val="24"/>
          <w:szCs w:val="24"/>
        </w:rPr>
        <w:t xml:space="preserve">. </w:t>
      </w:r>
      <w:r w:rsidR="00B316C5" w:rsidRPr="00850B1D">
        <w:rPr>
          <w:rFonts w:ascii="Times New Roman" w:hAnsi="Times New Roman" w:cs="Times New Roman"/>
          <w:sz w:val="24"/>
          <w:szCs w:val="24"/>
        </w:rPr>
        <w:t xml:space="preserve"> </w:t>
      </w:r>
      <w:r w:rsidRPr="00850B1D">
        <w:rPr>
          <w:rFonts w:ascii="Times New Roman" w:hAnsi="Times New Roman" w:cs="Times New Roman"/>
          <w:sz w:val="24"/>
          <w:szCs w:val="24"/>
        </w:rPr>
        <w:t xml:space="preserve">Section </w:t>
      </w:r>
      <w:r w:rsidR="00641DBB" w:rsidRPr="00850B1D">
        <w:rPr>
          <w:rFonts w:ascii="Times New Roman" w:hAnsi="Times New Roman" w:cs="Times New Roman"/>
          <w:sz w:val="24"/>
          <w:szCs w:val="24"/>
        </w:rPr>
        <w:t>8</w:t>
      </w:r>
      <w:r w:rsidRPr="00850B1D">
        <w:rPr>
          <w:rFonts w:ascii="Times New Roman" w:hAnsi="Times New Roman" w:cs="Times New Roman"/>
          <w:sz w:val="24"/>
          <w:szCs w:val="24"/>
        </w:rPr>
        <w:t xml:space="preserve"> provides references for works cited.  </w:t>
      </w:r>
      <w:r w:rsidR="00B316C5" w:rsidRPr="00850B1D">
        <w:rPr>
          <w:rFonts w:ascii="Times New Roman" w:hAnsi="Times New Roman" w:cs="Times New Roman"/>
          <w:sz w:val="24"/>
          <w:szCs w:val="24"/>
        </w:rPr>
        <w:t xml:space="preserve">Section </w:t>
      </w:r>
      <w:r w:rsidR="00641DBB" w:rsidRPr="00850B1D">
        <w:rPr>
          <w:rFonts w:ascii="Times New Roman" w:hAnsi="Times New Roman" w:cs="Times New Roman"/>
          <w:sz w:val="24"/>
          <w:szCs w:val="24"/>
        </w:rPr>
        <w:t>9</w:t>
      </w:r>
      <w:r w:rsidR="00B316C5" w:rsidRPr="00850B1D">
        <w:rPr>
          <w:rFonts w:ascii="Times New Roman" w:hAnsi="Times New Roman" w:cs="Times New Roman"/>
          <w:sz w:val="24"/>
          <w:szCs w:val="24"/>
        </w:rPr>
        <w:t xml:space="preserve"> contains </w:t>
      </w:r>
      <w:r w:rsidR="003F5F4C" w:rsidRPr="00850B1D">
        <w:rPr>
          <w:rFonts w:ascii="Times New Roman" w:hAnsi="Times New Roman" w:cs="Times New Roman"/>
          <w:sz w:val="24"/>
          <w:szCs w:val="24"/>
        </w:rPr>
        <w:t>all</w:t>
      </w:r>
      <w:r w:rsidR="00AA4A9A">
        <w:rPr>
          <w:rFonts w:ascii="Times New Roman" w:hAnsi="Times New Roman" w:cs="Times New Roman"/>
          <w:sz w:val="24"/>
          <w:szCs w:val="24"/>
        </w:rPr>
        <w:t xml:space="preserve"> of the</w:t>
      </w:r>
      <w:r w:rsidR="003F5F4C" w:rsidRPr="00850B1D">
        <w:rPr>
          <w:rFonts w:ascii="Times New Roman" w:hAnsi="Times New Roman" w:cs="Times New Roman"/>
          <w:sz w:val="24"/>
          <w:szCs w:val="24"/>
        </w:rPr>
        <w:t xml:space="preserve"> </w:t>
      </w:r>
      <w:r w:rsidRPr="00850B1D">
        <w:rPr>
          <w:rFonts w:ascii="Times New Roman" w:hAnsi="Times New Roman" w:cs="Times New Roman"/>
          <w:sz w:val="24"/>
          <w:szCs w:val="24"/>
        </w:rPr>
        <w:t xml:space="preserve">tables </w:t>
      </w:r>
      <w:r w:rsidR="00B316C5" w:rsidRPr="00850B1D">
        <w:rPr>
          <w:rFonts w:ascii="Times New Roman" w:hAnsi="Times New Roman" w:cs="Times New Roman"/>
          <w:sz w:val="24"/>
          <w:szCs w:val="24"/>
        </w:rPr>
        <w:t xml:space="preserve">mentioned </w:t>
      </w:r>
      <w:r w:rsidRPr="00850B1D">
        <w:rPr>
          <w:rFonts w:ascii="Times New Roman" w:hAnsi="Times New Roman" w:cs="Times New Roman"/>
          <w:sz w:val="24"/>
          <w:szCs w:val="24"/>
        </w:rPr>
        <w:t>in the report.</w:t>
      </w:r>
    </w:p>
    <w:p w14:paraId="119E2D77" w14:textId="77777777" w:rsidR="00EB155A" w:rsidRDefault="00EB155A" w:rsidP="00EB155A">
      <w:pPr>
        <w:spacing w:after="0" w:line="240" w:lineRule="auto"/>
        <w:rPr>
          <w:rFonts w:ascii="Times New Roman" w:hAnsi="Times New Roman" w:cs="Times New Roman"/>
          <w:sz w:val="24"/>
          <w:szCs w:val="24"/>
        </w:rPr>
      </w:pPr>
    </w:p>
    <w:p w14:paraId="62CD85A3" w14:textId="4DCD80D8" w:rsidR="007D7CE2" w:rsidRPr="0072729B" w:rsidRDefault="007D7CE2" w:rsidP="00EB155A">
      <w:pPr>
        <w:spacing w:after="0" w:line="240" w:lineRule="auto"/>
        <w:rPr>
          <w:rFonts w:ascii="Times New Roman" w:hAnsi="Times New Roman" w:cs="Times New Roman"/>
          <w:b/>
          <w:sz w:val="24"/>
          <w:szCs w:val="24"/>
        </w:rPr>
      </w:pPr>
      <w:r w:rsidRPr="0072729B">
        <w:rPr>
          <w:rFonts w:ascii="Times New Roman" w:hAnsi="Times New Roman" w:cs="Times New Roman"/>
          <w:b/>
          <w:sz w:val="24"/>
          <w:szCs w:val="24"/>
        </w:rPr>
        <w:t xml:space="preserve">SECTION </w:t>
      </w:r>
      <w:r w:rsidR="00F34AE8">
        <w:rPr>
          <w:rFonts w:ascii="Times New Roman" w:hAnsi="Times New Roman" w:cs="Times New Roman"/>
          <w:b/>
          <w:sz w:val="24"/>
          <w:szCs w:val="24"/>
        </w:rPr>
        <w:t>2</w:t>
      </w:r>
      <w:r w:rsidRPr="0072729B">
        <w:rPr>
          <w:rFonts w:ascii="Times New Roman" w:hAnsi="Times New Roman" w:cs="Times New Roman"/>
          <w:b/>
          <w:sz w:val="24"/>
          <w:szCs w:val="24"/>
        </w:rPr>
        <w:t xml:space="preserve">:  </w:t>
      </w:r>
      <w:r w:rsidR="00E85296">
        <w:rPr>
          <w:rFonts w:ascii="Times New Roman" w:hAnsi="Times New Roman" w:cs="Times New Roman"/>
          <w:b/>
          <w:sz w:val="24"/>
          <w:szCs w:val="24"/>
        </w:rPr>
        <w:t>SELECTED</w:t>
      </w:r>
      <w:r w:rsidR="00F903A1">
        <w:rPr>
          <w:rFonts w:ascii="Times New Roman" w:hAnsi="Times New Roman" w:cs="Times New Roman"/>
          <w:b/>
          <w:sz w:val="24"/>
          <w:szCs w:val="24"/>
        </w:rPr>
        <w:t xml:space="preserve"> </w:t>
      </w:r>
      <w:r w:rsidRPr="0072729B">
        <w:rPr>
          <w:rFonts w:ascii="Times New Roman" w:hAnsi="Times New Roman" w:cs="Times New Roman"/>
          <w:b/>
          <w:sz w:val="24"/>
          <w:szCs w:val="24"/>
        </w:rPr>
        <w:t>TERMINOLOGY</w:t>
      </w:r>
    </w:p>
    <w:p w14:paraId="76625165" w14:textId="77777777" w:rsidR="007D7CE2" w:rsidRDefault="007D7CE2" w:rsidP="00EB155A">
      <w:pPr>
        <w:spacing w:after="0" w:line="240" w:lineRule="auto"/>
        <w:rPr>
          <w:rFonts w:ascii="Times New Roman" w:hAnsi="Times New Roman" w:cs="Times New Roman"/>
          <w:sz w:val="24"/>
          <w:szCs w:val="24"/>
        </w:rPr>
      </w:pPr>
    </w:p>
    <w:p w14:paraId="61EA6F2F" w14:textId="77777777" w:rsidR="00F903A1" w:rsidRPr="002E5719" w:rsidRDefault="00F903A1" w:rsidP="00F903A1">
      <w:pPr>
        <w:spacing w:after="0" w:line="240" w:lineRule="auto"/>
        <w:rPr>
          <w:rFonts w:ascii="Times New Roman" w:hAnsi="Times New Roman" w:cs="Times New Roman"/>
          <w:sz w:val="24"/>
          <w:szCs w:val="24"/>
          <w:u w:val="single"/>
        </w:rPr>
      </w:pPr>
      <w:r w:rsidRPr="002E5719">
        <w:rPr>
          <w:rFonts w:ascii="Times New Roman" w:hAnsi="Times New Roman" w:cs="Times New Roman"/>
          <w:sz w:val="24"/>
          <w:szCs w:val="24"/>
          <w:u w:val="single"/>
        </w:rPr>
        <w:t>Terminology Pertaining to Students’ Behavior</w:t>
      </w:r>
    </w:p>
    <w:p w14:paraId="79B843D3" w14:textId="77777777" w:rsidR="00F903A1" w:rsidRDefault="00F903A1" w:rsidP="00F903A1">
      <w:pPr>
        <w:spacing w:after="0" w:line="240" w:lineRule="auto"/>
        <w:rPr>
          <w:rFonts w:ascii="Times New Roman" w:hAnsi="Times New Roman" w:cs="Times New Roman"/>
          <w:sz w:val="24"/>
          <w:szCs w:val="24"/>
        </w:rPr>
      </w:pPr>
    </w:p>
    <w:p w14:paraId="2D0EE91E" w14:textId="5FD4B310" w:rsidR="00F903A1" w:rsidRDefault="00F903A1" w:rsidP="004A12A1">
      <w:pPr>
        <w:spacing w:after="0" w:line="240" w:lineRule="auto"/>
        <w:ind w:left="360"/>
        <w:rPr>
          <w:rFonts w:ascii="Times New Roman" w:hAnsi="Times New Roman" w:cs="Times New Roman"/>
          <w:sz w:val="24"/>
          <w:szCs w:val="24"/>
        </w:rPr>
      </w:pPr>
      <w:r w:rsidRPr="0072729B">
        <w:rPr>
          <w:rFonts w:ascii="Times New Roman" w:hAnsi="Times New Roman" w:cs="Times New Roman"/>
          <w:i/>
          <w:sz w:val="24"/>
          <w:szCs w:val="24"/>
        </w:rPr>
        <w:t>Delay</w:t>
      </w:r>
      <w:r>
        <w:rPr>
          <w:rFonts w:ascii="Times New Roman" w:hAnsi="Times New Roman" w:cs="Times New Roman"/>
          <w:sz w:val="24"/>
          <w:szCs w:val="24"/>
        </w:rPr>
        <w:t xml:space="preserve"> ― the postponement of a student’s first math or English course until after the student’s first term in </w:t>
      </w:r>
      <w:r w:rsidR="0034666C">
        <w:rPr>
          <w:rFonts w:ascii="Times New Roman" w:hAnsi="Times New Roman" w:cs="Times New Roman"/>
          <w:sz w:val="24"/>
          <w:szCs w:val="24"/>
        </w:rPr>
        <w:t>Bakersfield C</w:t>
      </w:r>
      <w:r>
        <w:rPr>
          <w:rFonts w:ascii="Times New Roman" w:hAnsi="Times New Roman" w:cs="Times New Roman"/>
          <w:sz w:val="24"/>
          <w:szCs w:val="24"/>
        </w:rPr>
        <w:t>ollege</w:t>
      </w:r>
    </w:p>
    <w:p w14:paraId="3011FA4B" w14:textId="77777777" w:rsidR="00F903A1" w:rsidRDefault="00F903A1" w:rsidP="004A12A1">
      <w:pPr>
        <w:spacing w:after="0" w:line="240" w:lineRule="auto"/>
        <w:ind w:left="360"/>
        <w:rPr>
          <w:rFonts w:ascii="Times New Roman" w:hAnsi="Times New Roman" w:cs="Times New Roman"/>
          <w:sz w:val="24"/>
          <w:szCs w:val="24"/>
        </w:rPr>
      </w:pPr>
    </w:p>
    <w:p w14:paraId="1AA036D0" w14:textId="6897D7E7" w:rsidR="007157B8" w:rsidRDefault="007157B8" w:rsidP="004A12A1">
      <w:pPr>
        <w:spacing w:after="0" w:line="240" w:lineRule="auto"/>
        <w:ind w:left="360"/>
        <w:rPr>
          <w:rFonts w:ascii="Times New Roman" w:hAnsi="Times New Roman" w:cs="Times New Roman"/>
          <w:sz w:val="24"/>
          <w:szCs w:val="24"/>
        </w:rPr>
      </w:pPr>
      <w:r>
        <w:rPr>
          <w:rFonts w:ascii="Times New Roman" w:hAnsi="Times New Roman" w:cs="Times New Roman"/>
          <w:i/>
          <w:sz w:val="24"/>
          <w:szCs w:val="24"/>
        </w:rPr>
        <w:t xml:space="preserve">Developmental Math/English </w:t>
      </w:r>
      <w:r w:rsidRPr="000205A6">
        <w:rPr>
          <w:rFonts w:ascii="Times New Roman" w:hAnsi="Times New Roman" w:cs="Times New Roman"/>
          <w:i/>
          <w:sz w:val="24"/>
          <w:szCs w:val="24"/>
        </w:rPr>
        <w:t>Pathway</w:t>
      </w:r>
      <w:r>
        <w:rPr>
          <w:rFonts w:ascii="Times New Roman" w:hAnsi="Times New Roman" w:cs="Times New Roman"/>
          <w:sz w:val="24"/>
          <w:szCs w:val="24"/>
        </w:rPr>
        <w:t xml:space="preserve"> </w:t>
      </w:r>
      <w:r>
        <w:rPr>
          <w:rFonts w:ascii="Times New Roman" w:hAnsi="Times New Roman" w:cs="Times New Roman"/>
          <w:sz w:val="24"/>
          <w:szCs w:val="24"/>
        </w:rPr>
        <w:softHyphen/>
        <w:t xml:space="preserve">― the combination of a first developmental math/English course attempted by a student, the outcome of the first attempt of that course (successful versus unsuccessful), and a second math/English course attempted by the student, including repeating the first course if necessary </w:t>
      </w:r>
    </w:p>
    <w:p w14:paraId="0F63843C" w14:textId="77777777" w:rsidR="007157B8" w:rsidRDefault="007157B8" w:rsidP="004A12A1">
      <w:pPr>
        <w:spacing w:after="0" w:line="240" w:lineRule="auto"/>
        <w:ind w:left="360"/>
        <w:rPr>
          <w:rFonts w:ascii="Times New Roman" w:hAnsi="Times New Roman" w:cs="Times New Roman"/>
          <w:i/>
          <w:sz w:val="24"/>
          <w:szCs w:val="24"/>
        </w:rPr>
      </w:pPr>
    </w:p>
    <w:p w14:paraId="741D0654" w14:textId="43A6B895" w:rsidR="007157B8" w:rsidRDefault="007157B8" w:rsidP="004A12A1">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Point of Entry</w:t>
      </w:r>
      <w:r w:rsidRPr="0072729B">
        <w:rPr>
          <w:rFonts w:ascii="Times New Roman" w:hAnsi="Times New Roman" w:cs="Times New Roman"/>
          <w:sz w:val="24"/>
          <w:szCs w:val="24"/>
        </w:rPr>
        <w:t xml:space="preserve"> ― the </w:t>
      </w:r>
      <w:r>
        <w:rPr>
          <w:rFonts w:ascii="Times New Roman" w:hAnsi="Times New Roman" w:cs="Times New Roman"/>
          <w:sz w:val="24"/>
          <w:szCs w:val="24"/>
        </w:rPr>
        <w:t>first math/English course attempted by a student</w:t>
      </w:r>
    </w:p>
    <w:p w14:paraId="1888A879" w14:textId="77777777" w:rsidR="007157B8" w:rsidRDefault="007157B8" w:rsidP="004A12A1">
      <w:pPr>
        <w:spacing w:after="0" w:line="240" w:lineRule="auto"/>
        <w:ind w:left="360"/>
        <w:rPr>
          <w:rFonts w:ascii="Times New Roman" w:hAnsi="Times New Roman" w:cs="Times New Roman"/>
          <w:i/>
          <w:sz w:val="24"/>
          <w:szCs w:val="24"/>
        </w:rPr>
      </w:pPr>
    </w:p>
    <w:p w14:paraId="407FB6E1" w14:textId="346C2F90" w:rsidR="00E85296" w:rsidRDefault="00E85296" w:rsidP="004A12A1">
      <w:pPr>
        <w:spacing w:after="0" w:line="240" w:lineRule="auto"/>
        <w:ind w:left="360"/>
        <w:rPr>
          <w:rFonts w:ascii="Times New Roman" w:hAnsi="Times New Roman" w:cs="Times New Roman"/>
          <w:sz w:val="24"/>
          <w:szCs w:val="24"/>
        </w:rPr>
      </w:pPr>
      <w:r w:rsidRPr="002E5719">
        <w:rPr>
          <w:rFonts w:ascii="Times New Roman" w:hAnsi="Times New Roman" w:cs="Times New Roman"/>
          <w:i/>
          <w:sz w:val="24"/>
          <w:szCs w:val="24"/>
        </w:rPr>
        <w:t>Repeat</w:t>
      </w:r>
      <w:r>
        <w:rPr>
          <w:rFonts w:ascii="Times New Roman" w:hAnsi="Times New Roman" w:cs="Times New Roman"/>
          <w:sz w:val="24"/>
          <w:szCs w:val="24"/>
        </w:rPr>
        <w:t xml:space="preserve"> ― attempting a given math or English course a</w:t>
      </w:r>
      <w:r w:rsidR="002E0177">
        <w:rPr>
          <w:rFonts w:ascii="Times New Roman" w:hAnsi="Times New Roman" w:cs="Times New Roman"/>
          <w:sz w:val="24"/>
          <w:szCs w:val="24"/>
        </w:rPr>
        <w:t>n additional</w:t>
      </w:r>
      <w:r>
        <w:rPr>
          <w:rFonts w:ascii="Times New Roman" w:hAnsi="Times New Roman" w:cs="Times New Roman"/>
          <w:sz w:val="24"/>
          <w:szCs w:val="24"/>
        </w:rPr>
        <w:t xml:space="preserve"> </w:t>
      </w:r>
      <w:r w:rsidR="0034666C">
        <w:rPr>
          <w:rFonts w:ascii="Times New Roman" w:hAnsi="Times New Roman" w:cs="Times New Roman"/>
          <w:sz w:val="24"/>
          <w:szCs w:val="24"/>
        </w:rPr>
        <w:t>(</w:t>
      </w:r>
      <w:r w:rsidR="002E0177">
        <w:rPr>
          <w:rFonts w:ascii="Times New Roman" w:hAnsi="Times New Roman" w:cs="Times New Roman"/>
          <w:sz w:val="24"/>
          <w:szCs w:val="24"/>
        </w:rPr>
        <w:t xml:space="preserve">second </w:t>
      </w:r>
      <w:r>
        <w:rPr>
          <w:rFonts w:ascii="Times New Roman" w:hAnsi="Times New Roman" w:cs="Times New Roman"/>
          <w:sz w:val="24"/>
          <w:szCs w:val="24"/>
        </w:rPr>
        <w:t>or third</w:t>
      </w:r>
      <w:r w:rsidR="0034666C">
        <w:rPr>
          <w:rFonts w:ascii="Times New Roman" w:hAnsi="Times New Roman" w:cs="Times New Roman"/>
          <w:sz w:val="24"/>
          <w:szCs w:val="24"/>
        </w:rPr>
        <w:t>)</w:t>
      </w:r>
      <w:r>
        <w:rPr>
          <w:rFonts w:ascii="Times New Roman" w:hAnsi="Times New Roman" w:cs="Times New Roman"/>
          <w:sz w:val="24"/>
          <w:szCs w:val="24"/>
        </w:rPr>
        <w:t xml:space="preserve"> time </w:t>
      </w:r>
      <w:r w:rsidR="0034666C">
        <w:rPr>
          <w:rFonts w:ascii="Times New Roman" w:hAnsi="Times New Roman" w:cs="Times New Roman"/>
          <w:sz w:val="24"/>
          <w:szCs w:val="24"/>
        </w:rPr>
        <w:t xml:space="preserve">after not passing </w:t>
      </w:r>
      <w:r>
        <w:rPr>
          <w:rFonts w:ascii="Times New Roman" w:hAnsi="Times New Roman" w:cs="Times New Roman"/>
          <w:sz w:val="24"/>
          <w:szCs w:val="24"/>
        </w:rPr>
        <w:t>i</w:t>
      </w:r>
      <w:r w:rsidR="0034666C">
        <w:rPr>
          <w:rFonts w:ascii="Times New Roman" w:hAnsi="Times New Roman" w:cs="Times New Roman"/>
          <w:sz w:val="24"/>
          <w:szCs w:val="24"/>
        </w:rPr>
        <w:t xml:space="preserve">t on the </w:t>
      </w:r>
      <w:r w:rsidR="002E0177">
        <w:rPr>
          <w:rFonts w:ascii="Times New Roman" w:hAnsi="Times New Roman" w:cs="Times New Roman"/>
          <w:sz w:val="24"/>
          <w:szCs w:val="24"/>
        </w:rPr>
        <w:t xml:space="preserve">previous </w:t>
      </w:r>
      <w:r w:rsidR="0034666C">
        <w:rPr>
          <w:rFonts w:ascii="Times New Roman" w:hAnsi="Times New Roman" w:cs="Times New Roman"/>
          <w:sz w:val="24"/>
          <w:szCs w:val="24"/>
        </w:rPr>
        <w:t>attempt</w:t>
      </w:r>
    </w:p>
    <w:p w14:paraId="7E97B1AC" w14:textId="77777777" w:rsidR="00E85296" w:rsidRDefault="00E85296" w:rsidP="004A12A1">
      <w:pPr>
        <w:spacing w:after="0" w:line="240" w:lineRule="auto"/>
        <w:ind w:left="360"/>
        <w:rPr>
          <w:rFonts w:ascii="Times New Roman" w:hAnsi="Times New Roman" w:cs="Times New Roman"/>
          <w:i/>
          <w:sz w:val="24"/>
          <w:szCs w:val="24"/>
        </w:rPr>
      </w:pPr>
    </w:p>
    <w:p w14:paraId="3CBBD348" w14:textId="7F09A0C5" w:rsidR="00F903A1" w:rsidRDefault="00F903A1" w:rsidP="004A12A1">
      <w:pPr>
        <w:spacing w:after="0" w:line="240" w:lineRule="auto"/>
        <w:ind w:left="360"/>
        <w:rPr>
          <w:rFonts w:ascii="Times New Roman" w:hAnsi="Times New Roman" w:cs="Times New Roman"/>
          <w:sz w:val="24"/>
          <w:szCs w:val="24"/>
        </w:rPr>
      </w:pPr>
      <w:r w:rsidRPr="0072729B">
        <w:rPr>
          <w:rFonts w:ascii="Times New Roman" w:hAnsi="Times New Roman" w:cs="Times New Roman"/>
          <w:i/>
          <w:sz w:val="24"/>
          <w:szCs w:val="24"/>
        </w:rPr>
        <w:t>Success</w:t>
      </w:r>
      <w:r>
        <w:rPr>
          <w:rFonts w:ascii="Times New Roman" w:hAnsi="Times New Roman" w:cs="Times New Roman"/>
          <w:sz w:val="24"/>
          <w:szCs w:val="24"/>
        </w:rPr>
        <w:t xml:space="preserve"> ― in the context of a student’s outcome in a course, achieving a grade of “C” or higher or a grade of “Pass”</w:t>
      </w:r>
    </w:p>
    <w:p w14:paraId="4686CF37" w14:textId="7F08D342" w:rsidR="00847657" w:rsidRDefault="00847657" w:rsidP="004A12A1">
      <w:pPr>
        <w:spacing w:after="0" w:line="240" w:lineRule="auto"/>
        <w:ind w:left="360"/>
        <w:rPr>
          <w:rFonts w:ascii="Times New Roman" w:hAnsi="Times New Roman" w:cs="Times New Roman"/>
          <w:sz w:val="24"/>
          <w:szCs w:val="24"/>
        </w:rPr>
      </w:pPr>
    </w:p>
    <w:p w14:paraId="6D56DAB0" w14:textId="77777777" w:rsidR="005A5444" w:rsidRDefault="005A5444" w:rsidP="004A12A1">
      <w:pPr>
        <w:spacing w:after="0" w:line="240" w:lineRule="auto"/>
        <w:ind w:left="360"/>
        <w:rPr>
          <w:rFonts w:ascii="Times New Roman" w:hAnsi="Times New Roman" w:cs="Times New Roman"/>
          <w:sz w:val="24"/>
          <w:szCs w:val="24"/>
        </w:rPr>
      </w:pPr>
      <w:r w:rsidRPr="000205A6">
        <w:rPr>
          <w:rFonts w:ascii="Times New Roman" w:hAnsi="Times New Roman" w:cs="Times New Roman"/>
          <w:i/>
          <w:sz w:val="24"/>
          <w:szCs w:val="24"/>
        </w:rPr>
        <w:t xml:space="preserve">Term of </w:t>
      </w:r>
      <w:r>
        <w:rPr>
          <w:rFonts w:ascii="Times New Roman" w:hAnsi="Times New Roman" w:cs="Times New Roman"/>
          <w:i/>
          <w:sz w:val="24"/>
          <w:szCs w:val="24"/>
        </w:rPr>
        <w:t>e</w:t>
      </w:r>
      <w:r w:rsidRPr="000205A6">
        <w:rPr>
          <w:rFonts w:ascii="Times New Roman" w:hAnsi="Times New Roman" w:cs="Times New Roman"/>
          <w:i/>
          <w:sz w:val="24"/>
          <w:szCs w:val="24"/>
        </w:rPr>
        <w:t>ntry</w:t>
      </w:r>
      <w:r>
        <w:rPr>
          <w:rFonts w:ascii="Times New Roman" w:hAnsi="Times New Roman" w:cs="Times New Roman"/>
          <w:sz w:val="24"/>
          <w:szCs w:val="24"/>
        </w:rPr>
        <w:t xml:space="preserve"> ― the term in which a student first enrolled in for-credit coursework at Bakersfield College</w:t>
      </w:r>
    </w:p>
    <w:p w14:paraId="22D212DE" w14:textId="77777777" w:rsidR="00DF33B0" w:rsidRDefault="00DF33B0" w:rsidP="004A12A1">
      <w:pPr>
        <w:spacing w:after="0" w:line="240" w:lineRule="auto"/>
        <w:ind w:left="360"/>
        <w:rPr>
          <w:rFonts w:ascii="Times New Roman" w:hAnsi="Times New Roman" w:cs="Times New Roman"/>
          <w:sz w:val="24"/>
          <w:szCs w:val="24"/>
        </w:rPr>
      </w:pPr>
    </w:p>
    <w:p w14:paraId="702A9EBF" w14:textId="1652E5B2" w:rsidR="00DF33B0" w:rsidRDefault="00DF33B0" w:rsidP="004A12A1">
      <w:pPr>
        <w:spacing w:after="0" w:line="240" w:lineRule="auto"/>
        <w:ind w:left="360"/>
        <w:rPr>
          <w:rFonts w:ascii="Times New Roman" w:hAnsi="Times New Roman" w:cs="Times New Roman"/>
          <w:sz w:val="24"/>
          <w:szCs w:val="24"/>
        </w:rPr>
      </w:pPr>
      <w:r w:rsidRPr="0072729B">
        <w:rPr>
          <w:rFonts w:ascii="Times New Roman" w:hAnsi="Times New Roman" w:cs="Times New Roman"/>
          <w:i/>
          <w:sz w:val="24"/>
          <w:szCs w:val="24"/>
        </w:rPr>
        <w:t>Throughput</w:t>
      </w:r>
      <w:r>
        <w:rPr>
          <w:rFonts w:ascii="Times New Roman" w:hAnsi="Times New Roman" w:cs="Times New Roman"/>
          <w:sz w:val="24"/>
          <w:szCs w:val="24"/>
        </w:rPr>
        <w:t xml:space="preserve"> ― the rate at which students in a given group complete a course or courses at a specified level of competency in math or English within a particular time frame (e.g., one-year throughput of developmental math students to transfer-level math</w:t>
      </w:r>
      <w:r w:rsidR="00DF6E63">
        <w:rPr>
          <w:rFonts w:ascii="Times New Roman" w:hAnsi="Times New Roman" w:cs="Times New Roman"/>
          <w:sz w:val="24"/>
          <w:szCs w:val="24"/>
        </w:rPr>
        <w:t>)</w:t>
      </w:r>
    </w:p>
    <w:p w14:paraId="38107F2F" w14:textId="77777777" w:rsidR="005A5444" w:rsidRDefault="005A5444" w:rsidP="005A5444">
      <w:pPr>
        <w:spacing w:after="0" w:line="240" w:lineRule="auto"/>
        <w:rPr>
          <w:rFonts w:ascii="Times New Roman" w:hAnsi="Times New Roman" w:cs="Times New Roman"/>
          <w:sz w:val="24"/>
          <w:szCs w:val="24"/>
        </w:rPr>
      </w:pPr>
    </w:p>
    <w:p w14:paraId="06CAE626" w14:textId="742DD82A" w:rsidR="00773E0F" w:rsidRPr="0072729B" w:rsidRDefault="00773E0F" w:rsidP="00EB155A">
      <w:pPr>
        <w:spacing w:after="0" w:line="240" w:lineRule="auto"/>
        <w:rPr>
          <w:rFonts w:ascii="Times New Roman" w:hAnsi="Times New Roman" w:cs="Times New Roman"/>
          <w:sz w:val="24"/>
          <w:szCs w:val="24"/>
          <w:u w:val="single"/>
        </w:rPr>
      </w:pPr>
      <w:r w:rsidRPr="0072729B">
        <w:rPr>
          <w:rFonts w:ascii="Times New Roman" w:hAnsi="Times New Roman" w:cs="Times New Roman"/>
          <w:sz w:val="24"/>
          <w:szCs w:val="24"/>
          <w:u w:val="single"/>
        </w:rPr>
        <w:t xml:space="preserve">Terminology </w:t>
      </w:r>
      <w:r>
        <w:rPr>
          <w:rFonts w:ascii="Times New Roman" w:hAnsi="Times New Roman" w:cs="Times New Roman"/>
          <w:sz w:val="24"/>
          <w:szCs w:val="24"/>
          <w:u w:val="single"/>
        </w:rPr>
        <w:t>P</w:t>
      </w:r>
      <w:r w:rsidRPr="0072729B">
        <w:rPr>
          <w:rFonts w:ascii="Times New Roman" w:hAnsi="Times New Roman" w:cs="Times New Roman"/>
          <w:sz w:val="24"/>
          <w:szCs w:val="24"/>
          <w:u w:val="single"/>
        </w:rPr>
        <w:t xml:space="preserve">ertaining to </w:t>
      </w:r>
      <w:r>
        <w:rPr>
          <w:rFonts w:ascii="Times New Roman" w:hAnsi="Times New Roman" w:cs="Times New Roman"/>
          <w:sz w:val="24"/>
          <w:szCs w:val="24"/>
          <w:u w:val="single"/>
        </w:rPr>
        <w:t>S</w:t>
      </w:r>
      <w:r w:rsidRPr="0072729B">
        <w:rPr>
          <w:rFonts w:ascii="Times New Roman" w:hAnsi="Times New Roman" w:cs="Times New Roman"/>
          <w:sz w:val="24"/>
          <w:szCs w:val="24"/>
          <w:u w:val="single"/>
        </w:rPr>
        <w:t>tudents</w:t>
      </w:r>
    </w:p>
    <w:p w14:paraId="62821DE9" w14:textId="77777777" w:rsidR="00773E0F" w:rsidRDefault="00773E0F" w:rsidP="00EB155A">
      <w:pPr>
        <w:spacing w:after="0" w:line="240" w:lineRule="auto"/>
        <w:rPr>
          <w:rFonts w:ascii="Times New Roman" w:hAnsi="Times New Roman" w:cs="Times New Roman"/>
          <w:sz w:val="24"/>
          <w:szCs w:val="24"/>
        </w:rPr>
      </w:pPr>
    </w:p>
    <w:p w14:paraId="70A71A14" w14:textId="187FB967" w:rsidR="009459F7" w:rsidRDefault="009459F7" w:rsidP="004A12A1">
      <w:pPr>
        <w:spacing w:after="0" w:line="240" w:lineRule="auto"/>
        <w:ind w:left="360"/>
        <w:rPr>
          <w:rFonts w:ascii="Times New Roman" w:hAnsi="Times New Roman" w:cs="Times New Roman"/>
          <w:sz w:val="24"/>
          <w:szCs w:val="24"/>
        </w:rPr>
      </w:pPr>
      <w:r w:rsidRPr="00960BBC">
        <w:rPr>
          <w:rFonts w:ascii="Times New Roman" w:hAnsi="Times New Roman" w:cs="Times New Roman"/>
          <w:i/>
          <w:sz w:val="24"/>
          <w:szCs w:val="24"/>
        </w:rPr>
        <w:t>Historically disadvantaged race/ethnicity</w:t>
      </w:r>
      <w:r>
        <w:rPr>
          <w:rFonts w:ascii="Times New Roman" w:hAnsi="Times New Roman" w:cs="Times New Roman"/>
          <w:sz w:val="24"/>
          <w:szCs w:val="24"/>
        </w:rPr>
        <w:t xml:space="preserve"> ― a student who report</w:t>
      </w:r>
      <w:r w:rsidR="009A34B7">
        <w:rPr>
          <w:rFonts w:ascii="Times New Roman" w:hAnsi="Times New Roman" w:cs="Times New Roman"/>
          <w:sz w:val="24"/>
          <w:szCs w:val="24"/>
        </w:rPr>
        <w:t>ed</w:t>
      </w:r>
      <w:r>
        <w:rPr>
          <w:rFonts w:ascii="Times New Roman" w:hAnsi="Times New Roman" w:cs="Times New Roman"/>
          <w:sz w:val="24"/>
          <w:szCs w:val="24"/>
        </w:rPr>
        <w:t xml:space="preserve"> his/her race/ethnicity at colle</w:t>
      </w:r>
      <w:r w:rsidR="009A34B7">
        <w:rPr>
          <w:rFonts w:ascii="Times New Roman" w:hAnsi="Times New Roman" w:cs="Times New Roman"/>
          <w:sz w:val="24"/>
          <w:szCs w:val="24"/>
        </w:rPr>
        <w:t>ge entry to be Black, Hispanic, Native American, or two or more</w:t>
      </w:r>
      <w:r w:rsidR="00332348">
        <w:rPr>
          <w:rFonts w:ascii="Times New Roman" w:hAnsi="Times New Roman" w:cs="Times New Roman"/>
          <w:sz w:val="24"/>
          <w:szCs w:val="24"/>
        </w:rPr>
        <w:t xml:space="preserve"> racial/ethnic categories</w:t>
      </w:r>
    </w:p>
    <w:p w14:paraId="55A0663A" w14:textId="77777777" w:rsidR="009459F7" w:rsidRDefault="009459F7" w:rsidP="004A12A1">
      <w:pPr>
        <w:spacing w:after="0" w:line="240" w:lineRule="auto"/>
        <w:ind w:left="360"/>
        <w:rPr>
          <w:rFonts w:ascii="Times New Roman" w:hAnsi="Times New Roman" w:cs="Times New Roman"/>
          <w:sz w:val="24"/>
          <w:szCs w:val="24"/>
        </w:rPr>
      </w:pPr>
    </w:p>
    <w:p w14:paraId="38F31B5F" w14:textId="29ED4E84" w:rsidR="00407033" w:rsidRDefault="00407033" w:rsidP="004A12A1">
      <w:pPr>
        <w:spacing w:after="0" w:line="240" w:lineRule="auto"/>
        <w:ind w:left="360"/>
        <w:rPr>
          <w:rFonts w:ascii="Times New Roman" w:hAnsi="Times New Roman" w:cs="Times New Roman"/>
          <w:sz w:val="24"/>
          <w:szCs w:val="24"/>
        </w:rPr>
      </w:pPr>
      <w:r>
        <w:rPr>
          <w:rFonts w:ascii="Times New Roman" w:hAnsi="Times New Roman" w:cs="Times New Roman"/>
          <w:i/>
          <w:sz w:val="24"/>
          <w:szCs w:val="24"/>
        </w:rPr>
        <w:t>Older</w:t>
      </w:r>
      <w:r>
        <w:rPr>
          <w:rFonts w:ascii="Times New Roman" w:hAnsi="Times New Roman" w:cs="Times New Roman"/>
          <w:sz w:val="24"/>
          <w:szCs w:val="24"/>
        </w:rPr>
        <w:t xml:space="preserve"> ― a student who entered BC at </w:t>
      </w:r>
      <w:r w:rsidR="005A5444">
        <w:rPr>
          <w:rFonts w:ascii="Times New Roman" w:hAnsi="Times New Roman" w:cs="Times New Roman"/>
          <w:sz w:val="24"/>
          <w:szCs w:val="24"/>
        </w:rPr>
        <w:t xml:space="preserve">20 years of </w:t>
      </w:r>
      <w:r>
        <w:rPr>
          <w:rFonts w:ascii="Times New Roman" w:hAnsi="Times New Roman" w:cs="Times New Roman"/>
          <w:sz w:val="24"/>
          <w:szCs w:val="24"/>
        </w:rPr>
        <w:t>age or older</w:t>
      </w:r>
    </w:p>
    <w:p w14:paraId="00EDD502" w14:textId="77777777" w:rsidR="00407033" w:rsidRDefault="00407033" w:rsidP="004A12A1">
      <w:pPr>
        <w:spacing w:after="0" w:line="240" w:lineRule="auto"/>
        <w:ind w:left="360"/>
        <w:rPr>
          <w:rFonts w:ascii="Times New Roman" w:hAnsi="Times New Roman" w:cs="Times New Roman"/>
          <w:i/>
          <w:sz w:val="24"/>
          <w:szCs w:val="24"/>
        </w:rPr>
      </w:pPr>
    </w:p>
    <w:p w14:paraId="11BC7884" w14:textId="2915BA33" w:rsidR="00773E0F" w:rsidRDefault="00773E0F" w:rsidP="004A12A1">
      <w:pPr>
        <w:spacing w:after="0" w:line="240" w:lineRule="auto"/>
        <w:ind w:left="360"/>
        <w:rPr>
          <w:rFonts w:ascii="Times New Roman" w:hAnsi="Times New Roman" w:cs="Times New Roman"/>
          <w:sz w:val="24"/>
          <w:szCs w:val="24"/>
        </w:rPr>
      </w:pPr>
      <w:r w:rsidRPr="0072729B">
        <w:rPr>
          <w:rFonts w:ascii="Times New Roman" w:hAnsi="Times New Roman" w:cs="Times New Roman"/>
          <w:i/>
          <w:sz w:val="24"/>
          <w:szCs w:val="24"/>
        </w:rPr>
        <w:t>Part-time</w:t>
      </w:r>
      <w:r>
        <w:rPr>
          <w:rFonts w:ascii="Times New Roman" w:hAnsi="Times New Roman" w:cs="Times New Roman"/>
          <w:sz w:val="24"/>
          <w:szCs w:val="24"/>
        </w:rPr>
        <w:t xml:space="preserve"> ― </w:t>
      </w:r>
      <w:r w:rsidR="009A34B7">
        <w:rPr>
          <w:rFonts w:ascii="Times New Roman" w:hAnsi="Times New Roman" w:cs="Times New Roman"/>
          <w:sz w:val="24"/>
          <w:szCs w:val="24"/>
        </w:rPr>
        <w:t xml:space="preserve">a student whose attempted course credit load in his/her first term in Bakersfield College was fewer than 12 credits if </w:t>
      </w:r>
      <w:r w:rsidR="00200C24">
        <w:rPr>
          <w:rFonts w:ascii="Times New Roman" w:hAnsi="Times New Roman" w:cs="Times New Roman"/>
          <w:sz w:val="24"/>
          <w:szCs w:val="24"/>
        </w:rPr>
        <w:t>the first term</w:t>
      </w:r>
      <w:r w:rsidR="009A34B7">
        <w:rPr>
          <w:rFonts w:ascii="Times New Roman" w:hAnsi="Times New Roman" w:cs="Times New Roman"/>
          <w:sz w:val="24"/>
          <w:szCs w:val="24"/>
        </w:rPr>
        <w:t xml:space="preserve"> was a regular fall or spring term, or fewer than 6 credits if </w:t>
      </w:r>
      <w:r w:rsidR="00200C24">
        <w:rPr>
          <w:rFonts w:ascii="Times New Roman" w:hAnsi="Times New Roman" w:cs="Times New Roman"/>
          <w:sz w:val="24"/>
          <w:szCs w:val="24"/>
        </w:rPr>
        <w:t>the first term</w:t>
      </w:r>
      <w:r w:rsidR="009A34B7">
        <w:rPr>
          <w:rFonts w:ascii="Times New Roman" w:hAnsi="Times New Roman" w:cs="Times New Roman"/>
          <w:sz w:val="24"/>
          <w:szCs w:val="24"/>
        </w:rPr>
        <w:t xml:space="preserve"> was a summer term</w:t>
      </w:r>
    </w:p>
    <w:p w14:paraId="06682018" w14:textId="77777777" w:rsidR="00773E0F" w:rsidRDefault="00773E0F" w:rsidP="004A12A1">
      <w:pPr>
        <w:spacing w:after="0" w:line="240" w:lineRule="auto"/>
        <w:ind w:left="360"/>
        <w:rPr>
          <w:rFonts w:ascii="Times New Roman" w:hAnsi="Times New Roman" w:cs="Times New Roman"/>
          <w:sz w:val="24"/>
          <w:szCs w:val="24"/>
        </w:rPr>
      </w:pPr>
    </w:p>
    <w:p w14:paraId="10768597" w14:textId="072E3069" w:rsidR="00F903A1" w:rsidRDefault="00F903A1" w:rsidP="004A12A1">
      <w:pPr>
        <w:spacing w:after="0" w:line="240" w:lineRule="auto"/>
        <w:ind w:left="360"/>
        <w:rPr>
          <w:rFonts w:ascii="Times New Roman" w:hAnsi="Times New Roman" w:cs="Times New Roman"/>
          <w:sz w:val="24"/>
          <w:szCs w:val="24"/>
        </w:rPr>
      </w:pPr>
      <w:r w:rsidRPr="0072729B">
        <w:rPr>
          <w:rFonts w:ascii="Times New Roman" w:hAnsi="Times New Roman" w:cs="Times New Roman"/>
          <w:i/>
          <w:sz w:val="24"/>
          <w:szCs w:val="24"/>
        </w:rPr>
        <w:t>Transfer-seeking</w:t>
      </w:r>
      <w:r>
        <w:rPr>
          <w:rFonts w:ascii="Times New Roman" w:hAnsi="Times New Roman" w:cs="Times New Roman"/>
          <w:sz w:val="24"/>
          <w:szCs w:val="24"/>
        </w:rPr>
        <w:t xml:space="preserve"> ― </w:t>
      </w:r>
      <w:r w:rsidR="009A34B7">
        <w:rPr>
          <w:rFonts w:ascii="Times New Roman" w:hAnsi="Times New Roman" w:cs="Times New Roman"/>
          <w:sz w:val="24"/>
          <w:szCs w:val="24"/>
        </w:rPr>
        <w:t>a student who reported his/her goal at college entry to be transfer to a four-year institution either with or without a credential from Bakersfield College</w:t>
      </w:r>
    </w:p>
    <w:p w14:paraId="2571EBC4" w14:textId="77777777" w:rsidR="00773E0F" w:rsidRDefault="00773E0F" w:rsidP="004D4B31">
      <w:pPr>
        <w:spacing w:after="0" w:line="240" w:lineRule="auto"/>
        <w:ind w:left="720"/>
        <w:rPr>
          <w:rFonts w:ascii="Times New Roman" w:hAnsi="Times New Roman" w:cs="Times New Roman"/>
          <w:sz w:val="24"/>
          <w:szCs w:val="24"/>
        </w:rPr>
      </w:pPr>
    </w:p>
    <w:p w14:paraId="4F9DD1CA" w14:textId="081A1B5A" w:rsidR="0034666C" w:rsidRPr="00960BBC" w:rsidRDefault="0034666C" w:rsidP="0034666C">
      <w:pPr>
        <w:spacing w:after="0" w:line="240" w:lineRule="auto"/>
        <w:rPr>
          <w:rFonts w:ascii="Times New Roman" w:hAnsi="Times New Roman" w:cs="Times New Roman"/>
          <w:sz w:val="24"/>
          <w:szCs w:val="24"/>
          <w:u w:val="single"/>
        </w:rPr>
      </w:pPr>
      <w:r w:rsidRPr="00960BBC">
        <w:rPr>
          <w:rFonts w:ascii="Times New Roman" w:hAnsi="Times New Roman" w:cs="Times New Roman"/>
          <w:sz w:val="24"/>
          <w:szCs w:val="24"/>
          <w:u w:val="single"/>
        </w:rPr>
        <w:t xml:space="preserve">Terminology </w:t>
      </w:r>
      <w:r>
        <w:rPr>
          <w:rFonts w:ascii="Times New Roman" w:hAnsi="Times New Roman" w:cs="Times New Roman"/>
          <w:sz w:val="24"/>
          <w:szCs w:val="24"/>
          <w:u w:val="single"/>
        </w:rPr>
        <w:t>P</w:t>
      </w:r>
      <w:r w:rsidRPr="00960BBC">
        <w:rPr>
          <w:rFonts w:ascii="Times New Roman" w:hAnsi="Times New Roman" w:cs="Times New Roman"/>
          <w:sz w:val="24"/>
          <w:szCs w:val="24"/>
          <w:u w:val="single"/>
        </w:rPr>
        <w:t xml:space="preserve">ertaining to </w:t>
      </w:r>
      <w:r>
        <w:rPr>
          <w:rFonts w:ascii="Times New Roman" w:hAnsi="Times New Roman" w:cs="Times New Roman"/>
          <w:sz w:val="24"/>
          <w:szCs w:val="24"/>
          <w:u w:val="single"/>
        </w:rPr>
        <w:t>the Curriculum</w:t>
      </w:r>
    </w:p>
    <w:p w14:paraId="6B5F386D" w14:textId="77777777" w:rsidR="00773E0F" w:rsidRDefault="00773E0F" w:rsidP="004D4B31">
      <w:pPr>
        <w:spacing w:after="0" w:line="240" w:lineRule="auto"/>
        <w:ind w:left="720"/>
        <w:rPr>
          <w:rFonts w:ascii="Times New Roman" w:hAnsi="Times New Roman" w:cs="Times New Roman"/>
          <w:sz w:val="24"/>
          <w:szCs w:val="24"/>
        </w:rPr>
      </w:pPr>
    </w:p>
    <w:p w14:paraId="5AFFD8D9" w14:textId="42086CC4" w:rsidR="009459F7" w:rsidRDefault="0034666C" w:rsidP="00591E06">
      <w:pPr>
        <w:spacing w:after="0" w:line="240" w:lineRule="auto"/>
        <w:ind w:left="360"/>
        <w:rPr>
          <w:rFonts w:ascii="Times New Roman" w:hAnsi="Times New Roman" w:cs="Times New Roman"/>
          <w:sz w:val="24"/>
          <w:szCs w:val="24"/>
        </w:rPr>
      </w:pPr>
      <w:r w:rsidRPr="00A15129">
        <w:rPr>
          <w:rFonts w:ascii="Times New Roman" w:hAnsi="Times New Roman" w:cs="Times New Roman"/>
          <w:i/>
          <w:sz w:val="24"/>
          <w:szCs w:val="24"/>
        </w:rPr>
        <w:t>Associate-level quantitative competency</w:t>
      </w:r>
      <w:r w:rsidRPr="00A15129">
        <w:rPr>
          <w:rFonts w:ascii="Times New Roman" w:hAnsi="Times New Roman" w:cs="Times New Roman"/>
          <w:sz w:val="24"/>
          <w:szCs w:val="24"/>
        </w:rPr>
        <w:t xml:space="preserve"> ― </w:t>
      </w:r>
      <w:r w:rsidR="00B15E93" w:rsidRPr="00A15129">
        <w:rPr>
          <w:rFonts w:ascii="Times New Roman" w:hAnsi="Times New Roman" w:cs="Times New Roman"/>
          <w:sz w:val="24"/>
          <w:szCs w:val="24"/>
        </w:rPr>
        <w:t xml:space="preserve">the successful completion of </w:t>
      </w:r>
      <w:r w:rsidRPr="00A15129">
        <w:rPr>
          <w:rFonts w:ascii="Times New Roman" w:hAnsi="Times New Roman" w:cs="Times New Roman"/>
          <w:sz w:val="24"/>
          <w:szCs w:val="24"/>
        </w:rPr>
        <w:t xml:space="preserve">a math, psychology, philosophy, </w:t>
      </w:r>
      <w:r w:rsidR="009459F7" w:rsidRPr="00A15129">
        <w:rPr>
          <w:rFonts w:ascii="Times New Roman" w:hAnsi="Times New Roman" w:cs="Times New Roman"/>
          <w:sz w:val="24"/>
          <w:szCs w:val="24"/>
        </w:rPr>
        <w:t>communication, or learning community</w:t>
      </w:r>
      <w:r w:rsidRPr="00A15129">
        <w:rPr>
          <w:rFonts w:ascii="Times New Roman" w:hAnsi="Times New Roman" w:cs="Times New Roman"/>
          <w:sz w:val="24"/>
          <w:szCs w:val="24"/>
        </w:rPr>
        <w:t xml:space="preserve"> course that fulfills the quantitative reasoning general education requirement for </w:t>
      </w:r>
      <w:r w:rsidR="009459F7" w:rsidRPr="00A15129">
        <w:rPr>
          <w:rFonts w:ascii="Times New Roman" w:hAnsi="Times New Roman" w:cs="Times New Roman"/>
          <w:sz w:val="24"/>
          <w:szCs w:val="24"/>
        </w:rPr>
        <w:t xml:space="preserve">an associate’s degree at Bakersfield College but </w:t>
      </w:r>
      <w:r w:rsidR="009459F7" w:rsidRPr="0072729B">
        <w:rPr>
          <w:rFonts w:ascii="Times New Roman" w:hAnsi="Times New Roman" w:cs="Times New Roman"/>
          <w:sz w:val="24"/>
          <w:szCs w:val="24"/>
          <w:u w:val="single"/>
        </w:rPr>
        <w:t>not</w:t>
      </w:r>
      <w:r w:rsidR="009459F7" w:rsidRPr="00A15129">
        <w:rPr>
          <w:rFonts w:ascii="Times New Roman" w:hAnsi="Times New Roman" w:cs="Times New Roman"/>
          <w:sz w:val="24"/>
          <w:szCs w:val="24"/>
        </w:rPr>
        <w:t xml:space="preserve"> for a baccalaureate degree at a California State University institution</w:t>
      </w:r>
      <w:r w:rsidR="00591E06" w:rsidRPr="00A15129">
        <w:rPr>
          <w:rFonts w:ascii="Times New Roman" w:hAnsi="Times New Roman" w:cs="Times New Roman"/>
          <w:sz w:val="24"/>
          <w:szCs w:val="24"/>
        </w:rPr>
        <w:t xml:space="preserve">. </w:t>
      </w:r>
      <w:r w:rsidR="00702DAE">
        <w:rPr>
          <w:rFonts w:ascii="Times New Roman" w:hAnsi="Times New Roman" w:cs="Times New Roman"/>
          <w:sz w:val="24"/>
          <w:szCs w:val="24"/>
        </w:rPr>
        <w:t xml:space="preserve"> </w:t>
      </w:r>
      <w:r w:rsidR="00591E06" w:rsidRPr="00A15129">
        <w:rPr>
          <w:rFonts w:ascii="Times New Roman" w:hAnsi="Times New Roman" w:cs="Times New Roman"/>
          <w:sz w:val="24"/>
          <w:szCs w:val="24"/>
        </w:rPr>
        <w:t>These courses include</w:t>
      </w:r>
      <w:r w:rsidR="00865AE9" w:rsidRPr="00A15129">
        <w:rPr>
          <w:rFonts w:ascii="Times New Roman" w:hAnsi="Times New Roman" w:cs="Times New Roman"/>
          <w:sz w:val="24"/>
          <w:szCs w:val="24"/>
        </w:rPr>
        <w:t xml:space="preserve"> Comm B5, Phil B7, </w:t>
      </w:r>
      <w:r w:rsidR="00A15129" w:rsidRPr="00A15129">
        <w:rPr>
          <w:rFonts w:ascii="Times New Roman" w:hAnsi="Times New Roman" w:cs="Times New Roman"/>
          <w:sz w:val="24"/>
          <w:szCs w:val="24"/>
        </w:rPr>
        <w:t>Phil B9</w:t>
      </w:r>
      <w:r w:rsidR="00865AE9" w:rsidRPr="00A15129">
        <w:rPr>
          <w:rFonts w:ascii="Times New Roman" w:hAnsi="Times New Roman" w:cs="Times New Roman"/>
          <w:sz w:val="24"/>
          <w:szCs w:val="24"/>
        </w:rPr>
        <w:t xml:space="preserve">, </w:t>
      </w:r>
      <w:r w:rsidR="00A15129" w:rsidRPr="00A15129">
        <w:rPr>
          <w:rFonts w:ascii="Times New Roman" w:hAnsi="Times New Roman" w:cs="Times New Roman"/>
          <w:sz w:val="24"/>
          <w:szCs w:val="24"/>
        </w:rPr>
        <w:t>Psyc B6</w:t>
      </w:r>
      <w:r w:rsidR="00A15129">
        <w:rPr>
          <w:rFonts w:ascii="Times New Roman" w:hAnsi="Times New Roman" w:cs="Times New Roman"/>
          <w:sz w:val="24"/>
          <w:szCs w:val="24"/>
        </w:rPr>
        <w:t>, Math B70, or the second half of LRNC B530 (LRNC B53</w:t>
      </w:r>
      <w:r w:rsidR="00A15129" w:rsidRPr="00865AE9">
        <w:rPr>
          <w:rFonts w:ascii="Times New Roman" w:hAnsi="Times New Roman" w:cs="Times New Roman"/>
          <w:sz w:val="24"/>
          <w:szCs w:val="24"/>
        </w:rPr>
        <w:t>0</w:t>
      </w:r>
      <w:r w:rsidR="00A15129" w:rsidRPr="001231FC">
        <w:rPr>
          <w:rFonts w:ascii="Times New Roman" w:hAnsi="Times New Roman" w:cs="Times New Roman"/>
          <w:i/>
          <w:sz w:val="24"/>
          <w:szCs w:val="24"/>
        </w:rPr>
        <w:t>s</w:t>
      </w:r>
      <w:r w:rsidR="00A15129">
        <w:rPr>
          <w:rFonts w:ascii="Times New Roman" w:hAnsi="Times New Roman" w:cs="Times New Roman"/>
          <w:sz w:val="24"/>
          <w:szCs w:val="24"/>
        </w:rPr>
        <w:t>)</w:t>
      </w:r>
      <w:r w:rsidR="00A15129" w:rsidRPr="00A15129">
        <w:rPr>
          <w:rFonts w:ascii="Times New Roman" w:hAnsi="Times New Roman" w:cs="Times New Roman"/>
          <w:sz w:val="24"/>
          <w:szCs w:val="24"/>
        </w:rPr>
        <w:t>.</w:t>
      </w:r>
    </w:p>
    <w:p w14:paraId="4AB1C906" w14:textId="77777777" w:rsidR="009459F7" w:rsidRDefault="009459F7" w:rsidP="004A12A1">
      <w:pPr>
        <w:spacing w:after="0" w:line="240" w:lineRule="auto"/>
        <w:ind w:left="360"/>
        <w:rPr>
          <w:rFonts w:ascii="Times New Roman" w:hAnsi="Times New Roman" w:cs="Times New Roman"/>
          <w:sz w:val="24"/>
          <w:szCs w:val="24"/>
        </w:rPr>
      </w:pPr>
    </w:p>
    <w:p w14:paraId="138C9810" w14:textId="68C5B130" w:rsidR="00D53E56" w:rsidRDefault="009459F7" w:rsidP="00D53E56">
      <w:pPr>
        <w:spacing w:after="0" w:line="240" w:lineRule="auto"/>
        <w:ind w:left="360"/>
        <w:rPr>
          <w:rFonts w:ascii="Times New Roman" w:hAnsi="Times New Roman" w:cs="Times New Roman"/>
          <w:sz w:val="24"/>
          <w:szCs w:val="24"/>
        </w:rPr>
      </w:pPr>
      <w:r w:rsidRPr="00D53E56">
        <w:rPr>
          <w:rFonts w:ascii="Times New Roman" w:hAnsi="Times New Roman" w:cs="Times New Roman"/>
          <w:i/>
          <w:sz w:val="24"/>
          <w:szCs w:val="24"/>
        </w:rPr>
        <w:t>Transfer-level quantitative competency</w:t>
      </w:r>
      <w:r w:rsidRPr="00D53E56">
        <w:rPr>
          <w:rFonts w:ascii="Times New Roman" w:hAnsi="Times New Roman" w:cs="Times New Roman"/>
          <w:sz w:val="24"/>
          <w:szCs w:val="24"/>
        </w:rPr>
        <w:t xml:space="preserve"> ― </w:t>
      </w:r>
      <w:r w:rsidR="00B15E93" w:rsidRPr="00D53E56">
        <w:rPr>
          <w:rFonts w:ascii="Times New Roman" w:hAnsi="Times New Roman" w:cs="Times New Roman"/>
          <w:sz w:val="24"/>
          <w:szCs w:val="24"/>
        </w:rPr>
        <w:t xml:space="preserve">the successful completion of </w:t>
      </w:r>
      <w:r w:rsidRPr="00D53E56">
        <w:rPr>
          <w:rFonts w:ascii="Times New Roman" w:hAnsi="Times New Roman" w:cs="Times New Roman"/>
          <w:sz w:val="24"/>
          <w:szCs w:val="24"/>
        </w:rPr>
        <w:t xml:space="preserve">a math or psychology course that fulfills the quantitative reasoning general education requirement for an associate’s degree at Bakersfield College </w:t>
      </w:r>
      <w:r w:rsidRPr="0072729B">
        <w:rPr>
          <w:rFonts w:ascii="Times New Roman" w:hAnsi="Times New Roman" w:cs="Times New Roman"/>
          <w:sz w:val="24"/>
          <w:szCs w:val="24"/>
          <w:u w:val="single"/>
        </w:rPr>
        <w:t>and</w:t>
      </w:r>
      <w:r w:rsidRPr="00D53E56">
        <w:rPr>
          <w:rFonts w:ascii="Times New Roman" w:hAnsi="Times New Roman" w:cs="Times New Roman"/>
          <w:sz w:val="24"/>
          <w:szCs w:val="24"/>
        </w:rPr>
        <w:t xml:space="preserve"> for a baccalaureate degree at a California State University institution</w:t>
      </w:r>
      <w:r w:rsidR="00591E06" w:rsidRPr="00D53E56">
        <w:rPr>
          <w:rFonts w:ascii="Times New Roman" w:hAnsi="Times New Roman" w:cs="Times New Roman"/>
          <w:sz w:val="24"/>
          <w:szCs w:val="24"/>
        </w:rPr>
        <w:t>.  These courses include</w:t>
      </w:r>
      <w:r w:rsidR="00D53E56" w:rsidRPr="00D53E56">
        <w:rPr>
          <w:rFonts w:ascii="Times New Roman" w:hAnsi="Times New Roman" w:cs="Times New Roman"/>
          <w:sz w:val="24"/>
          <w:szCs w:val="24"/>
        </w:rPr>
        <w:t xml:space="preserve"> Math B1A, </w:t>
      </w:r>
      <w:r w:rsidR="00D53E56" w:rsidRPr="00C4192C">
        <w:rPr>
          <w:rFonts w:ascii="Times New Roman" w:hAnsi="Times New Roman" w:cs="Times New Roman"/>
          <w:sz w:val="24"/>
          <w:szCs w:val="24"/>
        </w:rPr>
        <w:t xml:space="preserve">Math B1B, </w:t>
      </w:r>
      <w:r w:rsidR="00D53E56" w:rsidRPr="00D53E56">
        <w:rPr>
          <w:rFonts w:ascii="Times New Roman" w:hAnsi="Times New Roman" w:cs="Times New Roman"/>
          <w:sz w:val="24"/>
          <w:szCs w:val="24"/>
        </w:rPr>
        <w:t>Math B2, Math B4A, Math B6A, Math B6B, Math B6C, Math B6D, Math B6E, Math B21, Math B22, Math B23, and Psyc B5.</w:t>
      </w:r>
    </w:p>
    <w:p w14:paraId="2D30562D" w14:textId="77777777" w:rsidR="00D53E56" w:rsidRDefault="00D53E56" w:rsidP="004A12A1">
      <w:pPr>
        <w:spacing w:after="0" w:line="240" w:lineRule="auto"/>
        <w:ind w:left="360"/>
        <w:rPr>
          <w:rFonts w:ascii="Times New Roman" w:hAnsi="Times New Roman" w:cs="Times New Roman"/>
          <w:sz w:val="24"/>
          <w:szCs w:val="24"/>
        </w:rPr>
      </w:pPr>
    </w:p>
    <w:p w14:paraId="7BF5C1C2" w14:textId="15A6FAE9" w:rsidR="001977AB" w:rsidRDefault="001977AB" w:rsidP="004A12A1">
      <w:pPr>
        <w:spacing w:after="0" w:line="240" w:lineRule="auto"/>
        <w:ind w:left="360"/>
        <w:rPr>
          <w:rFonts w:ascii="Times New Roman" w:hAnsi="Times New Roman" w:cs="Times New Roman"/>
          <w:sz w:val="24"/>
          <w:szCs w:val="24"/>
        </w:rPr>
      </w:pPr>
      <w:r w:rsidRPr="0072729B">
        <w:rPr>
          <w:rFonts w:ascii="Times New Roman" w:hAnsi="Times New Roman" w:cs="Times New Roman"/>
          <w:i/>
          <w:sz w:val="24"/>
          <w:szCs w:val="24"/>
        </w:rPr>
        <w:t>Transfer-level English competency</w:t>
      </w:r>
      <w:r>
        <w:rPr>
          <w:rFonts w:ascii="Times New Roman" w:hAnsi="Times New Roman" w:cs="Times New Roman"/>
          <w:sz w:val="24"/>
          <w:szCs w:val="24"/>
        </w:rPr>
        <w:t xml:space="preserve"> ― </w:t>
      </w:r>
      <w:r w:rsidR="00B15E93">
        <w:rPr>
          <w:rFonts w:ascii="Times New Roman" w:hAnsi="Times New Roman" w:cs="Times New Roman"/>
          <w:sz w:val="24"/>
          <w:szCs w:val="24"/>
        </w:rPr>
        <w:t>the successful completion of a course that satisfies the English competency requirement</w:t>
      </w:r>
      <w:r w:rsidR="00B15E93" w:rsidRPr="00347697">
        <w:rPr>
          <w:rFonts w:ascii="Times New Roman" w:hAnsi="Times New Roman" w:cs="Times New Roman"/>
          <w:sz w:val="24"/>
          <w:szCs w:val="24"/>
        </w:rPr>
        <w:t xml:space="preserve"> for an associate’s degree at </w:t>
      </w:r>
      <w:r w:rsidR="00B15E93">
        <w:rPr>
          <w:rFonts w:ascii="Times New Roman" w:hAnsi="Times New Roman" w:cs="Times New Roman"/>
          <w:sz w:val="24"/>
          <w:szCs w:val="24"/>
        </w:rPr>
        <w:t>Bakersfield College and also satisfies</w:t>
      </w:r>
      <w:r w:rsidR="00B15E93" w:rsidRPr="00347697">
        <w:rPr>
          <w:rFonts w:ascii="Times New Roman" w:hAnsi="Times New Roman" w:cs="Times New Roman"/>
          <w:sz w:val="24"/>
          <w:szCs w:val="24"/>
        </w:rPr>
        <w:t xml:space="preserve"> </w:t>
      </w:r>
      <w:r w:rsidR="00B15E93">
        <w:rPr>
          <w:rFonts w:ascii="Times New Roman" w:hAnsi="Times New Roman" w:cs="Times New Roman"/>
          <w:sz w:val="24"/>
          <w:szCs w:val="24"/>
        </w:rPr>
        <w:t xml:space="preserve">an </w:t>
      </w:r>
      <w:r w:rsidR="00B15E93" w:rsidRPr="00347697">
        <w:rPr>
          <w:rFonts w:ascii="Times New Roman" w:hAnsi="Times New Roman" w:cs="Times New Roman"/>
          <w:sz w:val="24"/>
          <w:szCs w:val="24"/>
        </w:rPr>
        <w:t>English competency requirement for transfer</w:t>
      </w:r>
      <w:r w:rsidR="00B15E93">
        <w:rPr>
          <w:rFonts w:ascii="Times New Roman" w:hAnsi="Times New Roman" w:cs="Times New Roman"/>
          <w:sz w:val="24"/>
          <w:szCs w:val="24"/>
        </w:rPr>
        <w:t xml:space="preserve"> to a California State University institution</w:t>
      </w:r>
      <w:r w:rsidR="00B15E93" w:rsidRPr="00347697">
        <w:rPr>
          <w:rFonts w:ascii="Times New Roman" w:hAnsi="Times New Roman" w:cs="Times New Roman"/>
          <w:sz w:val="24"/>
          <w:szCs w:val="24"/>
        </w:rPr>
        <w:t xml:space="preserve">.  </w:t>
      </w:r>
      <w:r w:rsidR="00B15E93" w:rsidRPr="00865AE9">
        <w:rPr>
          <w:rFonts w:ascii="Times New Roman" w:hAnsi="Times New Roman" w:cs="Times New Roman"/>
          <w:sz w:val="24"/>
          <w:szCs w:val="24"/>
        </w:rPr>
        <w:t>These courses include Engl B1A, Engl B1B, Engl B2, Engl B3, or the second half of LRNC B510 (LRNC B510</w:t>
      </w:r>
      <w:r w:rsidR="00B15E93" w:rsidRPr="0072729B">
        <w:rPr>
          <w:rFonts w:ascii="Times New Roman" w:hAnsi="Times New Roman" w:cs="Times New Roman"/>
          <w:i/>
          <w:sz w:val="24"/>
          <w:szCs w:val="24"/>
        </w:rPr>
        <w:t>s</w:t>
      </w:r>
      <w:r w:rsidR="00B15E93" w:rsidRPr="00865AE9">
        <w:rPr>
          <w:rFonts w:ascii="Times New Roman" w:hAnsi="Times New Roman" w:cs="Times New Roman"/>
          <w:sz w:val="24"/>
          <w:szCs w:val="24"/>
        </w:rPr>
        <w:t>)</w:t>
      </w:r>
      <w:r w:rsidR="00591E06" w:rsidRPr="00865AE9">
        <w:rPr>
          <w:rFonts w:ascii="Times New Roman" w:hAnsi="Times New Roman" w:cs="Times New Roman"/>
          <w:sz w:val="24"/>
          <w:szCs w:val="24"/>
        </w:rPr>
        <w:t>.</w:t>
      </w:r>
    </w:p>
    <w:p w14:paraId="74AF2199" w14:textId="77777777" w:rsidR="009459F7" w:rsidRDefault="009459F7" w:rsidP="009459F7">
      <w:pPr>
        <w:spacing w:after="0" w:line="240" w:lineRule="auto"/>
        <w:ind w:left="720"/>
        <w:rPr>
          <w:rFonts w:ascii="Times New Roman" w:hAnsi="Times New Roman" w:cs="Times New Roman"/>
          <w:sz w:val="24"/>
          <w:szCs w:val="24"/>
        </w:rPr>
      </w:pPr>
    </w:p>
    <w:p w14:paraId="497ED97B" w14:textId="76CE1343" w:rsidR="00E7291B" w:rsidRPr="007A3580" w:rsidRDefault="00E7291B" w:rsidP="007A3580">
      <w:pPr>
        <w:spacing w:after="0" w:line="240" w:lineRule="auto"/>
        <w:rPr>
          <w:rFonts w:ascii="Times New Roman" w:hAnsi="Times New Roman" w:cs="Times New Roman"/>
          <w:b/>
          <w:sz w:val="24"/>
          <w:szCs w:val="24"/>
        </w:rPr>
      </w:pPr>
      <w:r w:rsidRPr="007A3580">
        <w:rPr>
          <w:rFonts w:ascii="Times New Roman" w:hAnsi="Times New Roman" w:cs="Times New Roman"/>
          <w:b/>
          <w:sz w:val="24"/>
          <w:szCs w:val="24"/>
        </w:rPr>
        <w:t xml:space="preserve">SECTION </w:t>
      </w:r>
      <w:r w:rsidR="00655587">
        <w:rPr>
          <w:rFonts w:ascii="Times New Roman" w:hAnsi="Times New Roman" w:cs="Times New Roman"/>
          <w:b/>
          <w:sz w:val="24"/>
          <w:szCs w:val="24"/>
        </w:rPr>
        <w:t>3</w:t>
      </w:r>
      <w:r w:rsidRPr="007A3580">
        <w:rPr>
          <w:rFonts w:ascii="Times New Roman" w:hAnsi="Times New Roman" w:cs="Times New Roman"/>
          <w:b/>
          <w:sz w:val="24"/>
          <w:szCs w:val="24"/>
        </w:rPr>
        <w:t>:  SUMMARY</w:t>
      </w:r>
      <w:r w:rsidR="002665F2" w:rsidRPr="007A3580">
        <w:rPr>
          <w:rFonts w:ascii="Times New Roman" w:hAnsi="Times New Roman" w:cs="Times New Roman"/>
          <w:b/>
          <w:sz w:val="24"/>
          <w:szCs w:val="24"/>
        </w:rPr>
        <w:t xml:space="preserve"> OF </w:t>
      </w:r>
      <w:r w:rsidR="007E0EBC">
        <w:rPr>
          <w:rFonts w:ascii="Times New Roman" w:hAnsi="Times New Roman" w:cs="Times New Roman"/>
          <w:b/>
          <w:sz w:val="24"/>
          <w:szCs w:val="24"/>
        </w:rPr>
        <w:t>KEY</w:t>
      </w:r>
      <w:r w:rsidR="007E0EBC" w:rsidRPr="007A3580">
        <w:rPr>
          <w:rFonts w:ascii="Times New Roman" w:hAnsi="Times New Roman" w:cs="Times New Roman"/>
          <w:b/>
          <w:sz w:val="24"/>
          <w:szCs w:val="24"/>
        </w:rPr>
        <w:t xml:space="preserve"> </w:t>
      </w:r>
      <w:r w:rsidR="002665F2" w:rsidRPr="007A3580">
        <w:rPr>
          <w:rFonts w:ascii="Times New Roman" w:hAnsi="Times New Roman" w:cs="Times New Roman"/>
          <w:b/>
          <w:sz w:val="24"/>
          <w:szCs w:val="24"/>
        </w:rPr>
        <w:t>FINDINGS</w:t>
      </w:r>
    </w:p>
    <w:p w14:paraId="226A28EA" w14:textId="77777777" w:rsidR="00E7291B" w:rsidRPr="00371EBE" w:rsidRDefault="00E7291B" w:rsidP="007A3580">
      <w:pPr>
        <w:spacing w:after="0" w:line="240" w:lineRule="auto"/>
        <w:rPr>
          <w:rFonts w:ascii="Times New Roman" w:hAnsi="Times New Roman" w:cs="Times New Roman"/>
          <w:sz w:val="24"/>
          <w:szCs w:val="24"/>
        </w:rPr>
      </w:pPr>
    </w:p>
    <w:p w14:paraId="7A2EB299" w14:textId="325ABFDC" w:rsidR="009B4453" w:rsidRPr="007A3580" w:rsidRDefault="00655587" w:rsidP="009B4453">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9B4453">
        <w:rPr>
          <w:rFonts w:ascii="Times New Roman" w:hAnsi="Times New Roman" w:cs="Times New Roman"/>
          <w:b/>
          <w:sz w:val="24"/>
          <w:szCs w:val="24"/>
        </w:rPr>
        <w:t>.1</w:t>
      </w:r>
      <w:r w:rsidR="009B4453" w:rsidRPr="007A3580">
        <w:rPr>
          <w:rFonts w:ascii="Times New Roman" w:hAnsi="Times New Roman" w:cs="Times New Roman"/>
          <w:b/>
          <w:sz w:val="24"/>
          <w:szCs w:val="24"/>
        </w:rPr>
        <w:t xml:space="preserve"> </w:t>
      </w:r>
      <w:r w:rsidR="009B4453">
        <w:rPr>
          <w:rFonts w:ascii="Times New Roman" w:hAnsi="Times New Roman" w:cs="Times New Roman"/>
          <w:b/>
          <w:sz w:val="24"/>
          <w:szCs w:val="24"/>
        </w:rPr>
        <w:t>Key Comparisons in Math</w:t>
      </w:r>
    </w:p>
    <w:p w14:paraId="28C3CA25" w14:textId="6C9847D5" w:rsidR="009B4453" w:rsidRDefault="009B4453" w:rsidP="007A3580">
      <w:pPr>
        <w:spacing w:after="0" w:line="240" w:lineRule="auto"/>
        <w:rPr>
          <w:rFonts w:ascii="Times New Roman" w:hAnsi="Times New Roman" w:cs="Times New Roman"/>
          <w:sz w:val="24"/>
          <w:szCs w:val="24"/>
        </w:rPr>
      </w:pPr>
    </w:p>
    <w:p w14:paraId="0C5E7126" w14:textId="38D82D8D" w:rsidR="00F712DA" w:rsidRPr="00C4192C" w:rsidRDefault="00F712DA" w:rsidP="00F712DA">
      <w:pPr>
        <w:spacing w:after="0" w:line="240" w:lineRule="auto"/>
        <w:rPr>
          <w:rFonts w:ascii="Times New Roman" w:hAnsi="Times New Roman" w:cs="Times New Roman"/>
          <w:sz w:val="24"/>
          <w:szCs w:val="24"/>
          <w:u w:val="single"/>
        </w:rPr>
      </w:pPr>
      <w:r w:rsidRPr="00F712DA">
        <w:rPr>
          <w:rFonts w:ascii="Times New Roman" w:hAnsi="Times New Roman" w:cs="Times New Roman"/>
          <w:sz w:val="24"/>
          <w:szCs w:val="24"/>
          <w:u w:val="single"/>
        </w:rPr>
        <w:t>LRNC B530 versus Math B65 versus Math B60</w:t>
      </w:r>
      <w:r w:rsidRPr="00F712DA">
        <w:rPr>
          <w:rStyle w:val="FootnoteReference"/>
          <w:rFonts w:ascii="Times New Roman" w:hAnsi="Times New Roman" w:cs="Times New Roman"/>
          <w:sz w:val="24"/>
          <w:szCs w:val="24"/>
        </w:rPr>
        <w:footnoteReference w:id="1"/>
      </w:r>
    </w:p>
    <w:p w14:paraId="1E277F52" w14:textId="77777777" w:rsidR="00F712DA" w:rsidRDefault="00F712DA" w:rsidP="00F712DA">
      <w:pPr>
        <w:spacing w:after="0" w:line="240" w:lineRule="auto"/>
        <w:rPr>
          <w:rFonts w:ascii="Times New Roman" w:hAnsi="Times New Roman" w:cs="Times New Roman"/>
          <w:sz w:val="24"/>
          <w:szCs w:val="24"/>
        </w:rPr>
      </w:pPr>
    </w:p>
    <w:p w14:paraId="6C4C2F53" w14:textId="5E7F3163" w:rsidR="00F712DA" w:rsidRDefault="00F712DA" w:rsidP="00F712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differences in the distribution of student characteristics across entry points to the developmental </w:t>
      </w:r>
      <w:r w:rsidR="007E0EBC">
        <w:rPr>
          <w:rFonts w:ascii="Times New Roman" w:hAnsi="Times New Roman" w:cs="Times New Roman"/>
          <w:sz w:val="24"/>
          <w:szCs w:val="24"/>
        </w:rPr>
        <w:t xml:space="preserve">math </w:t>
      </w:r>
      <w:r>
        <w:rPr>
          <w:rFonts w:ascii="Times New Roman" w:hAnsi="Times New Roman" w:cs="Times New Roman"/>
          <w:sz w:val="24"/>
          <w:szCs w:val="24"/>
        </w:rPr>
        <w:t xml:space="preserve">curriculum are taken into account, </w:t>
      </w:r>
      <w:r w:rsidRPr="0085342A">
        <w:rPr>
          <w:rFonts w:ascii="Times New Roman" w:hAnsi="Times New Roman" w:cs="Times New Roman"/>
          <w:i/>
          <w:sz w:val="24"/>
          <w:szCs w:val="24"/>
        </w:rPr>
        <w:t>transfer-seeking students</w:t>
      </w:r>
      <w:r>
        <w:rPr>
          <w:rFonts w:ascii="Times New Roman" w:hAnsi="Times New Roman" w:cs="Times New Roman"/>
          <w:sz w:val="24"/>
          <w:szCs w:val="24"/>
        </w:rPr>
        <w:t xml:space="preserve"> who enter the </w:t>
      </w:r>
      <w:r>
        <w:rPr>
          <w:rFonts w:ascii="Times New Roman" w:hAnsi="Times New Roman" w:cs="Times New Roman"/>
          <w:sz w:val="24"/>
          <w:szCs w:val="24"/>
        </w:rPr>
        <w:lastRenderedPageBreak/>
        <w:t>curriculum through the first half of LRNC B530 (LRNC B530</w:t>
      </w:r>
      <w:r w:rsidRPr="0085342A">
        <w:rPr>
          <w:rFonts w:ascii="Times New Roman" w:hAnsi="Times New Roman" w:cs="Times New Roman"/>
          <w:i/>
          <w:sz w:val="24"/>
          <w:szCs w:val="24"/>
        </w:rPr>
        <w:t>f</w:t>
      </w:r>
      <w:r>
        <w:rPr>
          <w:rFonts w:ascii="Times New Roman" w:hAnsi="Times New Roman" w:cs="Times New Roman"/>
          <w:sz w:val="24"/>
          <w:szCs w:val="24"/>
        </w:rPr>
        <w:t>) are more likely than are transfer-seeking students who enter through Math B65 or Math B60 to:</w:t>
      </w:r>
    </w:p>
    <w:p w14:paraId="41C06861" w14:textId="77777777" w:rsidR="00F712DA" w:rsidRDefault="00F712DA" w:rsidP="00EF6CD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5342A">
        <w:rPr>
          <w:rFonts w:ascii="Times New Roman" w:hAnsi="Times New Roman" w:cs="Times New Roman"/>
          <w:sz w:val="24"/>
          <w:szCs w:val="24"/>
        </w:rPr>
        <w:t xml:space="preserve">chieve quantitative competency at the associate- or transfer-level (combined), </w:t>
      </w:r>
    </w:p>
    <w:p w14:paraId="0D713A5E" w14:textId="77777777" w:rsidR="00F712DA" w:rsidRDefault="00F712DA" w:rsidP="00EF6CD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5342A">
        <w:rPr>
          <w:rFonts w:ascii="Times New Roman" w:hAnsi="Times New Roman" w:cs="Times New Roman"/>
          <w:sz w:val="24"/>
          <w:szCs w:val="24"/>
        </w:rPr>
        <w:t xml:space="preserve">chieve quantitative competency at the transfer-level (as distinct from the associate-level), and </w:t>
      </w:r>
    </w:p>
    <w:p w14:paraId="4BD8D58E" w14:textId="77777777" w:rsidR="00F712DA" w:rsidRDefault="00F712DA" w:rsidP="00EF6CD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85342A">
        <w:rPr>
          <w:rFonts w:ascii="Times New Roman" w:hAnsi="Times New Roman" w:cs="Times New Roman"/>
          <w:sz w:val="24"/>
          <w:szCs w:val="24"/>
        </w:rPr>
        <w:t>omplete a STEM-track math course.</w:t>
      </w:r>
    </w:p>
    <w:p w14:paraId="58858545" w14:textId="77777777" w:rsidR="00F712DA" w:rsidRPr="0085342A" w:rsidRDefault="00F712DA" w:rsidP="00F712DA">
      <w:pPr>
        <w:spacing w:after="0" w:line="240" w:lineRule="auto"/>
        <w:ind w:left="60"/>
        <w:rPr>
          <w:rFonts w:ascii="Times New Roman" w:hAnsi="Times New Roman" w:cs="Times New Roman"/>
          <w:sz w:val="24"/>
          <w:szCs w:val="24"/>
        </w:rPr>
      </w:pPr>
      <w:r w:rsidRPr="0085342A">
        <w:rPr>
          <w:rFonts w:ascii="Times New Roman" w:hAnsi="Times New Roman" w:cs="Times New Roman"/>
          <w:sz w:val="24"/>
          <w:szCs w:val="24"/>
        </w:rPr>
        <w:t xml:space="preserve">In turn, transfer-seeking Math B65 students are more likely to achieve all three </w:t>
      </w:r>
      <w:r>
        <w:rPr>
          <w:rFonts w:ascii="Times New Roman" w:hAnsi="Times New Roman" w:cs="Times New Roman"/>
          <w:sz w:val="24"/>
          <w:szCs w:val="24"/>
        </w:rPr>
        <w:t xml:space="preserve">of these </w:t>
      </w:r>
      <w:r w:rsidRPr="0085342A">
        <w:rPr>
          <w:rFonts w:ascii="Times New Roman" w:hAnsi="Times New Roman" w:cs="Times New Roman"/>
          <w:sz w:val="24"/>
          <w:szCs w:val="24"/>
        </w:rPr>
        <w:t>outcomes than are transfer-seeking Math B60 students.</w:t>
      </w:r>
    </w:p>
    <w:p w14:paraId="15569C5C" w14:textId="77777777" w:rsidR="00F712DA" w:rsidRDefault="00F712DA" w:rsidP="00F712DA">
      <w:pPr>
        <w:spacing w:after="0" w:line="240" w:lineRule="auto"/>
        <w:rPr>
          <w:rFonts w:ascii="Times New Roman" w:hAnsi="Times New Roman" w:cs="Times New Roman"/>
          <w:sz w:val="24"/>
          <w:szCs w:val="24"/>
        </w:rPr>
      </w:pPr>
    </w:p>
    <w:p w14:paraId="36B9254D" w14:textId="50969455" w:rsidR="00F712DA" w:rsidRDefault="00F712DA" w:rsidP="00F712DA">
      <w:pPr>
        <w:spacing w:after="0" w:line="240" w:lineRule="auto"/>
        <w:rPr>
          <w:rFonts w:ascii="Times New Roman" w:hAnsi="Times New Roman" w:cs="Times New Roman"/>
          <w:sz w:val="24"/>
          <w:szCs w:val="24"/>
        </w:rPr>
      </w:pPr>
      <w:r w:rsidRPr="00B81095">
        <w:rPr>
          <w:rFonts w:ascii="Times New Roman" w:hAnsi="Times New Roman" w:cs="Times New Roman"/>
          <w:sz w:val="24"/>
          <w:szCs w:val="24"/>
        </w:rPr>
        <w:t xml:space="preserve">Limiting the focus to transfer-seeking students </w:t>
      </w:r>
      <w:r w:rsidRPr="0085342A">
        <w:rPr>
          <w:rFonts w:ascii="Times New Roman" w:hAnsi="Times New Roman" w:cs="Times New Roman"/>
          <w:i/>
          <w:sz w:val="24"/>
          <w:szCs w:val="24"/>
        </w:rPr>
        <w:t>who were successful in the first attempt of their first developmental math course</w:t>
      </w:r>
      <w:r w:rsidRPr="00B81095">
        <w:rPr>
          <w:rFonts w:ascii="Times New Roman" w:hAnsi="Times New Roman" w:cs="Times New Roman"/>
          <w:sz w:val="24"/>
          <w:szCs w:val="24"/>
        </w:rPr>
        <w:t>, students who enter the math curriculum through LRNC B530</w:t>
      </w:r>
      <w:r w:rsidRPr="00B81095">
        <w:rPr>
          <w:rFonts w:ascii="Times New Roman" w:hAnsi="Times New Roman" w:cs="Times New Roman"/>
          <w:i/>
          <w:sz w:val="24"/>
          <w:szCs w:val="24"/>
        </w:rPr>
        <w:t>f</w:t>
      </w:r>
      <w:r w:rsidRPr="00B81095">
        <w:rPr>
          <w:rFonts w:ascii="Times New Roman" w:hAnsi="Times New Roman" w:cs="Times New Roman"/>
          <w:sz w:val="24"/>
          <w:szCs w:val="24"/>
        </w:rPr>
        <w:t xml:space="preserve"> </w:t>
      </w:r>
      <w:r w:rsidRPr="0085342A">
        <w:rPr>
          <w:rFonts w:ascii="Times New Roman" w:hAnsi="Times New Roman" w:cs="Times New Roman"/>
          <w:sz w:val="24"/>
          <w:szCs w:val="24"/>
        </w:rPr>
        <w:t>remain</w:t>
      </w:r>
      <w:r w:rsidRPr="00B81095">
        <w:rPr>
          <w:rFonts w:ascii="Times New Roman" w:hAnsi="Times New Roman" w:cs="Times New Roman"/>
          <w:sz w:val="24"/>
          <w:szCs w:val="24"/>
        </w:rPr>
        <w:t xml:space="preserve"> more likely than are </w:t>
      </w:r>
      <w:r w:rsidRPr="0085342A">
        <w:rPr>
          <w:rFonts w:ascii="Times New Roman" w:hAnsi="Times New Roman" w:cs="Times New Roman"/>
          <w:sz w:val="24"/>
          <w:szCs w:val="24"/>
        </w:rPr>
        <w:t>their peers</w:t>
      </w:r>
      <w:r w:rsidRPr="00B81095">
        <w:rPr>
          <w:rFonts w:ascii="Times New Roman" w:hAnsi="Times New Roman" w:cs="Times New Roman"/>
          <w:sz w:val="24"/>
          <w:szCs w:val="24"/>
        </w:rPr>
        <w:t xml:space="preserve"> who enter through Math B65 or Math B60 to achieve quantitative competency at the associate- or transfer-level (combined)</w:t>
      </w:r>
      <w:r w:rsidRPr="0085342A">
        <w:rPr>
          <w:rFonts w:ascii="Times New Roman" w:hAnsi="Times New Roman" w:cs="Times New Roman"/>
          <w:sz w:val="24"/>
          <w:szCs w:val="24"/>
        </w:rPr>
        <w:t xml:space="preserve"> </w:t>
      </w:r>
      <w:r w:rsidRPr="00B81095">
        <w:rPr>
          <w:rFonts w:ascii="Times New Roman" w:hAnsi="Times New Roman" w:cs="Times New Roman"/>
          <w:sz w:val="24"/>
          <w:szCs w:val="24"/>
        </w:rPr>
        <w:t xml:space="preserve">and </w:t>
      </w:r>
      <w:r w:rsidRPr="0085342A">
        <w:rPr>
          <w:rFonts w:ascii="Times New Roman" w:hAnsi="Times New Roman" w:cs="Times New Roman"/>
          <w:sz w:val="24"/>
          <w:szCs w:val="24"/>
        </w:rPr>
        <w:t xml:space="preserve">to </w:t>
      </w:r>
      <w:r w:rsidRPr="00B81095">
        <w:rPr>
          <w:rFonts w:ascii="Times New Roman" w:hAnsi="Times New Roman" w:cs="Times New Roman"/>
          <w:sz w:val="24"/>
          <w:szCs w:val="24"/>
        </w:rPr>
        <w:t xml:space="preserve">complete a STEM-track math course.  </w:t>
      </w:r>
      <w:r w:rsidRPr="0085342A">
        <w:rPr>
          <w:rFonts w:ascii="Times New Roman" w:hAnsi="Times New Roman" w:cs="Times New Roman"/>
          <w:sz w:val="24"/>
          <w:szCs w:val="24"/>
        </w:rPr>
        <w:t>LRNC B530</w:t>
      </w:r>
      <w:r w:rsidRPr="0085342A">
        <w:rPr>
          <w:rFonts w:ascii="Times New Roman" w:hAnsi="Times New Roman" w:cs="Times New Roman"/>
          <w:i/>
          <w:sz w:val="24"/>
          <w:szCs w:val="24"/>
        </w:rPr>
        <w:t>f</w:t>
      </w:r>
      <w:r w:rsidRPr="0085342A">
        <w:rPr>
          <w:rFonts w:ascii="Times New Roman" w:hAnsi="Times New Roman" w:cs="Times New Roman"/>
          <w:sz w:val="24"/>
          <w:szCs w:val="24"/>
        </w:rPr>
        <w:t xml:space="preserve"> and Math B65</w:t>
      </w:r>
      <w:r w:rsidRPr="00B81095">
        <w:rPr>
          <w:rFonts w:ascii="Times New Roman" w:hAnsi="Times New Roman" w:cs="Times New Roman"/>
          <w:sz w:val="24"/>
          <w:szCs w:val="24"/>
        </w:rPr>
        <w:t xml:space="preserve"> students are about equally likely to achieve quantitative competency at the transfer-level (distinct from the associate-level)</w:t>
      </w:r>
      <w:r>
        <w:rPr>
          <w:rFonts w:ascii="Times New Roman" w:hAnsi="Times New Roman" w:cs="Times New Roman"/>
          <w:sz w:val="24"/>
          <w:szCs w:val="24"/>
        </w:rPr>
        <w:t xml:space="preserve">, and both are more likely to achieve that outcome than are Math B60 students.  However, Math B60 students are the second most likely to achieve </w:t>
      </w:r>
      <w:r w:rsidRPr="00B81095">
        <w:rPr>
          <w:rFonts w:ascii="Times New Roman" w:hAnsi="Times New Roman" w:cs="Times New Roman"/>
          <w:sz w:val="24"/>
          <w:szCs w:val="24"/>
        </w:rPr>
        <w:t>quantitative competency at the associate- or transfer-level (combined)</w:t>
      </w:r>
      <w:r w:rsidRPr="0085342A">
        <w:rPr>
          <w:rFonts w:ascii="Times New Roman" w:hAnsi="Times New Roman" w:cs="Times New Roman"/>
          <w:sz w:val="24"/>
          <w:szCs w:val="24"/>
        </w:rPr>
        <w:t xml:space="preserve"> </w:t>
      </w:r>
      <w:r w:rsidRPr="00B81095">
        <w:rPr>
          <w:rFonts w:ascii="Times New Roman" w:hAnsi="Times New Roman" w:cs="Times New Roman"/>
          <w:sz w:val="24"/>
          <w:szCs w:val="24"/>
        </w:rPr>
        <w:t xml:space="preserve">and </w:t>
      </w:r>
      <w:r w:rsidRPr="0085342A">
        <w:rPr>
          <w:rFonts w:ascii="Times New Roman" w:hAnsi="Times New Roman" w:cs="Times New Roman"/>
          <w:sz w:val="24"/>
          <w:szCs w:val="24"/>
        </w:rPr>
        <w:t xml:space="preserve">to </w:t>
      </w:r>
      <w:r w:rsidRPr="00B81095">
        <w:rPr>
          <w:rFonts w:ascii="Times New Roman" w:hAnsi="Times New Roman" w:cs="Times New Roman"/>
          <w:sz w:val="24"/>
          <w:szCs w:val="24"/>
        </w:rPr>
        <w:t>complete a STEM-track math course</w:t>
      </w:r>
      <w:r>
        <w:rPr>
          <w:rFonts w:ascii="Times New Roman" w:hAnsi="Times New Roman" w:cs="Times New Roman"/>
          <w:sz w:val="24"/>
          <w:szCs w:val="24"/>
        </w:rPr>
        <w:t xml:space="preserve">, above students who enter the curriculum through Math B65, which is a reversal of what was observed before limiting the analysis to students who were successful in their first math course.  This reversal likely is a result of the fact that, </w:t>
      </w:r>
      <w:r w:rsidR="007E0EBC">
        <w:rPr>
          <w:rFonts w:ascii="Times New Roman" w:hAnsi="Times New Roman" w:cs="Times New Roman"/>
          <w:sz w:val="24"/>
          <w:szCs w:val="24"/>
        </w:rPr>
        <w:t>al</w:t>
      </w:r>
      <w:r>
        <w:rPr>
          <w:rFonts w:ascii="Times New Roman" w:hAnsi="Times New Roman" w:cs="Times New Roman"/>
          <w:sz w:val="24"/>
          <w:szCs w:val="24"/>
        </w:rPr>
        <w:t xml:space="preserve">though Math B60 students are somewhat less likely to pass their first math course than are Math B65 students, </w:t>
      </w:r>
      <w:r w:rsidR="007E0EBC">
        <w:rPr>
          <w:rFonts w:ascii="Times New Roman" w:hAnsi="Times New Roman" w:cs="Times New Roman"/>
          <w:sz w:val="24"/>
          <w:szCs w:val="24"/>
        </w:rPr>
        <w:t>Math B60 students</w:t>
      </w:r>
      <w:r>
        <w:rPr>
          <w:rFonts w:ascii="Times New Roman" w:hAnsi="Times New Roman" w:cs="Times New Roman"/>
          <w:sz w:val="24"/>
          <w:szCs w:val="24"/>
        </w:rPr>
        <w:t xml:space="preserve"> who do so are more likely to attempt a second quantitative course than are successful Math B65 students.   </w:t>
      </w:r>
    </w:p>
    <w:p w14:paraId="77D8D76E" w14:textId="77777777" w:rsidR="00F712DA" w:rsidRDefault="00F712DA" w:rsidP="00F712DA">
      <w:pPr>
        <w:spacing w:after="0" w:line="240" w:lineRule="auto"/>
        <w:rPr>
          <w:rFonts w:ascii="Times New Roman" w:hAnsi="Times New Roman" w:cs="Times New Roman"/>
          <w:sz w:val="24"/>
          <w:szCs w:val="24"/>
        </w:rPr>
      </w:pPr>
    </w:p>
    <w:p w14:paraId="54CD9CB5" w14:textId="0C02FB4C" w:rsidR="00F712DA" w:rsidRDefault="00F712DA" w:rsidP="00F712DA">
      <w:pPr>
        <w:spacing w:after="0" w:line="240" w:lineRule="auto"/>
        <w:rPr>
          <w:rFonts w:ascii="Times New Roman" w:hAnsi="Times New Roman" w:cs="Times New Roman"/>
          <w:sz w:val="24"/>
          <w:szCs w:val="24"/>
        </w:rPr>
      </w:pPr>
      <w:r w:rsidRPr="0088277A">
        <w:rPr>
          <w:rFonts w:ascii="Times New Roman" w:hAnsi="Times New Roman" w:cs="Times New Roman"/>
          <w:sz w:val="24"/>
          <w:szCs w:val="24"/>
        </w:rPr>
        <w:t xml:space="preserve">Further limiting the focus to transfer-seeking students who </w:t>
      </w:r>
      <w:r w:rsidRPr="0085342A">
        <w:rPr>
          <w:rFonts w:ascii="Times New Roman" w:hAnsi="Times New Roman" w:cs="Times New Roman"/>
          <w:sz w:val="24"/>
          <w:szCs w:val="24"/>
        </w:rPr>
        <w:t xml:space="preserve">were both successful in the first attempt of their first developmental math course </w:t>
      </w:r>
      <w:r w:rsidRPr="0085342A">
        <w:rPr>
          <w:rFonts w:ascii="Times New Roman" w:hAnsi="Times New Roman" w:cs="Times New Roman"/>
          <w:i/>
          <w:sz w:val="24"/>
          <w:szCs w:val="24"/>
        </w:rPr>
        <w:t>and also attempted a second course that fit one of the common math pathways defined in this study</w:t>
      </w:r>
      <w:r>
        <w:rPr>
          <w:rFonts w:ascii="Times New Roman" w:hAnsi="Times New Roman" w:cs="Times New Roman"/>
          <w:sz w:val="24"/>
          <w:szCs w:val="24"/>
        </w:rPr>
        <w:t>, one finds that</w:t>
      </w:r>
      <w:r w:rsidRPr="0077761D">
        <w:rPr>
          <w:rFonts w:ascii="Times New Roman" w:hAnsi="Times New Roman" w:cs="Times New Roman"/>
          <w:sz w:val="24"/>
          <w:szCs w:val="24"/>
        </w:rPr>
        <w:t xml:space="preserve"> </w:t>
      </w:r>
      <w:r w:rsidRPr="0085342A">
        <w:rPr>
          <w:rFonts w:ascii="Times New Roman" w:hAnsi="Times New Roman" w:cs="Times New Roman"/>
          <w:sz w:val="24"/>
          <w:szCs w:val="24"/>
        </w:rPr>
        <w:t>LRNC B530</w:t>
      </w:r>
      <w:r w:rsidRPr="0085342A">
        <w:rPr>
          <w:rFonts w:ascii="Times New Roman" w:hAnsi="Times New Roman" w:cs="Times New Roman"/>
          <w:i/>
          <w:sz w:val="24"/>
          <w:szCs w:val="24"/>
        </w:rPr>
        <w:t>f</w:t>
      </w:r>
      <w:r>
        <w:rPr>
          <w:rFonts w:ascii="Times New Roman" w:hAnsi="Times New Roman" w:cs="Times New Roman"/>
          <w:sz w:val="24"/>
          <w:szCs w:val="24"/>
        </w:rPr>
        <w:t xml:space="preserve"> students who continue into the second half of LRNC B530 (LRNC B530</w:t>
      </w:r>
      <w:r w:rsidRPr="0085342A">
        <w:rPr>
          <w:rFonts w:ascii="Times New Roman" w:hAnsi="Times New Roman" w:cs="Times New Roman"/>
          <w:i/>
          <w:sz w:val="24"/>
          <w:szCs w:val="24"/>
        </w:rPr>
        <w:t>s</w:t>
      </w:r>
      <w:r>
        <w:rPr>
          <w:rFonts w:ascii="Times New Roman" w:hAnsi="Times New Roman" w:cs="Times New Roman"/>
          <w:sz w:val="24"/>
          <w:szCs w:val="24"/>
        </w:rPr>
        <w:t xml:space="preserve">) retain an advantage </w:t>
      </w:r>
      <w:r w:rsidR="007E0EBC">
        <w:rPr>
          <w:rFonts w:ascii="Times New Roman" w:hAnsi="Times New Roman" w:cs="Times New Roman"/>
          <w:sz w:val="24"/>
          <w:szCs w:val="24"/>
        </w:rPr>
        <w:t>in the completion of a STEM-track math course over their peers who enter through Math B65 or Math B60</w:t>
      </w:r>
      <w:r>
        <w:rPr>
          <w:rFonts w:ascii="Times New Roman" w:hAnsi="Times New Roman" w:cs="Times New Roman"/>
          <w:sz w:val="24"/>
          <w:szCs w:val="24"/>
        </w:rPr>
        <w:t xml:space="preserve">.  However, in a reversal of the findings described </w:t>
      </w:r>
      <w:r w:rsidRPr="0085342A">
        <w:rPr>
          <w:rFonts w:ascii="Times New Roman" w:hAnsi="Times New Roman" w:cs="Times New Roman"/>
          <w:sz w:val="24"/>
          <w:szCs w:val="24"/>
        </w:rPr>
        <w:t>earlier in this section, Math B65 students who continue into Math B22 or Psyc B5 are more likely to achieve associate- or transfer-level quantitative competency (combined) and transfer-level competency (distinct from associate-level) than are LRNC B530</w:t>
      </w:r>
      <w:r w:rsidRPr="0085342A">
        <w:rPr>
          <w:rFonts w:ascii="Times New Roman" w:hAnsi="Times New Roman" w:cs="Times New Roman"/>
          <w:i/>
          <w:sz w:val="24"/>
          <w:szCs w:val="24"/>
        </w:rPr>
        <w:t>f</w:t>
      </w:r>
      <w:r w:rsidRPr="0085342A">
        <w:rPr>
          <w:rFonts w:ascii="Times New Roman" w:hAnsi="Times New Roman" w:cs="Times New Roman"/>
          <w:sz w:val="24"/>
          <w:szCs w:val="24"/>
        </w:rPr>
        <w:t>-B530</w:t>
      </w:r>
      <w:r w:rsidRPr="0085342A">
        <w:rPr>
          <w:rFonts w:ascii="Times New Roman" w:hAnsi="Times New Roman" w:cs="Times New Roman"/>
          <w:i/>
          <w:sz w:val="24"/>
          <w:szCs w:val="24"/>
        </w:rPr>
        <w:t>s</w:t>
      </w:r>
      <w:r w:rsidRPr="0085342A">
        <w:rPr>
          <w:rFonts w:ascii="Times New Roman" w:hAnsi="Times New Roman" w:cs="Times New Roman"/>
          <w:sz w:val="24"/>
          <w:szCs w:val="24"/>
        </w:rPr>
        <w:t xml:space="preserve"> students and Math B60 students who continue into Math B70.  This change is a consequence of the fact that, on one hand, students who enter the developmental math curriculum through Math B65 are among the </w:t>
      </w:r>
      <w:r w:rsidRPr="0085342A">
        <w:rPr>
          <w:rFonts w:ascii="Times New Roman" w:hAnsi="Times New Roman" w:cs="Times New Roman"/>
          <w:i/>
          <w:sz w:val="24"/>
          <w:szCs w:val="24"/>
        </w:rPr>
        <w:t>least</w:t>
      </w:r>
      <w:r w:rsidRPr="0085342A">
        <w:rPr>
          <w:rFonts w:ascii="Times New Roman" w:hAnsi="Times New Roman" w:cs="Times New Roman"/>
          <w:sz w:val="24"/>
          <w:szCs w:val="24"/>
        </w:rPr>
        <w:t xml:space="preserve"> likely to attempt a second quantitative course, regardless of whether they pass Math B65 on the first attempt or not.  On the other hand, students who do pass Math B65 on the first attempt and then </w:t>
      </w:r>
      <w:r>
        <w:rPr>
          <w:rFonts w:ascii="Times New Roman" w:hAnsi="Times New Roman" w:cs="Times New Roman"/>
          <w:sz w:val="24"/>
          <w:szCs w:val="24"/>
        </w:rPr>
        <w:t xml:space="preserve">choose to </w:t>
      </w:r>
      <w:r w:rsidRPr="0085342A">
        <w:rPr>
          <w:rFonts w:ascii="Times New Roman" w:hAnsi="Times New Roman" w:cs="Times New Roman"/>
          <w:sz w:val="24"/>
          <w:szCs w:val="24"/>
        </w:rPr>
        <w:t xml:space="preserve">proceed into Math B22 or Psyc B5 are enrolling </w:t>
      </w:r>
      <w:r>
        <w:rPr>
          <w:rFonts w:ascii="Times New Roman" w:hAnsi="Times New Roman" w:cs="Times New Roman"/>
          <w:sz w:val="24"/>
          <w:szCs w:val="24"/>
        </w:rPr>
        <w:t xml:space="preserve">directly </w:t>
      </w:r>
      <w:r w:rsidRPr="0085342A">
        <w:rPr>
          <w:rFonts w:ascii="Times New Roman" w:hAnsi="Times New Roman" w:cs="Times New Roman"/>
          <w:sz w:val="24"/>
          <w:szCs w:val="24"/>
        </w:rPr>
        <w:t xml:space="preserve">in a transfer-level course, </w:t>
      </w:r>
      <w:r>
        <w:rPr>
          <w:rFonts w:ascii="Times New Roman" w:hAnsi="Times New Roman" w:cs="Times New Roman"/>
          <w:sz w:val="24"/>
          <w:szCs w:val="24"/>
        </w:rPr>
        <w:t xml:space="preserve">bypassing </w:t>
      </w:r>
      <w:r w:rsidR="007E0EBC">
        <w:rPr>
          <w:rFonts w:ascii="Times New Roman" w:hAnsi="Times New Roman" w:cs="Times New Roman"/>
          <w:sz w:val="24"/>
          <w:szCs w:val="24"/>
        </w:rPr>
        <w:t xml:space="preserve">what is </w:t>
      </w:r>
      <w:r w:rsidR="005A5A60">
        <w:rPr>
          <w:rFonts w:ascii="Times New Roman" w:hAnsi="Times New Roman" w:cs="Times New Roman"/>
          <w:sz w:val="24"/>
          <w:szCs w:val="24"/>
        </w:rPr>
        <w:t>effectively</w:t>
      </w:r>
      <w:r w:rsidR="007E0EBC">
        <w:rPr>
          <w:rFonts w:ascii="Times New Roman" w:hAnsi="Times New Roman" w:cs="Times New Roman"/>
          <w:sz w:val="24"/>
          <w:szCs w:val="24"/>
        </w:rPr>
        <w:t xml:space="preserve"> a</w:t>
      </w:r>
      <w:r>
        <w:rPr>
          <w:rFonts w:ascii="Times New Roman" w:hAnsi="Times New Roman" w:cs="Times New Roman"/>
          <w:sz w:val="24"/>
          <w:szCs w:val="24"/>
        </w:rPr>
        <w:t xml:space="preserve"> second developmental course required of students who enter the curriculum through LRNC B530</w:t>
      </w:r>
      <w:r w:rsidRPr="0085342A">
        <w:rPr>
          <w:rFonts w:ascii="Times New Roman" w:hAnsi="Times New Roman" w:cs="Times New Roman"/>
          <w:i/>
          <w:sz w:val="24"/>
          <w:szCs w:val="24"/>
        </w:rPr>
        <w:t>f</w:t>
      </w:r>
      <w:r>
        <w:rPr>
          <w:rFonts w:ascii="Times New Roman" w:hAnsi="Times New Roman" w:cs="Times New Roman"/>
          <w:sz w:val="24"/>
          <w:szCs w:val="24"/>
        </w:rPr>
        <w:t xml:space="preserve"> </w:t>
      </w:r>
      <w:r w:rsidR="005A5A60">
        <w:rPr>
          <w:rFonts w:ascii="Times New Roman" w:hAnsi="Times New Roman" w:cs="Times New Roman"/>
          <w:sz w:val="24"/>
          <w:szCs w:val="24"/>
        </w:rPr>
        <w:t xml:space="preserve">(and what is factually a second developmental course for students who enter the curriculum through </w:t>
      </w:r>
      <w:r>
        <w:rPr>
          <w:rFonts w:ascii="Times New Roman" w:hAnsi="Times New Roman" w:cs="Times New Roman"/>
          <w:sz w:val="24"/>
          <w:szCs w:val="24"/>
        </w:rPr>
        <w:t>Math B60</w:t>
      </w:r>
      <w:r w:rsidR="005A5A60">
        <w:rPr>
          <w:rFonts w:ascii="Times New Roman" w:hAnsi="Times New Roman" w:cs="Times New Roman"/>
          <w:sz w:val="24"/>
          <w:szCs w:val="24"/>
        </w:rPr>
        <w:t>)</w:t>
      </w:r>
      <w:r>
        <w:rPr>
          <w:rFonts w:ascii="Times New Roman" w:hAnsi="Times New Roman" w:cs="Times New Roman"/>
          <w:sz w:val="24"/>
          <w:szCs w:val="24"/>
        </w:rPr>
        <w:t xml:space="preserve">.  Thus, </w:t>
      </w:r>
      <w:r w:rsidR="007E0EBC">
        <w:rPr>
          <w:rFonts w:ascii="Times New Roman" w:hAnsi="Times New Roman" w:cs="Times New Roman"/>
          <w:sz w:val="24"/>
          <w:szCs w:val="24"/>
        </w:rPr>
        <w:t xml:space="preserve">at least </w:t>
      </w:r>
      <w:r>
        <w:rPr>
          <w:rFonts w:ascii="Times New Roman" w:hAnsi="Times New Roman" w:cs="Times New Roman"/>
          <w:sz w:val="24"/>
          <w:szCs w:val="24"/>
        </w:rPr>
        <w:t xml:space="preserve">among </w:t>
      </w:r>
      <w:r w:rsidR="007E0EBC">
        <w:rPr>
          <w:rFonts w:ascii="Times New Roman" w:hAnsi="Times New Roman" w:cs="Times New Roman"/>
          <w:sz w:val="24"/>
          <w:szCs w:val="24"/>
        </w:rPr>
        <w:t xml:space="preserve">the fraction of </w:t>
      </w:r>
      <w:r>
        <w:rPr>
          <w:rFonts w:ascii="Times New Roman" w:hAnsi="Times New Roman" w:cs="Times New Roman"/>
          <w:sz w:val="24"/>
          <w:szCs w:val="24"/>
        </w:rPr>
        <w:t xml:space="preserve">Math B65 students who </w:t>
      </w:r>
      <w:r w:rsidR="007E0EBC">
        <w:rPr>
          <w:rFonts w:ascii="Times New Roman" w:hAnsi="Times New Roman" w:cs="Times New Roman"/>
          <w:sz w:val="24"/>
          <w:szCs w:val="24"/>
        </w:rPr>
        <w:t xml:space="preserve">pass the course on the first attempt and then </w:t>
      </w:r>
      <w:r>
        <w:rPr>
          <w:rFonts w:ascii="Times New Roman" w:hAnsi="Times New Roman" w:cs="Times New Roman"/>
          <w:sz w:val="24"/>
          <w:szCs w:val="24"/>
        </w:rPr>
        <w:t xml:space="preserve">advance to Math B22 or Psyc B5, </w:t>
      </w:r>
      <w:r w:rsidRPr="0085342A">
        <w:rPr>
          <w:rFonts w:ascii="Times New Roman" w:hAnsi="Times New Roman" w:cs="Times New Roman"/>
          <w:sz w:val="24"/>
          <w:szCs w:val="24"/>
        </w:rPr>
        <w:t xml:space="preserve">even a low rate of first-attempt success in </w:t>
      </w:r>
      <w:r>
        <w:rPr>
          <w:rFonts w:ascii="Times New Roman" w:hAnsi="Times New Roman" w:cs="Times New Roman"/>
          <w:sz w:val="24"/>
          <w:szCs w:val="24"/>
        </w:rPr>
        <w:t xml:space="preserve">the </w:t>
      </w:r>
      <w:r w:rsidRPr="0085342A">
        <w:rPr>
          <w:rFonts w:ascii="Times New Roman" w:hAnsi="Times New Roman" w:cs="Times New Roman"/>
          <w:sz w:val="24"/>
          <w:szCs w:val="24"/>
        </w:rPr>
        <w:t xml:space="preserve">second course (as is observed in Math B22) can offer an advantage in the overall rate at which students achieve college-level competency.  </w:t>
      </w:r>
    </w:p>
    <w:p w14:paraId="6F01AE6F" w14:textId="77777777" w:rsidR="00F712DA" w:rsidRDefault="00F712DA" w:rsidP="00F712DA">
      <w:pPr>
        <w:spacing w:after="0" w:line="240" w:lineRule="auto"/>
        <w:rPr>
          <w:rFonts w:ascii="Times New Roman" w:hAnsi="Times New Roman" w:cs="Times New Roman"/>
          <w:sz w:val="24"/>
          <w:szCs w:val="24"/>
        </w:rPr>
      </w:pPr>
    </w:p>
    <w:p w14:paraId="2E8DBAA2" w14:textId="518795CE" w:rsidR="00F712DA" w:rsidRDefault="00F712DA" w:rsidP="00F712D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Turning to </w:t>
      </w:r>
      <w:r w:rsidRPr="0085342A">
        <w:rPr>
          <w:rFonts w:ascii="Times New Roman" w:hAnsi="Times New Roman" w:cs="Times New Roman"/>
          <w:i/>
          <w:sz w:val="24"/>
          <w:szCs w:val="24"/>
        </w:rPr>
        <w:t>students pursuing goals other than transfer</w:t>
      </w:r>
      <w:r>
        <w:rPr>
          <w:rFonts w:ascii="Times New Roman" w:hAnsi="Times New Roman" w:cs="Times New Roman"/>
          <w:sz w:val="24"/>
          <w:szCs w:val="24"/>
        </w:rPr>
        <w:t>, after accounting for differences in the distributions of student characteristics, LRNC B530</w:t>
      </w:r>
      <w:r w:rsidRPr="0085342A">
        <w:rPr>
          <w:rFonts w:ascii="Times New Roman" w:hAnsi="Times New Roman" w:cs="Times New Roman"/>
          <w:i/>
          <w:sz w:val="24"/>
          <w:szCs w:val="24"/>
        </w:rPr>
        <w:t>f</w:t>
      </w:r>
      <w:r>
        <w:rPr>
          <w:rFonts w:ascii="Times New Roman" w:hAnsi="Times New Roman" w:cs="Times New Roman"/>
          <w:sz w:val="24"/>
          <w:szCs w:val="24"/>
        </w:rPr>
        <w:t xml:space="preserve"> students are more likely than are Math B65 students or Math B60 students to achieve associate- or transfer-level competency (combined), to achieve transfer-level competency </w:t>
      </w:r>
      <w:r w:rsidRPr="0085342A">
        <w:rPr>
          <w:rFonts w:ascii="Times New Roman" w:hAnsi="Times New Roman" w:cs="Times New Roman"/>
          <w:sz w:val="24"/>
          <w:szCs w:val="24"/>
        </w:rPr>
        <w:t>(distinct from associate-level)</w:t>
      </w:r>
      <w:r>
        <w:rPr>
          <w:rFonts w:ascii="Times New Roman" w:hAnsi="Times New Roman" w:cs="Times New Roman"/>
          <w:sz w:val="24"/>
          <w:szCs w:val="24"/>
        </w:rPr>
        <w:t xml:space="preserve">, and to complete a STEM-track math course.  In turn, Math B60 students are </w:t>
      </w:r>
      <w:r w:rsidRPr="0085342A">
        <w:rPr>
          <w:rFonts w:ascii="Times New Roman" w:hAnsi="Times New Roman" w:cs="Times New Roman"/>
          <w:i/>
          <w:sz w:val="24"/>
          <w:szCs w:val="24"/>
        </w:rPr>
        <w:t>much</w:t>
      </w:r>
      <w:r>
        <w:rPr>
          <w:rFonts w:ascii="Times New Roman" w:hAnsi="Times New Roman" w:cs="Times New Roman"/>
          <w:sz w:val="24"/>
          <w:szCs w:val="24"/>
        </w:rPr>
        <w:t xml:space="preserve"> more likely than are Math B65 students to achieve associate- or transfer-level competency (combined), but modestly </w:t>
      </w:r>
      <w:r w:rsidRPr="0085342A">
        <w:rPr>
          <w:rFonts w:ascii="Times New Roman" w:hAnsi="Times New Roman" w:cs="Times New Roman"/>
          <w:i/>
          <w:sz w:val="24"/>
          <w:szCs w:val="24"/>
        </w:rPr>
        <w:t>less</w:t>
      </w:r>
      <w:r>
        <w:rPr>
          <w:rFonts w:ascii="Times New Roman" w:hAnsi="Times New Roman" w:cs="Times New Roman"/>
          <w:sz w:val="24"/>
          <w:szCs w:val="24"/>
        </w:rPr>
        <w:t xml:space="preserve"> likely than </w:t>
      </w:r>
      <w:r w:rsidR="007E0EBC">
        <w:rPr>
          <w:rFonts w:ascii="Times New Roman" w:hAnsi="Times New Roman" w:cs="Times New Roman"/>
          <w:sz w:val="24"/>
          <w:szCs w:val="24"/>
        </w:rPr>
        <w:t xml:space="preserve">are </w:t>
      </w:r>
      <w:r>
        <w:rPr>
          <w:rFonts w:ascii="Times New Roman" w:hAnsi="Times New Roman" w:cs="Times New Roman"/>
          <w:sz w:val="24"/>
          <w:szCs w:val="24"/>
        </w:rPr>
        <w:t xml:space="preserve">Math B65 students to achieve transfer-level competency.  These results hold when the sample includes both students who were successful in their first math course and those who were unsuccessful, and also when the sample is limited </w:t>
      </w:r>
      <w:r w:rsidR="007E0EBC">
        <w:rPr>
          <w:rFonts w:ascii="Times New Roman" w:hAnsi="Times New Roman" w:cs="Times New Roman"/>
          <w:sz w:val="24"/>
          <w:szCs w:val="24"/>
        </w:rPr>
        <w:t xml:space="preserve">just </w:t>
      </w:r>
      <w:r>
        <w:rPr>
          <w:rFonts w:ascii="Times New Roman" w:hAnsi="Times New Roman" w:cs="Times New Roman"/>
          <w:sz w:val="24"/>
          <w:szCs w:val="24"/>
        </w:rPr>
        <w:t xml:space="preserve">to students who were successful in their first math course.  </w:t>
      </w:r>
    </w:p>
    <w:p w14:paraId="0E3D9852" w14:textId="77777777" w:rsidR="00F712DA" w:rsidRDefault="00F712DA" w:rsidP="00F712DA">
      <w:pPr>
        <w:spacing w:after="0" w:line="240" w:lineRule="auto"/>
        <w:rPr>
          <w:rFonts w:ascii="Times New Roman" w:hAnsi="Times New Roman" w:cs="Times New Roman"/>
          <w:sz w:val="24"/>
          <w:szCs w:val="24"/>
        </w:rPr>
      </w:pPr>
    </w:p>
    <w:p w14:paraId="6C092F7E" w14:textId="696F3EBD" w:rsidR="00F712DA" w:rsidRDefault="00F712DA" w:rsidP="00F712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sample is limited to students seeking goals other than transfer, who were successful in their first math course, and who attempted a second course that fit one of the common math pathways identified in this study, comparisons with students who entered the curriculum through B65 are not supported by the regression model because the numbers of students achieving the outcomes of interest </w:t>
      </w:r>
      <w:r w:rsidR="007E0EBC">
        <w:rPr>
          <w:rFonts w:ascii="Times New Roman" w:hAnsi="Times New Roman" w:cs="Times New Roman"/>
          <w:sz w:val="24"/>
          <w:szCs w:val="24"/>
        </w:rPr>
        <w:t>are</w:t>
      </w:r>
      <w:r>
        <w:rPr>
          <w:rFonts w:ascii="Times New Roman" w:hAnsi="Times New Roman" w:cs="Times New Roman"/>
          <w:sz w:val="24"/>
          <w:szCs w:val="24"/>
        </w:rPr>
        <w:t xml:space="preserve"> either too low or too high.  None of the Math B65-B22 students who passed their first math course on the first attempt achieved any of the three outcomes.  None of the Math B65-Psyc B5 students who passed their first math course on the first attempt achieved STEM-track competency, but all of them achieved associate- or transfer-level competency (combined) and transfer-level competency (distinct from associate-level).  </w:t>
      </w:r>
    </w:p>
    <w:p w14:paraId="376FED55" w14:textId="77777777" w:rsidR="00F712DA" w:rsidRDefault="00F712DA" w:rsidP="00F712DA">
      <w:pPr>
        <w:spacing w:after="0" w:line="240" w:lineRule="auto"/>
        <w:rPr>
          <w:rFonts w:ascii="Times New Roman" w:hAnsi="Times New Roman" w:cs="Times New Roman"/>
          <w:sz w:val="24"/>
          <w:szCs w:val="24"/>
        </w:rPr>
      </w:pPr>
    </w:p>
    <w:p w14:paraId="5BF0B9C2" w14:textId="5D06163B" w:rsidR="00F712DA" w:rsidRDefault="00F712DA" w:rsidP="00F712DA">
      <w:pPr>
        <w:spacing w:after="0" w:line="240" w:lineRule="auto"/>
        <w:rPr>
          <w:rFonts w:ascii="Times New Roman" w:hAnsi="Times New Roman" w:cs="Times New Roman"/>
          <w:sz w:val="24"/>
          <w:szCs w:val="24"/>
        </w:rPr>
      </w:pPr>
      <w:r w:rsidRPr="00427118">
        <w:rPr>
          <w:rFonts w:ascii="Times New Roman" w:hAnsi="Times New Roman" w:cs="Times New Roman"/>
          <w:sz w:val="24"/>
          <w:szCs w:val="24"/>
        </w:rPr>
        <w:t>Setting aside these exclusions, LRNC B530</w:t>
      </w:r>
      <w:r w:rsidRPr="0085342A">
        <w:rPr>
          <w:rFonts w:ascii="Times New Roman" w:hAnsi="Times New Roman" w:cs="Times New Roman"/>
          <w:i/>
          <w:sz w:val="24"/>
          <w:szCs w:val="24"/>
        </w:rPr>
        <w:t>f</w:t>
      </w:r>
      <w:r w:rsidRPr="00427118">
        <w:rPr>
          <w:rFonts w:ascii="Times New Roman" w:hAnsi="Times New Roman" w:cs="Times New Roman"/>
          <w:sz w:val="24"/>
          <w:szCs w:val="24"/>
        </w:rPr>
        <w:t>-B530</w:t>
      </w:r>
      <w:r w:rsidRPr="0085342A">
        <w:rPr>
          <w:rFonts w:ascii="Times New Roman" w:hAnsi="Times New Roman" w:cs="Times New Roman"/>
          <w:i/>
          <w:sz w:val="24"/>
          <w:szCs w:val="24"/>
        </w:rPr>
        <w:t>s</w:t>
      </w:r>
      <w:r w:rsidRPr="00427118">
        <w:rPr>
          <w:rFonts w:ascii="Times New Roman" w:hAnsi="Times New Roman" w:cs="Times New Roman"/>
          <w:sz w:val="24"/>
          <w:szCs w:val="24"/>
        </w:rPr>
        <w:t xml:space="preserve"> students are only slightly more likely to achieve associate- or transfer-level competency (combined) than are Math B60</w:t>
      </w:r>
      <w:r>
        <w:rPr>
          <w:rFonts w:ascii="Times New Roman" w:hAnsi="Times New Roman" w:cs="Times New Roman"/>
          <w:sz w:val="24"/>
          <w:szCs w:val="24"/>
        </w:rPr>
        <w:t>-B70</w:t>
      </w:r>
      <w:r w:rsidRPr="00427118">
        <w:rPr>
          <w:rFonts w:ascii="Times New Roman" w:hAnsi="Times New Roman" w:cs="Times New Roman"/>
          <w:sz w:val="24"/>
          <w:szCs w:val="24"/>
        </w:rPr>
        <w:t xml:space="preserve"> students, and the two </w:t>
      </w:r>
      <w:r>
        <w:rPr>
          <w:rFonts w:ascii="Times New Roman" w:hAnsi="Times New Roman" w:cs="Times New Roman"/>
          <w:sz w:val="24"/>
          <w:szCs w:val="24"/>
        </w:rPr>
        <w:t xml:space="preserve">groups </w:t>
      </w:r>
      <w:r w:rsidRPr="00427118">
        <w:rPr>
          <w:rFonts w:ascii="Times New Roman" w:hAnsi="Times New Roman" w:cs="Times New Roman"/>
          <w:sz w:val="24"/>
          <w:szCs w:val="24"/>
        </w:rPr>
        <w:t xml:space="preserve">are about equally likely to achieve STEM-track competency.  </w:t>
      </w:r>
      <w:r>
        <w:rPr>
          <w:rFonts w:ascii="Times New Roman" w:hAnsi="Times New Roman" w:cs="Times New Roman"/>
          <w:sz w:val="24"/>
          <w:szCs w:val="24"/>
        </w:rPr>
        <w:t>Conversely</w:t>
      </w:r>
      <w:r w:rsidRPr="00427118">
        <w:rPr>
          <w:rFonts w:ascii="Times New Roman" w:hAnsi="Times New Roman" w:cs="Times New Roman"/>
          <w:sz w:val="24"/>
          <w:szCs w:val="24"/>
        </w:rPr>
        <w:t>, LRNC B530</w:t>
      </w:r>
      <w:r w:rsidRPr="00427118">
        <w:rPr>
          <w:rFonts w:ascii="Times New Roman" w:hAnsi="Times New Roman" w:cs="Times New Roman"/>
          <w:i/>
          <w:sz w:val="24"/>
          <w:szCs w:val="24"/>
        </w:rPr>
        <w:t>f</w:t>
      </w:r>
      <w:r w:rsidRPr="00427118">
        <w:rPr>
          <w:rFonts w:ascii="Times New Roman" w:hAnsi="Times New Roman" w:cs="Times New Roman"/>
          <w:sz w:val="24"/>
          <w:szCs w:val="24"/>
        </w:rPr>
        <w:t>-B530</w:t>
      </w:r>
      <w:r w:rsidRPr="00427118">
        <w:rPr>
          <w:rFonts w:ascii="Times New Roman" w:hAnsi="Times New Roman" w:cs="Times New Roman"/>
          <w:i/>
          <w:sz w:val="24"/>
          <w:szCs w:val="24"/>
        </w:rPr>
        <w:t>s</w:t>
      </w:r>
      <w:r w:rsidRPr="0085342A">
        <w:rPr>
          <w:rFonts w:ascii="Times New Roman" w:hAnsi="Times New Roman" w:cs="Times New Roman"/>
          <w:sz w:val="24"/>
          <w:szCs w:val="24"/>
        </w:rPr>
        <w:t xml:space="preserve"> are much more likely than are Math </w:t>
      </w:r>
      <w:r w:rsidRPr="00427118">
        <w:rPr>
          <w:rFonts w:ascii="Times New Roman" w:hAnsi="Times New Roman" w:cs="Times New Roman"/>
          <w:sz w:val="24"/>
          <w:szCs w:val="24"/>
        </w:rPr>
        <w:t>B60</w:t>
      </w:r>
      <w:r>
        <w:rPr>
          <w:rFonts w:ascii="Times New Roman" w:hAnsi="Times New Roman" w:cs="Times New Roman"/>
          <w:sz w:val="24"/>
          <w:szCs w:val="24"/>
        </w:rPr>
        <w:t xml:space="preserve">-B70 </w:t>
      </w:r>
      <w:r w:rsidRPr="0085342A">
        <w:rPr>
          <w:rFonts w:ascii="Times New Roman" w:hAnsi="Times New Roman" w:cs="Times New Roman"/>
          <w:sz w:val="24"/>
          <w:szCs w:val="24"/>
        </w:rPr>
        <w:t>students to achieve transfer-level competency (</w:t>
      </w:r>
      <w:r>
        <w:rPr>
          <w:rFonts w:ascii="Times New Roman" w:hAnsi="Times New Roman" w:cs="Times New Roman"/>
          <w:sz w:val="24"/>
          <w:szCs w:val="24"/>
        </w:rPr>
        <w:t>distinct</w:t>
      </w:r>
      <w:r w:rsidRPr="0085342A">
        <w:rPr>
          <w:rFonts w:ascii="Times New Roman" w:hAnsi="Times New Roman" w:cs="Times New Roman"/>
          <w:sz w:val="24"/>
          <w:szCs w:val="24"/>
        </w:rPr>
        <w:t xml:space="preserve"> from associate-level</w:t>
      </w:r>
      <w:r>
        <w:rPr>
          <w:rFonts w:ascii="Times New Roman" w:hAnsi="Times New Roman" w:cs="Times New Roman"/>
          <w:sz w:val="24"/>
          <w:szCs w:val="24"/>
        </w:rPr>
        <w:t xml:space="preserve"> competency</w:t>
      </w:r>
      <w:r w:rsidRPr="0085342A">
        <w:rPr>
          <w:rFonts w:ascii="Times New Roman" w:hAnsi="Times New Roman" w:cs="Times New Roman"/>
          <w:sz w:val="24"/>
          <w:szCs w:val="24"/>
        </w:rPr>
        <w:t>).</w:t>
      </w:r>
    </w:p>
    <w:p w14:paraId="59C2655D" w14:textId="77777777" w:rsidR="00F712DA" w:rsidRDefault="00F712DA" w:rsidP="005F55D9">
      <w:pPr>
        <w:spacing w:after="0" w:line="240" w:lineRule="auto"/>
        <w:rPr>
          <w:rFonts w:ascii="Times New Roman" w:hAnsi="Times New Roman" w:cs="Times New Roman"/>
          <w:sz w:val="24"/>
          <w:szCs w:val="24"/>
          <w:u w:val="single"/>
        </w:rPr>
      </w:pPr>
    </w:p>
    <w:p w14:paraId="1AFC02C8" w14:textId="566244E3" w:rsidR="00F530C6" w:rsidRDefault="00F530C6" w:rsidP="005F55D9">
      <w:pPr>
        <w:spacing w:after="0" w:line="240" w:lineRule="auto"/>
        <w:rPr>
          <w:rFonts w:ascii="Times New Roman" w:hAnsi="Times New Roman" w:cs="Times New Roman"/>
          <w:sz w:val="24"/>
          <w:szCs w:val="24"/>
          <w:u w:val="single"/>
        </w:rPr>
      </w:pPr>
      <w:r w:rsidRPr="0072729B">
        <w:rPr>
          <w:rFonts w:ascii="Times New Roman" w:hAnsi="Times New Roman" w:cs="Times New Roman"/>
          <w:sz w:val="24"/>
          <w:szCs w:val="24"/>
          <w:u w:val="single"/>
        </w:rPr>
        <w:t>Developmental versus Transfer-level Math</w:t>
      </w:r>
    </w:p>
    <w:p w14:paraId="2908AB7E" w14:textId="5A4A9229" w:rsidR="005F55D9" w:rsidRDefault="005F55D9" w:rsidP="007A3580">
      <w:pPr>
        <w:spacing w:after="0" w:line="240" w:lineRule="auto"/>
        <w:rPr>
          <w:rFonts w:ascii="Times New Roman" w:hAnsi="Times New Roman" w:cs="Times New Roman"/>
          <w:sz w:val="24"/>
          <w:szCs w:val="24"/>
        </w:rPr>
      </w:pPr>
    </w:p>
    <w:p w14:paraId="0035981D" w14:textId="7A824F72" w:rsidR="00437A97" w:rsidRDefault="00795D7F" w:rsidP="00795D7F">
      <w:pPr>
        <w:spacing w:after="0" w:line="240" w:lineRule="auto"/>
        <w:rPr>
          <w:rFonts w:ascii="Times New Roman" w:hAnsi="Times New Roman" w:cs="Times New Roman"/>
          <w:sz w:val="24"/>
          <w:szCs w:val="24"/>
        </w:rPr>
      </w:pPr>
      <w:r w:rsidRPr="0082328E">
        <w:rPr>
          <w:rFonts w:ascii="Times New Roman" w:hAnsi="Times New Roman" w:cs="Times New Roman"/>
          <w:sz w:val="24"/>
          <w:szCs w:val="24"/>
        </w:rPr>
        <w:t xml:space="preserve">Taking into account differences in high school achievement and other students characteristics, the highest likelihood of achieving </w:t>
      </w:r>
      <w:r>
        <w:rPr>
          <w:rFonts w:ascii="Times New Roman" w:hAnsi="Times New Roman" w:cs="Times New Roman"/>
          <w:sz w:val="24"/>
          <w:szCs w:val="24"/>
        </w:rPr>
        <w:t xml:space="preserve">associate- or transfer-level quantitative competency (either or both) </w:t>
      </w:r>
      <w:r w:rsidR="00437A97">
        <w:rPr>
          <w:rFonts w:ascii="Times New Roman" w:hAnsi="Times New Roman" w:cs="Times New Roman"/>
          <w:sz w:val="24"/>
          <w:szCs w:val="24"/>
        </w:rPr>
        <w:t xml:space="preserve">within one year of first enrolling in math </w:t>
      </w:r>
      <w:r>
        <w:rPr>
          <w:rFonts w:ascii="Times New Roman" w:hAnsi="Times New Roman" w:cs="Times New Roman"/>
          <w:sz w:val="24"/>
          <w:szCs w:val="24"/>
        </w:rPr>
        <w:t xml:space="preserve">is found among students who enter the curriculum through Psyc B5, followed by LRNC B530, and then Math B70.  </w:t>
      </w:r>
      <w:r w:rsidR="000B4534">
        <w:rPr>
          <w:rFonts w:ascii="Times New Roman" w:hAnsi="Times New Roman" w:cs="Times New Roman"/>
          <w:sz w:val="24"/>
          <w:szCs w:val="24"/>
        </w:rPr>
        <w:t>These findings hold</w:t>
      </w:r>
      <w:r>
        <w:rPr>
          <w:rFonts w:ascii="Times New Roman" w:hAnsi="Times New Roman" w:cs="Times New Roman"/>
          <w:sz w:val="24"/>
          <w:szCs w:val="24"/>
        </w:rPr>
        <w:t xml:space="preserve"> true across </w:t>
      </w:r>
      <w:r w:rsidR="000B4534">
        <w:rPr>
          <w:rFonts w:ascii="Times New Roman" w:hAnsi="Times New Roman" w:cs="Times New Roman"/>
          <w:sz w:val="24"/>
          <w:szCs w:val="24"/>
        </w:rPr>
        <w:t xml:space="preserve">all </w:t>
      </w:r>
      <w:r w:rsidR="00437A97">
        <w:rPr>
          <w:rFonts w:ascii="Times New Roman" w:hAnsi="Times New Roman" w:cs="Times New Roman"/>
          <w:sz w:val="24"/>
          <w:szCs w:val="24"/>
        </w:rPr>
        <w:t xml:space="preserve">levels of </w:t>
      </w:r>
      <w:r>
        <w:rPr>
          <w:rFonts w:ascii="Times New Roman" w:hAnsi="Times New Roman" w:cs="Times New Roman"/>
          <w:sz w:val="24"/>
          <w:szCs w:val="24"/>
        </w:rPr>
        <w:t>high school of achievement</w:t>
      </w:r>
      <w:r w:rsidR="000B4534">
        <w:rPr>
          <w:rFonts w:ascii="Times New Roman" w:hAnsi="Times New Roman" w:cs="Times New Roman"/>
          <w:sz w:val="24"/>
          <w:szCs w:val="24"/>
        </w:rPr>
        <w:t xml:space="preserve"> considered in this analysis</w:t>
      </w:r>
      <w:r>
        <w:rPr>
          <w:rFonts w:ascii="Times New Roman" w:hAnsi="Times New Roman" w:cs="Times New Roman"/>
          <w:sz w:val="24"/>
          <w:szCs w:val="24"/>
        </w:rPr>
        <w:t xml:space="preserve">.  </w:t>
      </w:r>
    </w:p>
    <w:p w14:paraId="1C920A69" w14:textId="77777777" w:rsidR="00437A97" w:rsidRDefault="00437A97" w:rsidP="00795D7F">
      <w:pPr>
        <w:spacing w:after="0" w:line="240" w:lineRule="auto"/>
        <w:rPr>
          <w:rFonts w:ascii="Times New Roman" w:hAnsi="Times New Roman" w:cs="Times New Roman"/>
          <w:sz w:val="24"/>
          <w:szCs w:val="24"/>
        </w:rPr>
      </w:pPr>
    </w:p>
    <w:p w14:paraId="3F8BBF4A" w14:textId="2DFAD08F" w:rsidR="00795D7F" w:rsidRPr="0082328E" w:rsidRDefault="00437A97" w:rsidP="00795D7F">
      <w:pPr>
        <w:spacing w:after="0" w:line="240" w:lineRule="auto"/>
        <w:rPr>
          <w:rFonts w:ascii="Times New Roman" w:hAnsi="Times New Roman" w:cs="Times New Roman"/>
          <w:sz w:val="24"/>
          <w:szCs w:val="24"/>
        </w:rPr>
      </w:pPr>
      <w:r>
        <w:rPr>
          <w:rFonts w:ascii="Times New Roman" w:hAnsi="Times New Roman" w:cs="Times New Roman"/>
          <w:sz w:val="24"/>
          <w:szCs w:val="24"/>
        </w:rPr>
        <w:t>The highest likelihood of achieving transfer-level quantitative competency (distinct from associate-level)</w:t>
      </w:r>
      <w:r w:rsidR="000B4534">
        <w:rPr>
          <w:rFonts w:ascii="Times New Roman" w:hAnsi="Times New Roman" w:cs="Times New Roman"/>
          <w:sz w:val="24"/>
          <w:szCs w:val="24"/>
        </w:rPr>
        <w:t xml:space="preserve"> within one year</w:t>
      </w:r>
      <w:r>
        <w:rPr>
          <w:rFonts w:ascii="Times New Roman" w:hAnsi="Times New Roman" w:cs="Times New Roman"/>
          <w:sz w:val="24"/>
          <w:szCs w:val="24"/>
        </w:rPr>
        <w:t xml:space="preserve"> is found </w:t>
      </w:r>
      <w:r w:rsidR="00795D7F" w:rsidRPr="0082328E">
        <w:rPr>
          <w:rFonts w:ascii="Times New Roman" w:hAnsi="Times New Roman" w:cs="Times New Roman"/>
          <w:sz w:val="24"/>
          <w:szCs w:val="24"/>
        </w:rPr>
        <w:t xml:space="preserve">among students who enter the curriculum through </w:t>
      </w:r>
      <w:r>
        <w:rPr>
          <w:rFonts w:ascii="Times New Roman" w:hAnsi="Times New Roman" w:cs="Times New Roman"/>
          <w:sz w:val="24"/>
          <w:szCs w:val="24"/>
        </w:rPr>
        <w:t xml:space="preserve">Psyc B5, followed by Math B22, and then Math B1A.  However, among students with the lowest levels of high school achievement, differences </w:t>
      </w:r>
      <w:r w:rsidR="000B4534">
        <w:rPr>
          <w:rFonts w:ascii="Times New Roman" w:hAnsi="Times New Roman" w:cs="Times New Roman"/>
          <w:sz w:val="24"/>
          <w:szCs w:val="24"/>
        </w:rPr>
        <w:t xml:space="preserve">between entry points </w:t>
      </w:r>
      <w:r>
        <w:rPr>
          <w:rFonts w:ascii="Times New Roman" w:hAnsi="Times New Roman" w:cs="Times New Roman"/>
          <w:sz w:val="24"/>
          <w:szCs w:val="24"/>
        </w:rPr>
        <w:t xml:space="preserve">in the likelihood </w:t>
      </w:r>
      <w:r w:rsidR="000B4534">
        <w:rPr>
          <w:rFonts w:ascii="Times New Roman" w:hAnsi="Times New Roman" w:cs="Times New Roman"/>
          <w:sz w:val="24"/>
          <w:szCs w:val="24"/>
        </w:rPr>
        <w:t xml:space="preserve">of achieving transfer-level competency within one year are </w:t>
      </w:r>
      <w:r w:rsidR="007D58D6">
        <w:rPr>
          <w:rFonts w:ascii="Times New Roman" w:hAnsi="Times New Roman" w:cs="Times New Roman"/>
          <w:sz w:val="24"/>
          <w:szCs w:val="24"/>
        </w:rPr>
        <w:t>very small</w:t>
      </w:r>
      <w:r w:rsidR="000B4534">
        <w:rPr>
          <w:rFonts w:ascii="Times New Roman" w:hAnsi="Times New Roman" w:cs="Times New Roman"/>
          <w:sz w:val="24"/>
          <w:szCs w:val="24"/>
        </w:rPr>
        <w:t xml:space="preserve">, </w:t>
      </w:r>
      <w:r w:rsidR="007D58D6">
        <w:rPr>
          <w:rFonts w:ascii="Times New Roman" w:hAnsi="Times New Roman" w:cs="Times New Roman"/>
          <w:sz w:val="24"/>
          <w:szCs w:val="24"/>
        </w:rPr>
        <w:t xml:space="preserve">with the sole exception of </w:t>
      </w:r>
      <w:r w:rsidR="000B4534">
        <w:rPr>
          <w:rFonts w:ascii="Times New Roman" w:hAnsi="Times New Roman" w:cs="Times New Roman"/>
          <w:sz w:val="24"/>
          <w:szCs w:val="24"/>
        </w:rPr>
        <w:t>a comparatively strong likelihood among Psych B5 students</w:t>
      </w:r>
      <w:r w:rsidR="00795D7F" w:rsidRPr="0082328E">
        <w:rPr>
          <w:rFonts w:ascii="Times New Roman" w:hAnsi="Times New Roman" w:cs="Times New Roman"/>
          <w:sz w:val="24"/>
          <w:szCs w:val="24"/>
        </w:rPr>
        <w:t xml:space="preserve">.  </w:t>
      </w:r>
    </w:p>
    <w:p w14:paraId="1483B4BB" w14:textId="77777777" w:rsidR="009B4453" w:rsidRPr="00E920AF" w:rsidRDefault="009B4453" w:rsidP="009B4453">
      <w:pPr>
        <w:spacing w:after="0" w:line="240" w:lineRule="auto"/>
        <w:rPr>
          <w:rFonts w:ascii="Times New Roman" w:hAnsi="Times New Roman" w:cs="Times New Roman"/>
          <w:sz w:val="24"/>
          <w:szCs w:val="24"/>
        </w:rPr>
      </w:pPr>
    </w:p>
    <w:p w14:paraId="48253032" w14:textId="77777777" w:rsidR="006C421B" w:rsidRDefault="006C421B">
      <w:pPr>
        <w:rPr>
          <w:rFonts w:ascii="Times New Roman" w:hAnsi="Times New Roman" w:cs="Times New Roman"/>
          <w:b/>
          <w:sz w:val="24"/>
          <w:szCs w:val="24"/>
        </w:rPr>
      </w:pPr>
      <w:r>
        <w:rPr>
          <w:rFonts w:ascii="Times New Roman" w:hAnsi="Times New Roman" w:cs="Times New Roman"/>
          <w:b/>
          <w:sz w:val="24"/>
          <w:szCs w:val="24"/>
        </w:rPr>
        <w:br w:type="page"/>
      </w:r>
    </w:p>
    <w:p w14:paraId="11FF451A" w14:textId="4C9340AE" w:rsidR="009B4453" w:rsidRPr="00E920AF" w:rsidRDefault="00655587" w:rsidP="009B445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9B4453" w:rsidRPr="00E920AF">
        <w:rPr>
          <w:rFonts w:ascii="Times New Roman" w:hAnsi="Times New Roman" w:cs="Times New Roman"/>
          <w:b/>
          <w:sz w:val="24"/>
          <w:szCs w:val="24"/>
        </w:rPr>
        <w:t>.2 Key Comparisons in English</w:t>
      </w:r>
    </w:p>
    <w:p w14:paraId="674C196C" w14:textId="77777777" w:rsidR="009B4453" w:rsidRPr="00371EBE" w:rsidRDefault="009B4453" w:rsidP="007A3580">
      <w:pPr>
        <w:spacing w:after="0" w:line="240" w:lineRule="auto"/>
        <w:rPr>
          <w:rFonts w:ascii="Times New Roman" w:hAnsi="Times New Roman" w:cs="Times New Roman"/>
          <w:sz w:val="24"/>
          <w:szCs w:val="24"/>
        </w:rPr>
      </w:pPr>
    </w:p>
    <w:p w14:paraId="5A4D3491" w14:textId="77777777" w:rsidR="00655587" w:rsidRPr="0085342A" w:rsidRDefault="00655587" w:rsidP="00655587">
      <w:pPr>
        <w:spacing w:after="0" w:line="240" w:lineRule="auto"/>
        <w:rPr>
          <w:rFonts w:ascii="Times New Roman" w:hAnsi="Times New Roman" w:cs="Times New Roman"/>
          <w:sz w:val="24"/>
          <w:szCs w:val="24"/>
          <w:u w:val="single"/>
        </w:rPr>
      </w:pPr>
      <w:r w:rsidRPr="0085342A">
        <w:rPr>
          <w:rFonts w:ascii="Times New Roman" w:hAnsi="Times New Roman" w:cs="Times New Roman"/>
          <w:sz w:val="24"/>
          <w:szCs w:val="24"/>
          <w:u w:val="single"/>
        </w:rPr>
        <w:t>Engl B53 versus Engl B60</w:t>
      </w:r>
    </w:p>
    <w:p w14:paraId="5EE6791D" w14:textId="77777777" w:rsidR="00655587" w:rsidRPr="0085342A" w:rsidRDefault="00655587" w:rsidP="00655587">
      <w:pPr>
        <w:spacing w:after="0" w:line="240" w:lineRule="auto"/>
        <w:rPr>
          <w:rFonts w:ascii="Times New Roman" w:hAnsi="Times New Roman" w:cs="Times New Roman"/>
          <w:sz w:val="24"/>
          <w:szCs w:val="24"/>
        </w:rPr>
      </w:pPr>
    </w:p>
    <w:p w14:paraId="4AC13097" w14:textId="770DA58E" w:rsidR="00655587" w:rsidRPr="0085342A" w:rsidRDefault="00655587" w:rsidP="00655587">
      <w:pPr>
        <w:spacing w:after="0" w:line="240" w:lineRule="auto"/>
        <w:rPr>
          <w:rFonts w:ascii="Times New Roman" w:hAnsi="Times New Roman" w:cs="Times New Roman"/>
          <w:sz w:val="24"/>
          <w:szCs w:val="24"/>
        </w:rPr>
      </w:pPr>
      <w:r w:rsidRPr="0085342A">
        <w:rPr>
          <w:rFonts w:ascii="Times New Roman" w:hAnsi="Times New Roman" w:cs="Times New Roman"/>
          <w:color w:val="000000" w:themeColor="text1"/>
          <w:sz w:val="24"/>
          <w:szCs w:val="24"/>
        </w:rPr>
        <w:t>Taking into account differences in the distributions of student characteristics across entry points to the developmental English curriculum, students who enter the curriculum through Engl B53 are consistently more likely to achieve transfer-level English competency than are students who enter the curriculum through the parallel Engl B60 course.  This holds true under each of three tested conditions:  (1) without regard to differences in the rate of first-attempt success between Engl B53 and Engl B60, (2) focusing exclusively on students who succeeded in the first attempt of their first English course, but without regard to differences in the rate of continuation into a second English course, and (3) focusing exclusively on students who succeeded in the first attempt of their first English course and proceeded into a second English course</w:t>
      </w:r>
      <w:r w:rsidR="008156BD">
        <w:rPr>
          <w:rFonts w:ascii="Times New Roman" w:hAnsi="Times New Roman" w:cs="Times New Roman"/>
          <w:color w:val="000000" w:themeColor="text1"/>
          <w:sz w:val="24"/>
          <w:szCs w:val="24"/>
        </w:rPr>
        <w:t>, focusing on the following common pairs</w:t>
      </w:r>
      <w:r w:rsidRPr="0085342A">
        <w:rPr>
          <w:rFonts w:ascii="Times New Roman" w:hAnsi="Times New Roman" w:cs="Times New Roman"/>
          <w:color w:val="000000" w:themeColor="text1"/>
          <w:sz w:val="24"/>
          <w:szCs w:val="24"/>
        </w:rPr>
        <w:t xml:space="preserve">: </w:t>
      </w:r>
      <w:r w:rsidR="00A77FC9">
        <w:rPr>
          <w:rFonts w:ascii="Times New Roman" w:hAnsi="Times New Roman" w:cs="Times New Roman"/>
          <w:color w:val="000000" w:themeColor="text1"/>
          <w:sz w:val="24"/>
          <w:szCs w:val="24"/>
        </w:rPr>
        <w:t xml:space="preserve"> </w:t>
      </w:r>
      <w:r w:rsidRPr="0085342A">
        <w:rPr>
          <w:rFonts w:ascii="Times New Roman" w:hAnsi="Times New Roman" w:cs="Times New Roman"/>
          <w:color w:val="000000" w:themeColor="text1"/>
          <w:sz w:val="24"/>
          <w:szCs w:val="24"/>
        </w:rPr>
        <w:t xml:space="preserve">Engl B53-B1A versus Engl B60-B50. </w:t>
      </w:r>
    </w:p>
    <w:p w14:paraId="7071EFA3" w14:textId="77777777" w:rsidR="00655587" w:rsidRPr="0085342A" w:rsidRDefault="00655587" w:rsidP="00655587">
      <w:pPr>
        <w:spacing w:after="0" w:line="240" w:lineRule="auto"/>
        <w:rPr>
          <w:rFonts w:ascii="Times New Roman" w:hAnsi="Times New Roman" w:cs="Times New Roman"/>
          <w:sz w:val="24"/>
          <w:szCs w:val="24"/>
        </w:rPr>
      </w:pPr>
    </w:p>
    <w:p w14:paraId="5E0337CD" w14:textId="77777777" w:rsidR="00655587" w:rsidRPr="0085342A" w:rsidRDefault="00655587" w:rsidP="00655587">
      <w:pPr>
        <w:spacing w:after="0" w:line="240" w:lineRule="auto"/>
        <w:rPr>
          <w:rFonts w:ascii="Times New Roman" w:hAnsi="Times New Roman" w:cs="Times New Roman"/>
          <w:sz w:val="24"/>
          <w:szCs w:val="24"/>
          <w:u w:val="single"/>
        </w:rPr>
      </w:pPr>
      <w:r w:rsidRPr="0085342A">
        <w:rPr>
          <w:rFonts w:ascii="Times New Roman" w:hAnsi="Times New Roman" w:cs="Times New Roman"/>
          <w:sz w:val="24"/>
          <w:szCs w:val="24"/>
          <w:u w:val="single"/>
        </w:rPr>
        <w:t>LRNC B510 versus Engl B50</w:t>
      </w:r>
    </w:p>
    <w:p w14:paraId="3C80896A" w14:textId="77777777" w:rsidR="00655587" w:rsidRDefault="00655587" w:rsidP="00655587">
      <w:pPr>
        <w:spacing w:after="0" w:line="240" w:lineRule="auto"/>
        <w:rPr>
          <w:rFonts w:ascii="Times New Roman" w:hAnsi="Times New Roman" w:cs="Times New Roman"/>
          <w:sz w:val="24"/>
          <w:szCs w:val="24"/>
        </w:rPr>
      </w:pPr>
    </w:p>
    <w:p w14:paraId="2A248E76" w14:textId="1EEFFAC4" w:rsidR="00655587" w:rsidRDefault="00655587" w:rsidP="0065558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Once other factors are controlled, s</w:t>
      </w:r>
      <w:r w:rsidRPr="00436AB9">
        <w:rPr>
          <w:rFonts w:ascii="Times New Roman" w:hAnsi="Times New Roman" w:cs="Times New Roman"/>
          <w:color w:val="000000" w:themeColor="text1"/>
          <w:sz w:val="24"/>
          <w:szCs w:val="24"/>
        </w:rPr>
        <w:t xml:space="preserve">tudents who enter the </w:t>
      </w:r>
      <w:r>
        <w:rPr>
          <w:rFonts w:ascii="Times New Roman" w:hAnsi="Times New Roman" w:cs="Times New Roman"/>
          <w:color w:val="000000" w:themeColor="text1"/>
          <w:sz w:val="24"/>
          <w:szCs w:val="24"/>
        </w:rPr>
        <w:t xml:space="preserve">developmental English </w:t>
      </w:r>
      <w:r w:rsidRPr="00436AB9">
        <w:rPr>
          <w:rFonts w:ascii="Times New Roman" w:hAnsi="Times New Roman" w:cs="Times New Roman"/>
          <w:color w:val="000000" w:themeColor="text1"/>
          <w:sz w:val="24"/>
          <w:szCs w:val="24"/>
        </w:rPr>
        <w:t>curriculum through the first half of LRN</w:t>
      </w:r>
      <w:r>
        <w:rPr>
          <w:rFonts w:ascii="Times New Roman" w:hAnsi="Times New Roman" w:cs="Times New Roman"/>
          <w:color w:val="000000" w:themeColor="text1"/>
          <w:sz w:val="24"/>
          <w:szCs w:val="24"/>
        </w:rPr>
        <w:t>C</w:t>
      </w:r>
      <w:r w:rsidRPr="00436AB9">
        <w:rPr>
          <w:rFonts w:ascii="Times New Roman" w:hAnsi="Times New Roman" w:cs="Times New Roman"/>
          <w:color w:val="000000" w:themeColor="text1"/>
          <w:sz w:val="24"/>
          <w:szCs w:val="24"/>
        </w:rPr>
        <w:t xml:space="preserve"> B510 (LRN</w:t>
      </w:r>
      <w:r>
        <w:rPr>
          <w:rFonts w:ascii="Times New Roman" w:hAnsi="Times New Roman" w:cs="Times New Roman"/>
          <w:color w:val="000000" w:themeColor="text1"/>
          <w:sz w:val="24"/>
          <w:szCs w:val="24"/>
        </w:rPr>
        <w:t>C</w:t>
      </w:r>
      <w:r w:rsidRPr="00436AB9">
        <w:rPr>
          <w:rFonts w:ascii="Times New Roman" w:hAnsi="Times New Roman" w:cs="Times New Roman"/>
          <w:color w:val="000000" w:themeColor="text1"/>
          <w:sz w:val="24"/>
          <w:szCs w:val="24"/>
        </w:rPr>
        <w:t xml:space="preserve"> B510</w:t>
      </w:r>
      <w:r w:rsidRPr="0085342A">
        <w:rPr>
          <w:rFonts w:ascii="Times New Roman" w:hAnsi="Times New Roman" w:cs="Times New Roman"/>
          <w:i/>
          <w:color w:val="000000" w:themeColor="text1"/>
          <w:sz w:val="24"/>
          <w:szCs w:val="24"/>
        </w:rPr>
        <w:t>f</w:t>
      </w:r>
      <w:r w:rsidRPr="00436A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generally are more likely to achieve transfer-level competency than are students who enter through the parallel Engl B50.  This advantage of LRNC B510 is driven largely by the comparatively high rate of first-attempt success observed among students in </w:t>
      </w:r>
      <w:r w:rsidR="008156BD" w:rsidRPr="00436AB9">
        <w:rPr>
          <w:rFonts w:ascii="Times New Roman" w:hAnsi="Times New Roman" w:cs="Times New Roman"/>
          <w:color w:val="000000" w:themeColor="text1"/>
          <w:sz w:val="24"/>
          <w:szCs w:val="24"/>
        </w:rPr>
        <w:t>LRN</w:t>
      </w:r>
      <w:r w:rsidR="008156BD">
        <w:rPr>
          <w:rFonts w:ascii="Times New Roman" w:hAnsi="Times New Roman" w:cs="Times New Roman"/>
          <w:color w:val="000000" w:themeColor="text1"/>
          <w:sz w:val="24"/>
          <w:szCs w:val="24"/>
        </w:rPr>
        <w:t>C</w:t>
      </w:r>
      <w:r w:rsidR="008156BD" w:rsidRPr="00436AB9">
        <w:rPr>
          <w:rFonts w:ascii="Times New Roman" w:hAnsi="Times New Roman" w:cs="Times New Roman"/>
          <w:color w:val="000000" w:themeColor="text1"/>
          <w:sz w:val="24"/>
          <w:szCs w:val="24"/>
        </w:rPr>
        <w:t xml:space="preserve"> B510</w:t>
      </w:r>
      <w:r w:rsidR="008156BD" w:rsidRPr="0085342A">
        <w:rPr>
          <w:rFonts w:ascii="Times New Roman" w:hAnsi="Times New Roman" w:cs="Times New Roman"/>
          <w:i/>
          <w:color w:val="000000" w:themeColor="text1"/>
          <w:sz w:val="24"/>
          <w:szCs w:val="24"/>
        </w:rPr>
        <w:t>f</w:t>
      </w:r>
      <w:r w:rsidR="008156BD" w:rsidDel="008156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the comparatively high rate at which students who are successful in </w:t>
      </w:r>
      <w:r w:rsidR="008156BD" w:rsidRPr="00436AB9">
        <w:rPr>
          <w:rFonts w:ascii="Times New Roman" w:hAnsi="Times New Roman" w:cs="Times New Roman"/>
          <w:color w:val="000000" w:themeColor="text1"/>
          <w:sz w:val="24"/>
          <w:szCs w:val="24"/>
        </w:rPr>
        <w:t>LRN</w:t>
      </w:r>
      <w:r w:rsidR="008156BD">
        <w:rPr>
          <w:rFonts w:ascii="Times New Roman" w:hAnsi="Times New Roman" w:cs="Times New Roman"/>
          <w:color w:val="000000" w:themeColor="text1"/>
          <w:sz w:val="24"/>
          <w:szCs w:val="24"/>
        </w:rPr>
        <w:t>C</w:t>
      </w:r>
      <w:r w:rsidR="008156BD" w:rsidRPr="00436AB9">
        <w:rPr>
          <w:rFonts w:ascii="Times New Roman" w:hAnsi="Times New Roman" w:cs="Times New Roman"/>
          <w:color w:val="000000" w:themeColor="text1"/>
          <w:sz w:val="24"/>
          <w:szCs w:val="24"/>
        </w:rPr>
        <w:t xml:space="preserve"> B510</w:t>
      </w:r>
      <w:r w:rsidR="008156BD" w:rsidRPr="0085342A">
        <w:rPr>
          <w:rFonts w:ascii="Times New Roman" w:hAnsi="Times New Roman" w:cs="Times New Roman"/>
          <w:i/>
          <w:color w:val="000000" w:themeColor="text1"/>
          <w:sz w:val="24"/>
          <w:szCs w:val="24"/>
        </w:rPr>
        <w:t>f</w:t>
      </w:r>
      <w:r w:rsidR="008156BD" w:rsidDel="008156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continue on to a second course.  Once these two factors are taken into account, students who enter the curriculum through LRNC B510 and Engl B50 are approximately equally likely to achieve transfer-level competency.</w:t>
      </w:r>
    </w:p>
    <w:p w14:paraId="2D5833D7" w14:textId="77777777" w:rsidR="00A77FC9" w:rsidRDefault="00A77FC9" w:rsidP="00655587">
      <w:pPr>
        <w:spacing w:after="0" w:line="240" w:lineRule="auto"/>
        <w:rPr>
          <w:rFonts w:ascii="Times New Roman" w:hAnsi="Times New Roman" w:cs="Times New Roman"/>
          <w:sz w:val="24"/>
          <w:szCs w:val="24"/>
        </w:rPr>
      </w:pPr>
    </w:p>
    <w:p w14:paraId="37771DD3" w14:textId="134C9D3C" w:rsidR="00655587" w:rsidRDefault="00655587" w:rsidP="00655587">
      <w:pPr>
        <w:spacing w:after="0" w:line="240" w:lineRule="auto"/>
        <w:rPr>
          <w:rFonts w:ascii="Times New Roman" w:hAnsi="Times New Roman" w:cs="Times New Roman"/>
          <w:sz w:val="24"/>
          <w:szCs w:val="24"/>
          <w:u w:val="single"/>
        </w:rPr>
      </w:pPr>
      <w:r w:rsidRPr="0072729B">
        <w:rPr>
          <w:rFonts w:ascii="Times New Roman" w:hAnsi="Times New Roman" w:cs="Times New Roman"/>
          <w:sz w:val="24"/>
          <w:szCs w:val="24"/>
          <w:u w:val="single"/>
        </w:rPr>
        <w:t xml:space="preserve">Developmental versus Transfer-level </w:t>
      </w:r>
      <w:r w:rsidR="00A77FC9" w:rsidRPr="0072729B">
        <w:rPr>
          <w:rFonts w:ascii="Times New Roman" w:hAnsi="Times New Roman" w:cs="Times New Roman"/>
          <w:sz w:val="24"/>
          <w:szCs w:val="24"/>
          <w:u w:val="single"/>
        </w:rPr>
        <w:t>English</w:t>
      </w:r>
    </w:p>
    <w:p w14:paraId="0086339F" w14:textId="77777777" w:rsidR="00655587" w:rsidRDefault="00655587" w:rsidP="00DA4AEC">
      <w:pPr>
        <w:spacing w:after="0" w:line="240" w:lineRule="auto"/>
        <w:rPr>
          <w:rFonts w:ascii="Times New Roman" w:hAnsi="Times New Roman" w:cs="Times New Roman"/>
          <w:sz w:val="24"/>
          <w:szCs w:val="24"/>
        </w:rPr>
      </w:pPr>
    </w:p>
    <w:p w14:paraId="10154B5C" w14:textId="38D7CC77" w:rsidR="005B54DB" w:rsidRPr="0072729B" w:rsidRDefault="00795D7F" w:rsidP="00DA4AEC">
      <w:pPr>
        <w:spacing w:after="0" w:line="240" w:lineRule="auto"/>
        <w:rPr>
          <w:rFonts w:ascii="Times New Roman" w:hAnsi="Times New Roman" w:cs="Times New Roman"/>
          <w:sz w:val="24"/>
          <w:szCs w:val="24"/>
        </w:rPr>
      </w:pPr>
      <w:r w:rsidRPr="0072729B">
        <w:rPr>
          <w:rFonts w:ascii="Times New Roman" w:hAnsi="Times New Roman" w:cs="Times New Roman"/>
          <w:sz w:val="24"/>
          <w:szCs w:val="24"/>
        </w:rPr>
        <w:t>T</w:t>
      </w:r>
      <w:r w:rsidR="005B54DB" w:rsidRPr="0072729B">
        <w:rPr>
          <w:rFonts w:ascii="Times New Roman" w:hAnsi="Times New Roman" w:cs="Times New Roman"/>
          <w:sz w:val="24"/>
          <w:szCs w:val="24"/>
        </w:rPr>
        <w:t xml:space="preserve">aking into account differences in </w:t>
      </w:r>
      <w:r w:rsidRPr="0072729B">
        <w:rPr>
          <w:rFonts w:ascii="Times New Roman" w:hAnsi="Times New Roman" w:cs="Times New Roman"/>
          <w:sz w:val="24"/>
          <w:szCs w:val="24"/>
        </w:rPr>
        <w:t xml:space="preserve">high school achievement and other </w:t>
      </w:r>
      <w:r w:rsidR="005B54DB" w:rsidRPr="0072729B">
        <w:rPr>
          <w:rFonts w:ascii="Times New Roman" w:hAnsi="Times New Roman" w:cs="Times New Roman"/>
          <w:sz w:val="24"/>
          <w:szCs w:val="24"/>
        </w:rPr>
        <w:t>students characteristics, the highest likelihood of achieving transfer-level English competency</w:t>
      </w:r>
      <w:r>
        <w:rPr>
          <w:rFonts w:ascii="Times New Roman" w:hAnsi="Times New Roman" w:cs="Times New Roman"/>
          <w:sz w:val="24"/>
          <w:szCs w:val="24"/>
        </w:rPr>
        <w:t xml:space="preserve"> within one year of first enrolling in English</w:t>
      </w:r>
      <w:r w:rsidR="005B54DB" w:rsidRPr="0072729B">
        <w:rPr>
          <w:rFonts w:ascii="Times New Roman" w:hAnsi="Times New Roman" w:cs="Times New Roman"/>
          <w:sz w:val="24"/>
          <w:szCs w:val="24"/>
        </w:rPr>
        <w:t xml:space="preserve"> is found among students who enter the curriculum through the transfer-level English course, Engl B1A.  The sole exception to this generalization is, </w:t>
      </w:r>
      <w:r w:rsidR="00A63828" w:rsidRPr="0072729B">
        <w:rPr>
          <w:rFonts w:ascii="Times New Roman" w:hAnsi="Times New Roman" w:cs="Times New Roman"/>
          <w:sz w:val="24"/>
          <w:szCs w:val="24"/>
        </w:rPr>
        <w:t>counterintuitively</w:t>
      </w:r>
      <w:r w:rsidR="005B54DB" w:rsidRPr="0072729B">
        <w:rPr>
          <w:rFonts w:ascii="Times New Roman" w:hAnsi="Times New Roman" w:cs="Times New Roman"/>
          <w:sz w:val="24"/>
          <w:szCs w:val="24"/>
        </w:rPr>
        <w:t xml:space="preserve">, </w:t>
      </w:r>
      <w:r w:rsidR="00A63828" w:rsidRPr="0072729B">
        <w:rPr>
          <w:rFonts w:ascii="Times New Roman" w:hAnsi="Times New Roman" w:cs="Times New Roman"/>
          <w:sz w:val="24"/>
          <w:szCs w:val="24"/>
        </w:rPr>
        <w:t xml:space="preserve">the students with the highest levels of high school achievement, who appear to benefit from </w:t>
      </w:r>
      <w:r w:rsidR="00996168" w:rsidRPr="0072729B">
        <w:rPr>
          <w:rFonts w:ascii="Times New Roman" w:hAnsi="Times New Roman" w:cs="Times New Roman"/>
          <w:sz w:val="24"/>
          <w:szCs w:val="24"/>
        </w:rPr>
        <w:t xml:space="preserve">the compressed course </w:t>
      </w:r>
      <w:r w:rsidR="00A63828" w:rsidRPr="0072729B">
        <w:rPr>
          <w:rFonts w:ascii="Times New Roman" w:hAnsi="Times New Roman" w:cs="Times New Roman"/>
          <w:sz w:val="24"/>
          <w:szCs w:val="24"/>
        </w:rPr>
        <w:t>LRNC B510</w:t>
      </w:r>
      <w:r w:rsidR="005216C8" w:rsidRPr="0072729B">
        <w:rPr>
          <w:rFonts w:ascii="Times New Roman" w:hAnsi="Times New Roman" w:cs="Times New Roman"/>
          <w:sz w:val="24"/>
          <w:szCs w:val="24"/>
        </w:rPr>
        <w:t xml:space="preserve">.  </w:t>
      </w:r>
      <w:r w:rsidR="00996168" w:rsidRPr="0072729B">
        <w:rPr>
          <w:rFonts w:ascii="Times New Roman" w:hAnsi="Times New Roman" w:cs="Times New Roman"/>
          <w:sz w:val="24"/>
          <w:szCs w:val="24"/>
        </w:rPr>
        <w:t xml:space="preserve">Although technically a developmental course, there is no time penalty associated with </w:t>
      </w:r>
      <w:r w:rsidRPr="0082328E">
        <w:rPr>
          <w:rFonts w:ascii="Times New Roman" w:hAnsi="Times New Roman" w:cs="Times New Roman"/>
          <w:sz w:val="24"/>
          <w:szCs w:val="24"/>
        </w:rPr>
        <w:t>LRNC B510</w:t>
      </w:r>
      <w:r>
        <w:rPr>
          <w:rFonts w:ascii="Times New Roman" w:hAnsi="Times New Roman" w:cs="Times New Roman"/>
          <w:sz w:val="24"/>
          <w:szCs w:val="24"/>
        </w:rPr>
        <w:t xml:space="preserve"> </w:t>
      </w:r>
      <w:r w:rsidR="00996168" w:rsidRPr="0072729B">
        <w:rPr>
          <w:rFonts w:ascii="Times New Roman" w:hAnsi="Times New Roman" w:cs="Times New Roman"/>
          <w:sz w:val="24"/>
          <w:szCs w:val="24"/>
        </w:rPr>
        <w:t xml:space="preserve">because the second half of LRNC B510 is equivalent to Engl B1A.  The advantage gained from LRNC B510 may be a result of the unique targeting and curriculum of the course. </w:t>
      </w:r>
    </w:p>
    <w:p w14:paraId="1BF8C2B8" w14:textId="77777777" w:rsidR="005B54DB" w:rsidRPr="001722C6" w:rsidRDefault="005B54DB" w:rsidP="00DA4AEC">
      <w:pPr>
        <w:spacing w:after="0" w:line="240" w:lineRule="auto"/>
        <w:rPr>
          <w:rFonts w:ascii="Times New Roman" w:hAnsi="Times New Roman" w:cs="Times New Roman"/>
          <w:sz w:val="24"/>
          <w:szCs w:val="24"/>
        </w:rPr>
      </w:pPr>
    </w:p>
    <w:p w14:paraId="105D90B5" w14:textId="70DA28D0" w:rsidR="000414C2" w:rsidRPr="007A3580" w:rsidRDefault="00B02DD7" w:rsidP="00DA4AEC">
      <w:pPr>
        <w:spacing w:after="0" w:line="240" w:lineRule="auto"/>
        <w:rPr>
          <w:rFonts w:ascii="Times New Roman" w:hAnsi="Times New Roman" w:cs="Times New Roman"/>
          <w:b/>
          <w:sz w:val="24"/>
          <w:szCs w:val="24"/>
        </w:rPr>
      </w:pPr>
      <w:r w:rsidRPr="001722C6">
        <w:rPr>
          <w:rFonts w:ascii="Times New Roman" w:hAnsi="Times New Roman" w:cs="Times New Roman"/>
          <w:b/>
          <w:sz w:val="24"/>
          <w:szCs w:val="24"/>
        </w:rPr>
        <w:t xml:space="preserve">SECTION </w:t>
      </w:r>
      <w:r w:rsidR="00A90080" w:rsidRPr="001722C6">
        <w:rPr>
          <w:rFonts w:ascii="Times New Roman" w:hAnsi="Times New Roman" w:cs="Times New Roman"/>
          <w:b/>
          <w:sz w:val="24"/>
          <w:szCs w:val="24"/>
        </w:rPr>
        <w:t>4</w:t>
      </w:r>
      <w:r w:rsidRPr="001722C6">
        <w:rPr>
          <w:rFonts w:ascii="Times New Roman" w:hAnsi="Times New Roman" w:cs="Times New Roman"/>
          <w:b/>
          <w:sz w:val="24"/>
          <w:szCs w:val="24"/>
        </w:rPr>
        <w:t>:  DATA</w:t>
      </w:r>
    </w:p>
    <w:p w14:paraId="57677794" w14:textId="77777777" w:rsidR="000C3BAD" w:rsidRPr="007A3580" w:rsidRDefault="000C3BAD" w:rsidP="000C3BAD">
      <w:pPr>
        <w:spacing w:after="0" w:line="240" w:lineRule="auto"/>
        <w:rPr>
          <w:rFonts w:ascii="Times New Roman" w:hAnsi="Times New Roman" w:cs="Times New Roman"/>
          <w:sz w:val="24"/>
          <w:szCs w:val="24"/>
        </w:rPr>
      </w:pPr>
    </w:p>
    <w:p w14:paraId="7FBC263C" w14:textId="09139223" w:rsidR="00D342A7" w:rsidRPr="007A3580" w:rsidRDefault="00C13116" w:rsidP="00834D36">
      <w:pPr>
        <w:spacing w:after="0" w:line="240" w:lineRule="auto"/>
        <w:rPr>
          <w:rFonts w:ascii="Times New Roman" w:hAnsi="Times New Roman" w:cs="Times New Roman"/>
          <w:b/>
          <w:sz w:val="24"/>
          <w:szCs w:val="24"/>
        </w:rPr>
      </w:pPr>
      <w:r w:rsidRPr="007A3580">
        <w:rPr>
          <w:rFonts w:ascii="Times New Roman" w:hAnsi="Times New Roman" w:cs="Times New Roman"/>
          <w:b/>
          <w:sz w:val="24"/>
          <w:szCs w:val="24"/>
        </w:rPr>
        <w:t>4</w:t>
      </w:r>
      <w:r w:rsidR="00834D36" w:rsidRPr="007A3580">
        <w:rPr>
          <w:rFonts w:ascii="Times New Roman" w:hAnsi="Times New Roman" w:cs="Times New Roman"/>
          <w:b/>
          <w:sz w:val="24"/>
          <w:szCs w:val="24"/>
        </w:rPr>
        <w:t>.</w:t>
      </w:r>
      <w:r w:rsidR="00DD4C6C" w:rsidRPr="007A3580">
        <w:rPr>
          <w:rFonts w:ascii="Times New Roman" w:hAnsi="Times New Roman" w:cs="Times New Roman"/>
          <w:b/>
          <w:sz w:val="24"/>
          <w:szCs w:val="24"/>
        </w:rPr>
        <w:t>1</w:t>
      </w:r>
      <w:r w:rsidR="00834D36" w:rsidRPr="007A3580">
        <w:rPr>
          <w:rFonts w:ascii="Times New Roman" w:hAnsi="Times New Roman" w:cs="Times New Roman"/>
          <w:b/>
          <w:sz w:val="24"/>
          <w:szCs w:val="24"/>
        </w:rPr>
        <w:t xml:space="preserve"> </w:t>
      </w:r>
      <w:r w:rsidR="00D342A7" w:rsidRPr="007A3580">
        <w:rPr>
          <w:rFonts w:ascii="Times New Roman" w:hAnsi="Times New Roman" w:cs="Times New Roman"/>
          <w:b/>
          <w:sz w:val="24"/>
          <w:szCs w:val="24"/>
        </w:rPr>
        <w:t>Sample</w:t>
      </w:r>
    </w:p>
    <w:p w14:paraId="66C03A5F" w14:textId="77777777" w:rsidR="00834D36" w:rsidRPr="007A3580" w:rsidRDefault="00834D36" w:rsidP="00347697">
      <w:pPr>
        <w:spacing w:after="0" w:line="240" w:lineRule="auto"/>
        <w:rPr>
          <w:rFonts w:ascii="Times New Roman" w:hAnsi="Times New Roman" w:cs="Times New Roman"/>
          <w:sz w:val="24"/>
          <w:szCs w:val="24"/>
        </w:rPr>
      </w:pPr>
    </w:p>
    <w:p w14:paraId="708530B7" w14:textId="593A10F8" w:rsidR="000414C2" w:rsidRPr="007A3580" w:rsidRDefault="002320C7" w:rsidP="00347697">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Data </w:t>
      </w:r>
      <w:r w:rsidR="00834D36" w:rsidRPr="007A3580">
        <w:rPr>
          <w:rFonts w:ascii="Times New Roman" w:hAnsi="Times New Roman" w:cs="Times New Roman"/>
          <w:sz w:val="24"/>
          <w:szCs w:val="24"/>
        </w:rPr>
        <w:t xml:space="preserve">for this study </w:t>
      </w:r>
      <w:r w:rsidRPr="007A3580">
        <w:rPr>
          <w:rFonts w:ascii="Times New Roman" w:hAnsi="Times New Roman" w:cs="Times New Roman"/>
          <w:sz w:val="24"/>
          <w:szCs w:val="24"/>
        </w:rPr>
        <w:t xml:space="preserve">were extracted </w:t>
      </w:r>
      <w:r w:rsidR="00834D36" w:rsidRPr="007A3580">
        <w:rPr>
          <w:rFonts w:ascii="Times New Roman" w:hAnsi="Times New Roman" w:cs="Times New Roman"/>
          <w:sz w:val="24"/>
          <w:szCs w:val="24"/>
        </w:rPr>
        <w:t xml:space="preserve">from BC’s administrative database.  The study focuses on </w:t>
      </w:r>
      <w:r w:rsidRPr="007A3580">
        <w:rPr>
          <w:rFonts w:ascii="Times New Roman" w:hAnsi="Times New Roman" w:cs="Times New Roman"/>
          <w:sz w:val="24"/>
          <w:szCs w:val="24"/>
        </w:rPr>
        <w:t xml:space="preserve">students </w:t>
      </w:r>
      <w:r w:rsidR="00DC1626" w:rsidRPr="007A3580">
        <w:rPr>
          <w:rFonts w:ascii="Times New Roman" w:hAnsi="Times New Roman" w:cs="Times New Roman"/>
          <w:sz w:val="24"/>
          <w:szCs w:val="24"/>
        </w:rPr>
        <w:t xml:space="preserve">who </w:t>
      </w:r>
      <w:r w:rsidR="00D43237" w:rsidRPr="007A3580">
        <w:rPr>
          <w:rFonts w:ascii="Times New Roman" w:hAnsi="Times New Roman" w:cs="Times New Roman"/>
          <w:sz w:val="24"/>
          <w:szCs w:val="24"/>
        </w:rPr>
        <w:t xml:space="preserve">meet </w:t>
      </w:r>
      <w:r w:rsidR="00DC1626" w:rsidRPr="007A3580">
        <w:rPr>
          <w:rFonts w:ascii="Times New Roman" w:hAnsi="Times New Roman" w:cs="Times New Roman"/>
          <w:sz w:val="24"/>
          <w:szCs w:val="24"/>
        </w:rPr>
        <w:t>the definition of BC’s</w:t>
      </w:r>
      <w:r w:rsidRPr="007A3580">
        <w:rPr>
          <w:rFonts w:ascii="Times New Roman" w:hAnsi="Times New Roman" w:cs="Times New Roman"/>
          <w:sz w:val="24"/>
          <w:szCs w:val="24"/>
        </w:rPr>
        <w:t xml:space="preserve"> </w:t>
      </w:r>
      <w:r w:rsidRPr="007A3580">
        <w:rPr>
          <w:rFonts w:ascii="Times New Roman" w:hAnsi="Times New Roman" w:cs="Times New Roman"/>
          <w:i/>
          <w:sz w:val="24"/>
          <w:szCs w:val="24"/>
        </w:rPr>
        <w:t xml:space="preserve">student </w:t>
      </w:r>
      <w:r w:rsidR="000414C2" w:rsidRPr="007A3580">
        <w:rPr>
          <w:rFonts w:ascii="Times New Roman" w:hAnsi="Times New Roman" w:cs="Times New Roman"/>
          <w:i/>
          <w:sz w:val="24"/>
          <w:szCs w:val="24"/>
        </w:rPr>
        <w:t>success cohort</w:t>
      </w:r>
      <w:r w:rsidR="00DD4C6C" w:rsidRPr="007A3580">
        <w:rPr>
          <w:rFonts w:ascii="Times New Roman" w:hAnsi="Times New Roman" w:cs="Times New Roman"/>
          <w:sz w:val="24"/>
          <w:szCs w:val="24"/>
        </w:rPr>
        <w:t xml:space="preserve">.  As </w:t>
      </w:r>
      <w:r w:rsidR="000915B7" w:rsidRPr="007A3580">
        <w:rPr>
          <w:rFonts w:ascii="Times New Roman" w:hAnsi="Times New Roman" w:cs="Times New Roman"/>
          <w:sz w:val="24"/>
          <w:szCs w:val="24"/>
        </w:rPr>
        <w:t>defined</w:t>
      </w:r>
      <w:r w:rsidR="00834D36" w:rsidRPr="007A3580">
        <w:rPr>
          <w:rFonts w:ascii="Times New Roman" w:hAnsi="Times New Roman" w:cs="Times New Roman"/>
          <w:sz w:val="24"/>
          <w:szCs w:val="24"/>
        </w:rPr>
        <w:t xml:space="preserve"> by BC’s institutional research team,</w:t>
      </w:r>
      <w:r w:rsidRPr="007A3580">
        <w:rPr>
          <w:rFonts w:ascii="Times New Roman" w:hAnsi="Times New Roman" w:cs="Times New Roman"/>
          <w:sz w:val="24"/>
          <w:szCs w:val="24"/>
        </w:rPr>
        <w:t xml:space="preserve"> </w:t>
      </w:r>
      <w:r w:rsidR="00DD4C6C" w:rsidRPr="007A3580">
        <w:rPr>
          <w:rFonts w:ascii="Times New Roman" w:hAnsi="Times New Roman" w:cs="Times New Roman"/>
          <w:sz w:val="24"/>
          <w:szCs w:val="24"/>
        </w:rPr>
        <w:t xml:space="preserve">the student success cohort </w:t>
      </w:r>
      <w:r w:rsidRPr="007A3580">
        <w:rPr>
          <w:rFonts w:ascii="Times New Roman" w:hAnsi="Times New Roman" w:cs="Times New Roman"/>
          <w:sz w:val="24"/>
          <w:szCs w:val="24"/>
        </w:rPr>
        <w:t xml:space="preserve">includes students who reported a goal </w:t>
      </w:r>
      <w:r w:rsidR="00C752D9" w:rsidRPr="007A3580">
        <w:rPr>
          <w:rFonts w:ascii="Times New Roman" w:hAnsi="Times New Roman" w:cs="Times New Roman"/>
          <w:sz w:val="24"/>
          <w:szCs w:val="24"/>
        </w:rPr>
        <w:lastRenderedPageBreak/>
        <w:t xml:space="preserve">(either informed or uninformed) </w:t>
      </w:r>
      <w:r w:rsidRPr="007A3580">
        <w:rPr>
          <w:rFonts w:ascii="Times New Roman" w:hAnsi="Times New Roman" w:cs="Times New Roman"/>
          <w:sz w:val="24"/>
          <w:szCs w:val="24"/>
        </w:rPr>
        <w:t xml:space="preserve">of a postsecondary credential or transfer </w:t>
      </w:r>
      <w:r w:rsidR="00D43237" w:rsidRPr="007A3580">
        <w:rPr>
          <w:rFonts w:ascii="Times New Roman" w:hAnsi="Times New Roman" w:cs="Times New Roman"/>
          <w:sz w:val="24"/>
          <w:szCs w:val="24"/>
        </w:rPr>
        <w:t xml:space="preserve">to a four-year institution </w:t>
      </w:r>
      <w:r w:rsidR="00C752D9" w:rsidRPr="007A3580">
        <w:rPr>
          <w:rFonts w:ascii="Times New Roman" w:hAnsi="Times New Roman" w:cs="Times New Roman"/>
          <w:sz w:val="24"/>
          <w:szCs w:val="24"/>
        </w:rPr>
        <w:t xml:space="preserve">and/or </w:t>
      </w:r>
      <w:r w:rsidR="00D342A7" w:rsidRPr="007A3580">
        <w:rPr>
          <w:rFonts w:ascii="Times New Roman" w:hAnsi="Times New Roman" w:cs="Times New Roman"/>
          <w:sz w:val="24"/>
          <w:szCs w:val="24"/>
        </w:rPr>
        <w:t xml:space="preserve">who </w:t>
      </w:r>
      <w:r w:rsidR="00C752D9" w:rsidRPr="007A3580">
        <w:rPr>
          <w:rFonts w:ascii="Times New Roman" w:hAnsi="Times New Roman" w:cs="Times New Roman"/>
          <w:sz w:val="24"/>
          <w:szCs w:val="24"/>
        </w:rPr>
        <w:t>completed a degree-applicable course in the</w:t>
      </w:r>
      <w:r w:rsidR="00DC1626" w:rsidRPr="007A3580">
        <w:rPr>
          <w:rFonts w:ascii="Times New Roman" w:hAnsi="Times New Roman" w:cs="Times New Roman"/>
          <w:sz w:val="24"/>
          <w:szCs w:val="24"/>
        </w:rPr>
        <w:t xml:space="preserve">ir first full term in college. </w:t>
      </w:r>
    </w:p>
    <w:p w14:paraId="467F396D" w14:textId="77777777" w:rsidR="00834D36" w:rsidRPr="007A3580" w:rsidRDefault="00834D36" w:rsidP="00347697">
      <w:pPr>
        <w:spacing w:after="0" w:line="240" w:lineRule="auto"/>
        <w:rPr>
          <w:rFonts w:ascii="Times New Roman" w:hAnsi="Times New Roman" w:cs="Times New Roman"/>
          <w:sz w:val="24"/>
          <w:szCs w:val="24"/>
        </w:rPr>
      </w:pPr>
    </w:p>
    <w:p w14:paraId="320287DE" w14:textId="640A1A7C" w:rsidR="00950DB6" w:rsidRPr="007A3580" w:rsidRDefault="00DC1626" w:rsidP="00347697">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Students included in </w:t>
      </w:r>
      <w:r w:rsidR="00DD4C6C" w:rsidRPr="007A3580">
        <w:rPr>
          <w:rFonts w:ascii="Times New Roman" w:hAnsi="Times New Roman" w:cs="Times New Roman"/>
          <w:sz w:val="24"/>
          <w:szCs w:val="24"/>
        </w:rPr>
        <w:t xml:space="preserve">this </w:t>
      </w:r>
      <w:r w:rsidRPr="007A3580">
        <w:rPr>
          <w:rFonts w:ascii="Times New Roman" w:hAnsi="Times New Roman" w:cs="Times New Roman"/>
          <w:sz w:val="24"/>
          <w:szCs w:val="24"/>
        </w:rPr>
        <w:t xml:space="preserve">analysis began college </w:t>
      </w:r>
      <w:r w:rsidR="00620665" w:rsidRPr="007A3580">
        <w:rPr>
          <w:rFonts w:ascii="Times New Roman" w:hAnsi="Times New Roman" w:cs="Times New Roman"/>
          <w:sz w:val="24"/>
          <w:szCs w:val="24"/>
        </w:rPr>
        <w:t>at BC between Summer 2015 and Spring 2017</w:t>
      </w:r>
      <w:r w:rsidR="00DD4C6C" w:rsidRPr="007A3580">
        <w:rPr>
          <w:rFonts w:ascii="Times New Roman" w:hAnsi="Times New Roman" w:cs="Times New Roman"/>
          <w:sz w:val="24"/>
          <w:szCs w:val="24"/>
        </w:rPr>
        <w:t xml:space="preserve"> and had </w:t>
      </w:r>
      <w:r w:rsidR="00950DB6" w:rsidRPr="007A3580">
        <w:rPr>
          <w:rFonts w:ascii="Times New Roman" w:hAnsi="Times New Roman" w:cs="Times New Roman"/>
          <w:sz w:val="24"/>
          <w:szCs w:val="24"/>
        </w:rPr>
        <w:t xml:space="preserve">valid </w:t>
      </w:r>
      <w:r w:rsidR="00DD4C6C" w:rsidRPr="007A3580">
        <w:rPr>
          <w:rFonts w:ascii="Times New Roman" w:hAnsi="Times New Roman" w:cs="Times New Roman"/>
          <w:sz w:val="24"/>
          <w:szCs w:val="24"/>
        </w:rPr>
        <w:t xml:space="preserve">(non-missing) information </w:t>
      </w:r>
      <w:r w:rsidR="00950DB6" w:rsidRPr="007A3580">
        <w:rPr>
          <w:rFonts w:ascii="Times New Roman" w:hAnsi="Times New Roman" w:cs="Times New Roman"/>
          <w:sz w:val="24"/>
          <w:szCs w:val="24"/>
        </w:rPr>
        <w:t>on gender, race/ethnicity, age</w:t>
      </w:r>
      <w:r w:rsidR="001155F6" w:rsidRPr="007A3580">
        <w:rPr>
          <w:rFonts w:ascii="Times New Roman" w:hAnsi="Times New Roman" w:cs="Times New Roman"/>
          <w:sz w:val="24"/>
          <w:szCs w:val="24"/>
        </w:rPr>
        <w:t xml:space="preserve">, </w:t>
      </w:r>
      <w:r w:rsidR="00A35D9F" w:rsidRPr="007A3580">
        <w:rPr>
          <w:rFonts w:ascii="Times New Roman" w:hAnsi="Times New Roman" w:cs="Times New Roman"/>
          <w:sz w:val="24"/>
          <w:szCs w:val="24"/>
        </w:rPr>
        <w:t xml:space="preserve">citizenship, </w:t>
      </w:r>
      <w:r w:rsidR="002C30D7" w:rsidRPr="007A3580">
        <w:rPr>
          <w:rFonts w:ascii="Times New Roman" w:hAnsi="Times New Roman" w:cs="Times New Roman"/>
          <w:sz w:val="24"/>
          <w:szCs w:val="24"/>
        </w:rPr>
        <w:t xml:space="preserve">and </w:t>
      </w:r>
      <w:r w:rsidR="001155F6" w:rsidRPr="007A3580">
        <w:rPr>
          <w:rFonts w:ascii="Times New Roman" w:hAnsi="Times New Roman" w:cs="Times New Roman"/>
          <w:sz w:val="24"/>
          <w:szCs w:val="24"/>
        </w:rPr>
        <w:t>goal reported at college entry (a.k.a., uninformed goal)</w:t>
      </w:r>
      <w:r w:rsidR="00A35D9F" w:rsidRPr="007A3580">
        <w:rPr>
          <w:rFonts w:ascii="Times New Roman" w:hAnsi="Times New Roman" w:cs="Times New Roman"/>
          <w:sz w:val="24"/>
          <w:szCs w:val="24"/>
        </w:rPr>
        <w:t xml:space="preserve">.  </w:t>
      </w:r>
      <w:r w:rsidR="00950DB6" w:rsidRPr="007A3580">
        <w:rPr>
          <w:rFonts w:ascii="Times New Roman" w:hAnsi="Times New Roman" w:cs="Times New Roman"/>
          <w:sz w:val="24"/>
          <w:szCs w:val="24"/>
        </w:rPr>
        <w:t>Students</w:t>
      </w:r>
      <w:r w:rsidR="00DD4C6C" w:rsidRPr="007A3580">
        <w:rPr>
          <w:rFonts w:ascii="Times New Roman" w:hAnsi="Times New Roman" w:cs="Times New Roman"/>
          <w:sz w:val="24"/>
          <w:szCs w:val="24"/>
        </w:rPr>
        <w:t>’</w:t>
      </w:r>
      <w:r w:rsidRPr="007A3580">
        <w:rPr>
          <w:rFonts w:ascii="Times New Roman" w:hAnsi="Times New Roman" w:cs="Times New Roman"/>
          <w:sz w:val="24"/>
          <w:szCs w:val="24"/>
        </w:rPr>
        <w:t xml:space="preserve"> course enrollments and outcomes were </w:t>
      </w:r>
      <w:r w:rsidR="00620665" w:rsidRPr="007A3580">
        <w:rPr>
          <w:rFonts w:ascii="Times New Roman" w:hAnsi="Times New Roman" w:cs="Times New Roman"/>
          <w:sz w:val="24"/>
          <w:szCs w:val="24"/>
        </w:rPr>
        <w:t xml:space="preserve">observed from </w:t>
      </w:r>
      <w:r w:rsidRPr="007A3580">
        <w:rPr>
          <w:rFonts w:ascii="Times New Roman" w:hAnsi="Times New Roman" w:cs="Times New Roman"/>
          <w:sz w:val="24"/>
          <w:szCs w:val="24"/>
        </w:rPr>
        <w:t xml:space="preserve">their </w:t>
      </w:r>
      <w:r w:rsidR="00620665" w:rsidRPr="007A3580">
        <w:rPr>
          <w:rFonts w:ascii="Times New Roman" w:hAnsi="Times New Roman" w:cs="Times New Roman"/>
          <w:sz w:val="24"/>
          <w:szCs w:val="24"/>
        </w:rPr>
        <w:t xml:space="preserve">term of </w:t>
      </w:r>
      <w:r w:rsidR="002603A7" w:rsidRPr="007A3580">
        <w:rPr>
          <w:rFonts w:ascii="Times New Roman" w:hAnsi="Times New Roman" w:cs="Times New Roman"/>
          <w:sz w:val="24"/>
          <w:szCs w:val="24"/>
        </w:rPr>
        <w:t xml:space="preserve">first </w:t>
      </w:r>
      <w:r w:rsidRPr="007A3580">
        <w:rPr>
          <w:rFonts w:ascii="Times New Roman" w:hAnsi="Times New Roman" w:cs="Times New Roman"/>
          <w:sz w:val="24"/>
          <w:szCs w:val="24"/>
        </w:rPr>
        <w:t xml:space="preserve">enrollment </w:t>
      </w:r>
      <w:r w:rsidR="00B76674" w:rsidRPr="007A3580">
        <w:rPr>
          <w:rFonts w:ascii="Times New Roman" w:hAnsi="Times New Roman" w:cs="Times New Roman"/>
          <w:sz w:val="24"/>
          <w:szCs w:val="24"/>
        </w:rPr>
        <w:t xml:space="preserve">in BC </w:t>
      </w:r>
      <w:r w:rsidR="00620665" w:rsidRPr="007A3580">
        <w:rPr>
          <w:rFonts w:ascii="Times New Roman" w:hAnsi="Times New Roman" w:cs="Times New Roman"/>
          <w:sz w:val="24"/>
          <w:szCs w:val="24"/>
        </w:rPr>
        <w:t>through Spring 2018.</w:t>
      </w:r>
    </w:p>
    <w:p w14:paraId="782BC124" w14:textId="77777777" w:rsidR="002E23D6" w:rsidRPr="007A3580" w:rsidRDefault="002E23D6" w:rsidP="002E23D6">
      <w:pPr>
        <w:spacing w:after="0" w:line="240" w:lineRule="auto"/>
        <w:ind w:left="360"/>
        <w:rPr>
          <w:rFonts w:ascii="Times New Roman" w:hAnsi="Times New Roman" w:cs="Times New Roman"/>
          <w:sz w:val="24"/>
          <w:szCs w:val="24"/>
        </w:rPr>
      </w:pPr>
    </w:p>
    <w:p w14:paraId="2EA2FFEB" w14:textId="1D983F5C" w:rsidR="00950DB6" w:rsidRPr="007A3580" w:rsidRDefault="00C13116" w:rsidP="00DD4C6C">
      <w:pPr>
        <w:spacing w:after="0" w:line="240" w:lineRule="auto"/>
        <w:rPr>
          <w:rFonts w:ascii="Times New Roman" w:hAnsi="Times New Roman" w:cs="Times New Roman"/>
          <w:b/>
          <w:sz w:val="24"/>
          <w:szCs w:val="24"/>
        </w:rPr>
      </w:pPr>
      <w:r w:rsidRPr="007A3580">
        <w:rPr>
          <w:rFonts w:ascii="Times New Roman" w:hAnsi="Times New Roman" w:cs="Times New Roman"/>
          <w:b/>
          <w:sz w:val="24"/>
          <w:szCs w:val="24"/>
        </w:rPr>
        <w:t>4</w:t>
      </w:r>
      <w:r w:rsidR="00DD4C6C" w:rsidRPr="007A3580">
        <w:rPr>
          <w:rFonts w:ascii="Times New Roman" w:hAnsi="Times New Roman" w:cs="Times New Roman"/>
          <w:b/>
          <w:sz w:val="24"/>
          <w:szCs w:val="24"/>
        </w:rPr>
        <w:t xml:space="preserve">.2 </w:t>
      </w:r>
      <w:r w:rsidR="00950DB6" w:rsidRPr="007A3580">
        <w:rPr>
          <w:rFonts w:ascii="Times New Roman" w:hAnsi="Times New Roman" w:cs="Times New Roman"/>
          <w:b/>
          <w:sz w:val="24"/>
          <w:szCs w:val="24"/>
        </w:rPr>
        <w:t xml:space="preserve">Subsample for Analysis of Developmental Math </w:t>
      </w:r>
    </w:p>
    <w:p w14:paraId="1BA520EB" w14:textId="77777777" w:rsidR="00DD4C6C" w:rsidRPr="007A3580" w:rsidRDefault="00DD4C6C" w:rsidP="00347697">
      <w:pPr>
        <w:spacing w:after="0" w:line="240" w:lineRule="auto"/>
        <w:rPr>
          <w:rFonts w:ascii="Times New Roman" w:hAnsi="Times New Roman" w:cs="Times New Roman"/>
          <w:sz w:val="24"/>
          <w:szCs w:val="24"/>
        </w:rPr>
      </w:pPr>
    </w:p>
    <w:p w14:paraId="15BA742C" w14:textId="7773F4C9" w:rsidR="00CA066C" w:rsidRPr="007A3580" w:rsidRDefault="00DD4C6C" w:rsidP="00175B63">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Analyses of developmental math and developmental English were executed separately.  </w:t>
      </w:r>
      <w:r w:rsidR="007B297F" w:rsidRPr="007A3580">
        <w:rPr>
          <w:rFonts w:ascii="Times New Roman" w:hAnsi="Times New Roman" w:cs="Times New Roman"/>
          <w:sz w:val="24"/>
          <w:szCs w:val="24"/>
        </w:rPr>
        <w:t>The subsample for the analysis of developmental math include</w:t>
      </w:r>
      <w:r w:rsidR="002C30D7" w:rsidRPr="007A3580">
        <w:rPr>
          <w:rFonts w:ascii="Times New Roman" w:hAnsi="Times New Roman" w:cs="Times New Roman"/>
          <w:sz w:val="24"/>
          <w:szCs w:val="24"/>
        </w:rPr>
        <w:t>d</w:t>
      </w:r>
      <w:r w:rsidR="007B297F" w:rsidRPr="007A3580">
        <w:rPr>
          <w:rFonts w:ascii="Times New Roman" w:hAnsi="Times New Roman" w:cs="Times New Roman"/>
          <w:sz w:val="24"/>
          <w:szCs w:val="24"/>
        </w:rPr>
        <w:t xml:space="preserve"> students who </w:t>
      </w:r>
      <w:r w:rsidR="00620665" w:rsidRPr="007A3580">
        <w:rPr>
          <w:rFonts w:ascii="Times New Roman" w:hAnsi="Times New Roman" w:cs="Times New Roman"/>
          <w:sz w:val="24"/>
          <w:szCs w:val="24"/>
        </w:rPr>
        <w:t xml:space="preserve">attempted a first </w:t>
      </w:r>
      <w:r w:rsidR="00C11963" w:rsidRPr="007A3580">
        <w:rPr>
          <w:rFonts w:ascii="Times New Roman" w:hAnsi="Times New Roman" w:cs="Times New Roman"/>
          <w:sz w:val="24"/>
          <w:szCs w:val="24"/>
        </w:rPr>
        <w:t xml:space="preserve">math course that was </w:t>
      </w:r>
      <w:r w:rsidR="000E5B41" w:rsidRPr="007A3580">
        <w:rPr>
          <w:rFonts w:ascii="Times New Roman" w:hAnsi="Times New Roman" w:cs="Times New Roman"/>
          <w:sz w:val="24"/>
          <w:szCs w:val="24"/>
        </w:rPr>
        <w:t xml:space="preserve">developmental </w:t>
      </w:r>
      <w:r w:rsidR="00C11963" w:rsidRPr="007A3580">
        <w:rPr>
          <w:rFonts w:ascii="Times New Roman" w:hAnsi="Times New Roman" w:cs="Times New Roman"/>
          <w:sz w:val="24"/>
          <w:szCs w:val="24"/>
        </w:rPr>
        <w:t>in nature</w:t>
      </w:r>
      <w:r w:rsidR="00C27B9D" w:rsidRPr="007A3580">
        <w:rPr>
          <w:rFonts w:ascii="Times New Roman" w:hAnsi="Times New Roman" w:cs="Times New Roman"/>
          <w:sz w:val="24"/>
          <w:szCs w:val="24"/>
        </w:rPr>
        <w:t xml:space="preserve"> and that was among BC’s current developmental offerings</w:t>
      </w:r>
      <w:r w:rsidR="007B297F" w:rsidRPr="007A3580">
        <w:rPr>
          <w:rFonts w:ascii="Times New Roman" w:hAnsi="Times New Roman" w:cs="Times New Roman"/>
          <w:sz w:val="24"/>
          <w:szCs w:val="24"/>
        </w:rPr>
        <w:t xml:space="preserve">.  </w:t>
      </w:r>
      <w:r w:rsidR="00175B63" w:rsidRPr="007A3580">
        <w:rPr>
          <w:rFonts w:ascii="Times New Roman" w:hAnsi="Times New Roman" w:cs="Times New Roman"/>
          <w:i/>
          <w:sz w:val="24"/>
          <w:szCs w:val="24"/>
        </w:rPr>
        <w:t>As</w:t>
      </w:r>
      <w:r w:rsidR="005A5A60">
        <w:rPr>
          <w:rFonts w:ascii="Times New Roman" w:hAnsi="Times New Roman" w:cs="Times New Roman"/>
          <w:i/>
          <w:sz w:val="24"/>
          <w:szCs w:val="24"/>
        </w:rPr>
        <w:t xml:space="preserve"> the term is</w:t>
      </w:r>
      <w:r w:rsidR="00175B63" w:rsidRPr="007A3580">
        <w:rPr>
          <w:rFonts w:ascii="Times New Roman" w:hAnsi="Times New Roman" w:cs="Times New Roman"/>
          <w:i/>
          <w:sz w:val="24"/>
          <w:szCs w:val="24"/>
        </w:rPr>
        <w:t xml:space="preserve"> used in this report, </w:t>
      </w:r>
      <w:r w:rsidR="007475A6" w:rsidRPr="007A3580">
        <w:rPr>
          <w:rFonts w:ascii="Times New Roman" w:hAnsi="Times New Roman" w:cs="Times New Roman"/>
          <w:i/>
          <w:sz w:val="24"/>
          <w:szCs w:val="24"/>
        </w:rPr>
        <w:t>“</w:t>
      </w:r>
      <w:r w:rsidR="00175B63" w:rsidRPr="007A3580">
        <w:rPr>
          <w:rFonts w:ascii="Times New Roman" w:hAnsi="Times New Roman" w:cs="Times New Roman"/>
          <w:i/>
          <w:sz w:val="24"/>
          <w:szCs w:val="24"/>
        </w:rPr>
        <w:t>developmental</w:t>
      </w:r>
      <w:r w:rsidR="007475A6" w:rsidRPr="007A3580">
        <w:rPr>
          <w:rFonts w:ascii="Times New Roman" w:hAnsi="Times New Roman" w:cs="Times New Roman"/>
          <w:i/>
          <w:sz w:val="24"/>
          <w:szCs w:val="24"/>
        </w:rPr>
        <w:t>”</w:t>
      </w:r>
      <w:r w:rsidR="00175B63" w:rsidRPr="007A3580">
        <w:rPr>
          <w:rFonts w:ascii="Times New Roman" w:hAnsi="Times New Roman" w:cs="Times New Roman"/>
          <w:i/>
          <w:sz w:val="24"/>
          <w:szCs w:val="24"/>
        </w:rPr>
        <w:t xml:space="preserve"> refers to coursework </w:t>
      </w:r>
      <w:r w:rsidR="00B835F3" w:rsidRPr="007A3580">
        <w:rPr>
          <w:rFonts w:ascii="Times New Roman" w:hAnsi="Times New Roman" w:cs="Times New Roman"/>
          <w:i/>
          <w:sz w:val="24"/>
          <w:szCs w:val="24"/>
        </w:rPr>
        <w:t xml:space="preserve">designed for a level of skill </w:t>
      </w:r>
      <w:r w:rsidR="00175B63" w:rsidRPr="007A3580">
        <w:rPr>
          <w:rFonts w:ascii="Times New Roman" w:hAnsi="Times New Roman" w:cs="Times New Roman"/>
          <w:i/>
          <w:sz w:val="24"/>
          <w:szCs w:val="24"/>
        </w:rPr>
        <w:t>below transfer-level</w:t>
      </w:r>
      <w:r w:rsidR="00175B63" w:rsidRPr="007A3580">
        <w:rPr>
          <w:rFonts w:ascii="Times New Roman" w:hAnsi="Times New Roman" w:cs="Times New Roman"/>
          <w:sz w:val="24"/>
          <w:szCs w:val="24"/>
        </w:rPr>
        <w:t xml:space="preserve">.  </w:t>
      </w:r>
      <w:r w:rsidR="00CA066C" w:rsidRPr="007A3580">
        <w:rPr>
          <w:rFonts w:ascii="Times New Roman" w:hAnsi="Times New Roman" w:cs="Times New Roman"/>
          <w:sz w:val="24"/>
          <w:szCs w:val="24"/>
        </w:rPr>
        <w:t xml:space="preserve">This </w:t>
      </w:r>
      <w:r w:rsidR="007475A6" w:rsidRPr="007A3580">
        <w:rPr>
          <w:rFonts w:ascii="Times New Roman" w:hAnsi="Times New Roman" w:cs="Times New Roman"/>
          <w:sz w:val="24"/>
          <w:szCs w:val="24"/>
        </w:rPr>
        <w:t xml:space="preserve">definition </w:t>
      </w:r>
      <w:r w:rsidR="00CA066C" w:rsidRPr="007A3580">
        <w:rPr>
          <w:rFonts w:ascii="Times New Roman" w:hAnsi="Times New Roman" w:cs="Times New Roman"/>
          <w:sz w:val="24"/>
          <w:szCs w:val="24"/>
        </w:rPr>
        <w:t xml:space="preserve">is debatable </w:t>
      </w:r>
      <w:r w:rsidR="007475A6" w:rsidRPr="007A3580">
        <w:rPr>
          <w:rFonts w:ascii="Times New Roman" w:hAnsi="Times New Roman" w:cs="Times New Roman"/>
          <w:sz w:val="24"/>
          <w:szCs w:val="24"/>
        </w:rPr>
        <w:t>because BC</w:t>
      </w:r>
      <w:r w:rsidR="0026767E" w:rsidRPr="007A3580">
        <w:rPr>
          <w:rFonts w:ascii="Times New Roman" w:hAnsi="Times New Roman" w:cs="Times New Roman"/>
          <w:sz w:val="24"/>
          <w:szCs w:val="24"/>
        </w:rPr>
        <w:t>, like most community colleges,</w:t>
      </w:r>
      <w:r w:rsidR="007475A6" w:rsidRPr="007A3580">
        <w:rPr>
          <w:rFonts w:ascii="Times New Roman" w:hAnsi="Times New Roman" w:cs="Times New Roman"/>
          <w:sz w:val="24"/>
          <w:szCs w:val="24"/>
        </w:rPr>
        <w:t xml:space="preserve"> offers</w:t>
      </w:r>
      <w:r w:rsidR="00CA066C" w:rsidRPr="007A3580">
        <w:rPr>
          <w:rFonts w:ascii="Times New Roman" w:hAnsi="Times New Roman" w:cs="Times New Roman"/>
          <w:sz w:val="24"/>
          <w:szCs w:val="24"/>
        </w:rPr>
        <w:t xml:space="preserve"> </w:t>
      </w:r>
      <w:r w:rsidR="007475A6" w:rsidRPr="007A3580">
        <w:rPr>
          <w:rFonts w:ascii="Times New Roman" w:hAnsi="Times New Roman" w:cs="Times New Roman"/>
          <w:sz w:val="24"/>
          <w:szCs w:val="24"/>
        </w:rPr>
        <w:t>quantitative</w:t>
      </w:r>
      <w:r w:rsidR="00CA066C" w:rsidRPr="007A3580">
        <w:rPr>
          <w:rFonts w:ascii="Times New Roman" w:hAnsi="Times New Roman" w:cs="Times New Roman"/>
          <w:sz w:val="24"/>
          <w:szCs w:val="24"/>
        </w:rPr>
        <w:t xml:space="preserve"> courses that are below transfer-level </w:t>
      </w:r>
      <w:r w:rsidR="002603A7" w:rsidRPr="007A3580">
        <w:rPr>
          <w:rFonts w:ascii="Times New Roman" w:hAnsi="Times New Roman" w:cs="Times New Roman"/>
          <w:sz w:val="24"/>
          <w:szCs w:val="24"/>
        </w:rPr>
        <w:t xml:space="preserve">but that </w:t>
      </w:r>
      <w:r w:rsidR="00CA066C" w:rsidRPr="007A3580">
        <w:rPr>
          <w:rFonts w:ascii="Times New Roman" w:hAnsi="Times New Roman" w:cs="Times New Roman"/>
          <w:sz w:val="24"/>
          <w:szCs w:val="24"/>
        </w:rPr>
        <w:t xml:space="preserve">satisfy quantitative reasoning requirements for an associate’s degree (e.g., </w:t>
      </w:r>
      <w:r w:rsidR="00175B63" w:rsidRPr="007A3580">
        <w:rPr>
          <w:rFonts w:ascii="Times New Roman" w:hAnsi="Times New Roman" w:cs="Times New Roman"/>
          <w:sz w:val="24"/>
          <w:szCs w:val="24"/>
        </w:rPr>
        <w:t>Math B70</w:t>
      </w:r>
      <w:r w:rsidR="00CA066C" w:rsidRPr="007A3580">
        <w:rPr>
          <w:rFonts w:ascii="Times New Roman" w:hAnsi="Times New Roman" w:cs="Times New Roman"/>
          <w:sz w:val="24"/>
          <w:szCs w:val="24"/>
        </w:rPr>
        <w:t>, which is intermediate algebra)</w:t>
      </w:r>
      <w:r w:rsidR="00175B63" w:rsidRPr="007A3580">
        <w:rPr>
          <w:rFonts w:ascii="Times New Roman" w:hAnsi="Times New Roman" w:cs="Times New Roman"/>
          <w:sz w:val="24"/>
          <w:szCs w:val="24"/>
        </w:rPr>
        <w:t>.</w:t>
      </w:r>
    </w:p>
    <w:p w14:paraId="6DB2C97C" w14:textId="2D077E26" w:rsidR="00175B63" w:rsidRPr="007A3580" w:rsidRDefault="00175B63" w:rsidP="00175B63">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 </w:t>
      </w:r>
    </w:p>
    <w:p w14:paraId="32B6C5EB" w14:textId="3AEE3C02" w:rsidR="00C27B9D" w:rsidRPr="007A3580" w:rsidRDefault="00CA066C" w:rsidP="00347697">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In order to be included in the subsample for the developmental math analysis, s</w:t>
      </w:r>
      <w:r w:rsidR="007B297F" w:rsidRPr="007A3580">
        <w:rPr>
          <w:rFonts w:ascii="Times New Roman" w:hAnsi="Times New Roman" w:cs="Times New Roman"/>
          <w:sz w:val="24"/>
          <w:szCs w:val="24"/>
        </w:rPr>
        <w:t xml:space="preserve">tudents must have </w:t>
      </w:r>
      <w:r w:rsidR="00C27B9D" w:rsidRPr="007A3580">
        <w:rPr>
          <w:rFonts w:ascii="Times New Roman" w:hAnsi="Times New Roman" w:cs="Times New Roman"/>
          <w:sz w:val="24"/>
          <w:szCs w:val="24"/>
        </w:rPr>
        <w:t xml:space="preserve">attempted </w:t>
      </w:r>
      <w:r w:rsidRPr="007A3580">
        <w:rPr>
          <w:rFonts w:ascii="Times New Roman" w:hAnsi="Times New Roman" w:cs="Times New Roman"/>
          <w:sz w:val="24"/>
          <w:szCs w:val="24"/>
        </w:rPr>
        <w:t>their</w:t>
      </w:r>
      <w:r w:rsidR="00C27B9D" w:rsidRPr="007A3580">
        <w:rPr>
          <w:rFonts w:ascii="Times New Roman" w:hAnsi="Times New Roman" w:cs="Times New Roman"/>
          <w:sz w:val="24"/>
          <w:szCs w:val="24"/>
        </w:rPr>
        <w:t xml:space="preserve"> first math course no later than</w:t>
      </w:r>
      <w:r w:rsidR="00620665" w:rsidRPr="007A3580">
        <w:rPr>
          <w:rFonts w:ascii="Times New Roman" w:hAnsi="Times New Roman" w:cs="Times New Roman"/>
          <w:sz w:val="24"/>
          <w:szCs w:val="24"/>
        </w:rPr>
        <w:t xml:space="preserve"> Spring 2017. </w:t>
      </w:r>
      <w:r w:rsidR="007B297F" w:rsidRPr="007A3580">
        <w:rPr>
          <w:rFonts w:ascii="Times New Roman" w:hAnsi="Times New Roman" w:cs="Times New Roman"/>
          <w:sz w:val="24"/>
          <w:szCs w:val="24"/>
        </w:rPr>
        <w:t xml:space="preserve"> Further</w:t>
      </w:r>
      <w:r w:rsidR="002603A7" w:rsidRPr="007A3580">
        <w:rPr>
          <w:rFonts w:ascii="Times New Roman" w:hAnsi="Times New Roman" w:cs="Times New Roman"/>
          <w:sz w:val="24"/>
          <w:szCs w:val="24"/>
        </w:rPr>
        <w:t>more</w:t>
      </w:r>
      <w:r w:rsidR="007B297F" w:rsidRPr="007A3580">
        <w:rPr>
          <w:rFonts w:ascii="Times New Roman" w:hAnsi="Times New Roman" w:cs="Times New Roman"/>
          <w:sz w:val="24"/>
          <w:szCs w:val="24"/>
        </w:rPr>
        <w:t>, s</w:t>
      </w:r>
      <w:r w:rsidR="00C27B9D" w:rsidRPr="007A3580">
        <w:rPr>
          <w:rFonts w:ascii="Times New Roman" w:hAnsi="Times New Roman" w:cs="Times New Roman"/>
          <w:sz w:val="24"/>
          <w:szCs w:val="24"/>
        </w:rPr>
        <w:t xml:space="preserve">tudents </w:t>
      </w:r>
      <w:r w:rsidR="007B297F" w:rsidRPr="007A3580">
        <w:rPr>
          <w:rFonts w:ascii="Times New Roman" w:hAnsi="Times New Roman" w:cs="Times New Roman"/>
          <w:sz w:val="24"/>
          <w:szCs w:val="24"/>
        </w:rPr>
        <w:t xml:space="preserve">must have valid (non-missing) information </w:t>
      </w:r>
      <w:r w:rsidR="00C27B9D" w:rsidRPr="007A3580">
        <w:rPr>
          <w:rFonts w:ascii="Times New Roman" w:hAnsi="Times New Roman" w:cs="Times New Roman"/>
          <w:sz w:val="24"/>
          <w:szCs w:val="24"/>
        </w:rPr>
        <w:t>about how they were placed</w:t>
      </w:r>
      <w:r w:rsidR="00F0386D" w:rsidRPr="007A3580">
        <w:rPr>
          <w:rFonts w:ascii="Times New Roman" w:hAnsi="Times New Roman" w:cs="Times New Roman"/>
          <w:sz w:val="24"/>
          <w:szCs w:val="24"/>
        </w:rPr>
        <w:t xml:space="preserve"> in the math curriculum, whether through multiple measures or </w:t>
      </w:r>
      <w:r w:rsidR="00712EF5" w:rsidRPr="007A3580">
        <w:rPr>
          <w:rFonts w:ascii="Times New Roman" w:hAnsi="Times New Roman" w:cs="Times New Roman"/>
          <w:sz w:val="24"/>
          <w:szCs w:val="24"/>
        </w:rPr>
        <w:t xml:space="preserve">a </w:t>
      </w:r>
      <w:r w:rsidR="00F0386D" w:rsidRPr="007A3580">
        <w:rPr>
          <w:rFonts w:ascii="Times New Roman" w:hAnsi="Times New Roman" w:cs="Times New Roman"/>
          <w:sz w:val="24"/>
          <w:szCs w:val="24"/>
        </w:rPr>
        <w:t>standardized placements test.</w:t>
      </w:r>
    </w:p>
    <w:p w14:paraId="419D8115" w14:textId="77777777" w:rsidR="002E23D6" w:rsidRPr="007A3580" w:rsidRDefault="002E23D6" w:rsidP="002E23D6">
      <w:pPr>
        <w:spacing w:after="0" w:line="240" w:lineRule="auto"/>
        <w:ind w:left="360"/>
        <w:rPr>
          <w:rFonts w:ascii="Times New Roman" w:hAnsi="Times New Roman" w:cs="Times New Roman"/>
          <w:sz w:val="24"/>
          <w:szCs w:val="24"/>
        </w:rPr>
      </w:pPr>
    </w:p>
    <w:p w14:paraId="120364E8" w14:textId="09D2033C" w:rsidR="00C11963" w:rsidRPr="007A3580" w:rsidRDefault="00C13116" w:rsidP="00DD4C6C">
      <w:pPr>
        <w:spacing w:after="0" w:line="240" w:lineRule="auto"/>
        <w:rPr>
          <w:rFonts w:ascii="Times New Roman" w:hAnsi="Times New Roman" w:cs="Times New Roman"/>
          <w:b/>
          <w:sz w:val="24"/>
          <w:szCs w:val="24"/>
        </w:rPr>
      </w:pPr>
      <w:r w:rsidRPr="007A3580">
        <w:rPr>
          <w:rFonts w:ascii="Times New Roman" w:hAnsi="Times New Roman" w:cs="Times New Roman"/>
          <w:b/>
          <w:sz w:val="24"/>
          <w:szCs w:val="24"/>
        </w:rPr>
        <w:t>4</w:t>
      </w:r>
      <w:r w:rsidR="00DD4C6C" w:rsidRPr="007A3580">
        <w:rPr>
          <w:rFonts w:ascii="Times New Roman" w:hAnsi="Times New Roman" w:cs="Times New Roman"/>
          <w:b/>
          <w:sz w:val="24"/>
          <w:szCs w:val="24"/>
        </w:rPr>
        <w:t xml:space="preserve">.3 </w:t>
      </w:r>
      <w:r w:rsidR="00C11963" w:rsidRPr="007A3580">
        <w:rPr>
          <w:rFonts w:ascii="Times New Roman" w:hAnsi="Times New Roman" w:cs="Times New Roman"/>
          <w:b/>
          <w:sz w:val="24"/>
          <w:szCs w:val="24"/>
        </w:rPr>
        <w:t xml:space="preserve">Subsample for Analysis of Developmental English </w:t>
      </w:r>
    </w:p>
    <w:p w14:paraId="6855FE57" w14:textId="77777777" w:rsidR="007B297F" w:rsidRPr="007A3580" w:rsidRDefault="007B297F" w:rsidP="00347697">
      <w:pPr>
        <w:spacing w:after="0" w:line="240" w:lineRule="auto"/>
        <w:rPr>
          <w:rFonts w:ascii="Times New Roman" w:hAnsi="Times New Roman" w:cs="Times New Roman"/>
          <w:sz w:val="24"/>
          <w:szCs w:val="24"/>
        </w:rPr>
      </w:pPr>
    </w:p>
    <w:p w14:paraId="3A0D0810" w14:textId="08E063CF" w:rsidR="00F0386D" w:rsidRPr="007A3580" w:rsidRDefault="007B297F" w:rsidP="00347697">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The subsample for the analysis of developmental English is comparable to that of math.  </w:t>
      </w:r>
      <w:r w:rsidR="00C11963" w:rsidRPr="007A3580">
        <w:rPr>
          <w:rFonts w:ascii="Times New Roman" w:hAnsi="Times New Roman" w:cs="Times New Roman"/>
          <w:sz w:val="24"/>
          <w:szCs w:val="24"/>
        </w:rPr>
        <w:t xml:space="preserve">Students </w:t>
      </w:r>
      <w:r w:rsidRPr="007A3580">
        <w:rPr>
          <w:rFonts w:ascii="Times New Roman" w:hAnsi="Times New Roman" w:cs="Times New Roman"/>
          <w:sz w:val="24"/>
          <w:szCs w:val="24"/>
        </w:rPr>
        <w:t xml:space="preserve">must have </w:t>
      </w:r>
      <w:r w:rsidR="00C11963" w:rsidRPr="007A3580">
        <w:rPr>
          <w:rFonts w:ascii="Times New Roman" w:hAnsi="Times New Roman" w:cs="Times New Roman"/>
          <w:sz w:val="24"/>
          <w:szCs w:val="24"/>
        </w:rPr>
        <w:t>attempted a first English course that was developmental in nature</w:t>
      </w:r>
      <w:r w:rsidR="00C06182" w:rsidRPr="007A3580">
        <w:rPr>
          <w:rFonts w:ascii="Times New Roman" w:hAnsi="Times New Roman" w:cs="Times New Roman"/>
          <w:sz w:val="24"/>
          <w:szCs w:val="24"/>
        </w:rPr>
        <w:t xml:space="preserve"> and among BC’s current developmental offerings</w:t>
      </w:r>
      <w:r w:rsidRPr="007A3580">
        <w:rPr>
          <w:rFonts w:ascii="Times New Roman" w:hAnsi="Times New Roman" w:cs="Times New Roman"/>
          <w:sz w:val="24"/>
          <w:szCs w:val="24"/>
        </w:rPr>
        <w:t>, must have</w:t>
      </w:r>
      <w:r w:rsidR="00C11963" w:rsidRPr="007A3580">
        <w:rPr>
          <w:rFonts w:ascii="Times New Roman" w:hAnsi="Times New Roman" w:cs="Times New Roman"/>
          <w:sz w:val="24"/>
          <w:szCs w:val="24"/>
        </w:rPr>
        <w:t xml:space="preserve"> </w:t>
      </w:r>
      <w:r w:rsidR="002C06D7" w:rsidRPr="007A3580">
        <w:rPr>
          <w:rFonts w:ascii="Times New Roman" w:hAnsi="Times New Roman" w:cs="Times New Roman"/>
          <w:sz w:val="24"/>
          <w:szCs w:val="24"/>
        </w:rPr>
        <w:t xml:space="preserve">attempted </w:t>
      </w:r>
      <w:r w:rsidRPr="007A3580">
        <w:rPr>
          <w:rFonts w:ascii="Times New Roman" w:hAnsi="Times New Roman" w:cs="Times New Roman"/>
          <w:sz w:val="24"/>
          <w:szCs w:val="24"/>
        </w:rPr>
        <w:t xml:space="preserve">this first English course </w:t>
      </w:r>
      <w:r w:rsidR="00C11963" w:rsidRPr="007A3580">
        <w:rPr>
          <w:rFonts w:ascii="Times New Roman" w:hAnsi="Times New Roman" w:cs="Times New Roman"/>
          <w:sz w:val="24"/>
          <w:szCs w:val="24"/>
        </w:rPr>
        <w:t>between their term of initial enrollment and Spring 2017</w:t>
      </w:r>
      <w:r w:rsidRPr="007A3580">
        <w:rPr>
          <w:rFonts w:ascii="Times New Roman" w:hAnsi="Times New Roman" w:cs="Times New Roman"/>
          <w:sz w:val="24"/>
          <w:szCs w:val="24"/>
        </w:rPr>
        <w:t xml:space="preserve">, and must have valid </w:t>
      </w:r>
      <w:r w:rsidR="00F0386D" w:rsidRPr="007A3580">
        <w:rPr>
          <w:rFonts w:ascii="Times New Roman" w:hAnsi="Times New Roman" w:cs="Times New Roman"/>
          <w:sz w:val="24"/>
          <w:szCs w:val="24"/>
        </w:rPr>
        <w:t>information about how they were placed in the English curriculum.</w:t>
      </w:r>
    </w:p>
    <w:p w14:paraId="32B5A00C" w14:textId="09508A67" w:rsidR="000414C2" w:rsidRDefault="000414C2" w:rsidP="00DA4AEC">
      <w:pPr>
        <w:spacing w:after="0" w:line="240" w:lineRule="auto"/>
        <w:rPr>
          <w:rFonts w:ascii="Times New Roman" w:hAnsi="Times New Roman" w:cs="Times New Roman"/>
          <w:sz w:val="24"/>
          <w:szCs w:val="24"/>
        </w:rPr>
      </w:pPr>
    </w:p>
    <w:p w14:paraId="5ABBF69D" w14:textId="3D7D5B7E" w:rsidR="00393A67" w:rsidRPr="007A3580" w:rsidRDefault="00393A67" w:rsidP="00393A67">
      <w:pPr>
        <w:spacing w:after="0" w:line="240" w:lineRule="auto"/>
        <w:rPr>
          <w:rFonts w:ascii="Times New Roman" w:hAnsi="Times New Roman" w:cs="Times New Roman"/>
          <w:b/>
          <w:sz w:val="24"/>
          <w:szCs w:val="24"/>
        </w:rPr>
      </w:pPr>
      <w:r w:rsidRPr="007A3580">
        <w:rPr>
          <w:rFonts w:ascii="Times New Roman" w:hAnsi="Times New Roman" w:cs="Times New Roman"/>
          <w:b/>
          <w:sz w:val="24"/>
          <w:szCs w:val="24"/>
        </w:rPr>
        <w:t>4</w:t>
      </w:r>
      <w:r>
        <w:rPr>
          <w:rFonts w:ascii="Times New Roman" w:hAnsi="Times New Roman" w:cs="Times New Roman"/>
          <w:b/>
          <w:sz w:val="24"/>
          <w:szCs w:val="24"/>
        </w:rPr>
        <w:t>.4</w:t>
      </w:r>
      <w:r w:rsidRPr="007A3580">
        <w:rPr>
          <w:rFonts w:ascii="Times New Roman" w:hAnsi="Times New Roman" w:cs="Times New Roman"/>
          <w:b/>
          <w:sz w:val="24"/>
          <w:szCs w:val="24"/>
        </w:rPr>
        <w:t xml:space="preserve"> Subsample for </w:t>
      </w:r>
      <w:r>
        <w:rPr>
          <w:rFonts w:ascii="Times New Roman" w:hAnsi="Times New Roman" w:cs="Times New Roman"/>
          <w:b/>
          <w:sz w:val="24"/>
          <w:szCs w:val="24"/>
        </w:rPr>
        <w:t>the Comparison of</w:t>
      </w:r>
      <w:r w:rsidRPr="007A3580">
        <w:rPr>
          <w:rFonts w:ascii="Times New Roman" w:hAnsi="Times New Roman" w:cs="Times New Roman"/>
          <w:b/>
          <w:sz w:val="24"/>
          <w:szCs w:val="24"/>
        </w:rPr>
        <w:t xml:space="preserve"> Developmental </w:t>
      </w:r>
      <w:r>
        <w:rPr>
          <w:rFonts w:ascii="Times New Roman" w:hAnsi="Times New Roman" w:cs="Times New Roman"/>
          <w:b/>
          <w:sz w:val="24"/>
          <w:szCs w:val="24"/>
        </w:rPr>
        <w:t xml:space="preserve">and Transfer-Level </w:t>
      </w:r>
      <w:r w:rsidRPr="007A3580">
        <w:rPr>
          <w:rFonts w:ascii="Times New Roman" w:hAnsi="Times New Roman" w:cs="Times New Roman"/>
          <w:b/>
          <w:sz w:val="24"/>
          <w:szCs w:val="24"/>
        </w:rPr>
        <w:t xml:space="preserve">Math </w:t>
      </w:r>
    </w:p>
    <w:p w14:paraId="77F0CB29" w14:textId="77777777" w:rsidR="00393A67" w:rsidRPr="007A3580" w:rsidRDefault="00393A67" w:rsidP="00393A67">
      <w:pPr>
        <w:spacing w:after="0" w:line="240" w:lineRule="auto"/>
        <w:rPr>
          <w:rFonts w:ascii="Times New Roman" w:hAnsi="Times New Roman" w:cs="Times New Roman"/>
          <w:sz w:val="24"/>
          <w:szCs w:val="24"/>
        </w:rPr>
      </w:pPr>
    </w:p>
    <w:p w14:paraId="4DB69221" w14:textId="7D08F32D" w:rsidR="00056C55" w:rsidRDefault="00056C55" w:rsidP="00393A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compare the outcomes of students whose first quantitative course was developmental in nature with the outcomes of students whose first quantitative course was transfer-level, the subsample used for the analysis of developmental math </w:t>
      </w:r>
      <w:r w:rsidR="005A5A60">
        <w:rPr>
          <w:rFonts w:ascii="Times New Roman" w:hAnsi="Times New Roman" w:cs="Times New Roman"/>
          <w:sz w:val="24"/>
          <w:szCs w:val="24"/>
        </w:rPr>
        <w:t xml:space="preserve">(see section 4.2) </w:t>
      </w:r>
      <w:r>
        <w:rPr>
          <w:rFonts w:ascii="Times New Roman" w:hAnsi="Times New Roman" w:cs="Times New Roman"/>
          <w:sz w:val="24"/>
          <w:szCs w:val="24"/>
        </w:rPr>
        <w:t>was expanded to include students whose first quantitative course was Math B1A, Math B22, or Psyc B5</w:t>
      </w:r>
      <w:r w:rsidR="00CE753B">
        <w:rPr>
          <w:rFonts w:ascii="Times New Roman" w:hAnsi="Times New Roman" w:cs="Times New Roman"/>
          <w:sz w:val="24"/>
          <w:szCs w:val="24"/>
        </w:rPr>
        <w:t>.  Conversely</w:t>
      </w:r>
      <w:r>
        <w:rPr>
          <w:rFonts w:ascii="Times New Roman" w:hAnsi="Times New Roman" w:cs="Times New Roman"/>
          <w:sz w:val="24"/>
          <w:szCs w:val="24"/>
        </w:rPr>
        <w:t xml:space="preserve">, students whose first math course was ACDV B72 (the lowest level of developmental math) were dropped (removed) from the subsample.  In addition, students who were missing information on cumulative high school grade point average or scaled high school assessment score were dropped.  As </w:t>
      </w:r>
      <w:r w:rsidR="00CA5363">
        <w:rPr>
          <w:rFonts w:ascii="Times New Roman" w:hAnsi="Times New Roman" w:cs="Times New Roman"/>
          <w:sz w:val="24"/>
          <w:szCs w:val="24"/>
        </w:rPr>
        <w:t>with the other subsamples</w:t>
      </w:r>
      <w:r>
        <w:rPr>
          <w:rFonts w:ascii="Times New Roman" w:hAnsi="Times New Roman" w:cs="Times New Roman"/>
          <w:sz w:val="24"/>
          <w:szCs w:val="24"/>
        </w:rPr>
        <w:t xml:space="preserve">, </w:t>
      </w:r>
      <w:r w:rsidR="00CE753B">
        <w:rPr>
          <w:rFonts w:ascii="Times New Roman" w:hAnsi="Times New Roman" w:cs="Times New Roman"/>
          <w:sz w:val="24"/>
          <w:szCs w:val="24"/>
        </w:rPr>
        <w:t>students must have entered</w:t>
      </w:r>
      <w:r w:rsidR="00CE753B" w:rsidRPr="007A3580">
        <w:rPr>
          <w:rFonts w:ascii="Times New Roman" w:hAnsi="Times New Roman" w:cs="Times New Roman"/>
          <w:sz w:val="24"/>
          <w:szCs w:val="24"/>
        </w:rPr>
        <w:t xml:space="preserve"> BC between Summer 2015 and Spring 2017</w:t>
      </w:r>
      <w:r w:rsidR="00CE753B">
        <w:rPr>
          <w:rFonts w:ascii="Times New Roman" w:hAnsi="Times New Roman" w:cs="Times New Roman"/>
          <w:sz w:val="24"/>
          <w:szCs w:val="24"/>
        </w:rPr>
        <w:t xml:space="preserve">, have attempted a </w:t>
      </w:r>
      <w:r w:rsidR="00CE753B" w:rsidRPr="007A3580">
        <w:rPr>
          <w:rFonts w:ascii="Times New Roman" w:hAnsi="Times New Roman" w:cs="Times New Roman"/>
          <w:sz w:val="24"/>
          <w:szCs w:val="24"/>
        </w:rPr>
        <w:t xml:space="preserve">first </w:t>
      </w:r>
      <w:r w:rsidR="00CE753B">
        <w:rPr>
          <w:rFonts w:ascii="Times New Roman" w:hAnsi="Times New Roman" w:cs="Times New Roman"/>
          <w:sz w:val="24"/>
          <w:szCs w:val="24"/>
        </w:rPr>
        <w:t xml:space="preserve">quantitative </w:t>
      </w:r>
      <w:r w:rsidR="00CE753B" w:rsidRPr="007A3580">
        <w:rPr>
          <w:rFonts w:ascii="Times New Roman" w:hAnsi="Times New Roman" w:cs="Times New Roman"/>
          <w:sz w:val="24"/>
          <w:szCs w:val="24"/>
        </w:rPr>
        <w:t>course no later than Spring 2017</w:t>
      </w:r>
      <w:r w:rsidR="00CE753B">
        <w:rPr>
          <w:rFonts w:ascii="Times New Roman" w:hAnsi="Times New Roman" w:cs="Times New Roman"/>
          <w:sz w:val="24"/>
          <w:szCs w:val="24"/>
        </w:rPr>
        <w:t>,</w:t>
      </w:r>
      <w:r w:rsidR="00CE753B" w:rsidRPr="007A3580">
        <w:rPr>
          <w:rFonts w:ascii="Times New Roman" w:hAnsi="Times New Roman" w:cs="Times New Roman"/>
          <w:sz w:val="24"/>
          <w:szCs w:val="24"/>
        </w:rPr>
        <w:t xml:space="preserve"> and </w:t>
      </w:r>
      <w:r w:rsidR="00CE753B">
        <w:rPr>
          <w:rFonts w:ascii="Times New Roman" w:hAnsi="Times New Roman" w:cs="Times New Roman"/>
          <w:sz w:val="24"/>
          <w:szCs w:val="24"/>
        </w:rPr>
        <w:t>have</w:t>
      </w:r>
      <w:r w:rsidR="00CE753B" w:rsidRPr="007A3580">
        <w:rPr>
          <w:rFonts w:ascii="Times New Roman" w:hAnsi="Times New Roman" w:cs="Times New Roman"/>
          <w:sz w:val="24"/>
          <w:szCs w:val="24"/>
        </w:rPr>
        <w:t xml:space="preserve"> valid (non-missing) information on gender, race/ethnicity, age, citizenship, goal reported at college entry</w:t>
      </w:r>
      <w:r w:rsidR="00804E72">
        <w:rPr>
          <w:rFonts w:ascii="Times New Roman" w:hAnsi="Times New Roman" w:cs="Times New Roman"/>
          <w:sz w:val="24"/>
          <w:szCs w:val="24"/>
        </w:rPr>
        <w:t>, and assessment method</w:t>
      </w:r>
      <w:r w:rsidR="00CE753B" w:rsidRPr="007A3580">
        <w:rPr>
          <w:rFonts w:ascii="Times New Roman" w:hAnsi="Times New Roman" w:cs="Times New Roman"/>
          <w:sz w:val="24"/>
          <w:szCs w:val="24"/>
        </w:rPr>
        <w:t xml:space="preserve">.  </w:t>
      </w:r>
      <w:r w:rsidR="00CA5363">
        <w:rPr>
          <w:rFonts w:ascii="Times New Roman" w:hAnsi="Times New Roman" w:cs="Times New Roman"/>
          <w:sz w:val="24"/>
          <w:szCs w:val="24"/>
        </w:rPr>
        <w:t>S</w:t>
      </w:r>
      <w:r w:rsidR="00CE753B" w:rsidRPr="007A3580">
        <w:rPr>
          <w:rFonts w:ascii="Times New Roman" w:hAnsi="Times New Roman" w:cs="Times New Roman"/>
          <w:sz w:val="24"/>
          <w:szCs w:val="24"/>
        </w:rPr>
        <w:t xml:space="preserve">tudents’ course enrollments and outcomes </w:t>
      </w:r>
      <w:r w:rsidR="00CA5363">
        <w:rPr>
          <w:rFonts w:ascii="Times New Roman" w:hAnsi="Times New Roman" w:cs="Times New Roman"/>
          <w:sz w:val="24"/>
          <w:szCs w:val="24"/>
        </w:rPr>
        <w:t xml:space="preserve">again </w:t>
      </w:r>
      <w:r w:rsidR="00CE753B" w:rsidRPr="007A3580">
        <w:rPr>
          <w:rFonts w:ascii="Times New Roman" w:hAnsi="Times New Roman" w:cs="Times New Roman"/>
          <w:sz w:val="24"/>
          <w:szCs w:val="24"/>
        </w:rPr>
        <w:t>were observed through Spring 2018.</w:t>
      </w:r>
    </w:p>
    <w:p w14:paraId="26076CB9" w14:textId="77777777" w:rsidR="00056C55" w:rsidRDefault="00056C55" w:rsidP="00393A67">
      <w:pPr>
        <w:spacing w:after="0" w:line="240" w:lineRule="auto"/>
        <w:rPr>
          <w:rFonts w:ascii="Times New Roman" w:hAnsi="Times New Roman" w:cs="Times New Roman"/>
          <w:sz w:val="24"/>
          <w:szCs w:val="24"/>
        </w:rPr>
      </w:pPr>
    </w:p>
    <w:p w14:paraId="401D8919" w14:textId="12B36427" w:rsidR="00056C55" w:rsidRPr="007A3580" w:rsidRDefault="00056C55" w:rsidP="00056C55">
      <w:pPr>
        <w:spacing w:after="0" w:line="240" w:lineRule="auto"/>
        <w:rPr>
          <w:rFonts w:ascii="Times New Roman" w:hAnsi="Times New Roman" w:cs="Times New Roman"/>
          <w:b/>
          <w:sz w:val="24"/>
          <w:szCs w:val="24"/>
        </w:rPr>
      </w:pPr>
      <w:r w:rsidRPr="007A3580">
        <w:rPr>
          <w:rFonts w:ascii="Times New Roman" w:hAnsi="Times New Roman" w:cs="Times New Roman"/>
          <w:b/>
          <w:sz w:val="24"/>
          <w:szCs w:val="24"/>
        </w:rPr>
        <w:t>4</w:t>
      </w:r>
      <w:r>
        <w:rPr>
          <w:rFonts w:ascii="Times New Roman" w:hAnsi="Times New Roman" w:cs="Times New Roman"/>
          <w:b/>
          <w:sz w:val="24"/>
          <w:szCs w:val="24"/>
        </w:rPr>
        <w:t>.5</w:t>
      </w:r>
      <w:r w:rsidRPr="007A3580">
        <w:rPr>
          <w:rFonts w:ascii="Times New Roman" w:hAnsi="Times New Roman" w:cs="Times New Roman"/>
          <w:b/>
          <w:sz w:val="24"/>
          <w:szCs w:val="24"/>
        </w:rPr>
        <w:t xml:space="preserve"> Subsample for </w:t>
      </w:r>
      <w:r>
        <w:rPr>
          <w:rFonts w:ascii="Times New Roman" w:hAnsi="Times New Roman" w:cs="Times New Roman"/>
          <w:b/>
          <w:sz w:val="24"/>
          <w:szCs w:val="24"/>
        </w:rPr>
        <w:t>the Comparison of</w:t>
      </w:r>
      <w:r w:rsidRPr="007A3580">
        <w:rPr>
          <w:rFonts w:ascii="Times New Roman" w:hAnsi="Times New Roman" w:cs="Times New Roman"/>
          <w:b/>
          <w:sz w:val="24"/>
          <w:szCs w:val="24"/>
        </w:rPr>
        <w:t xml:space="preserve"> Developmental </w:t>
      </w:r>
      <w:r>
        <w:rPr>
          <w:rFonts w:ascii="Times New Roman" w:hAnsi="Times New Roman" w:cs="Times New Roman"/>
          <w:b/>
          <w:sz w:val="24"/>
          <w:szCs w:val="24"/>
        </w:rPr>
        <w:t>and Transfer-Level English</w:t>
      </w:r>
    </w:p>
    <w:p w14:paraId="48215B73" w14:textId="77777777" w:rsidR="00056C55" w:rsidRPr="007A3580" w:rsidRDefault="00056C55" w:rsidP="00056C55">
      <w:pPr>
        <w:spacing w:after="0" w:line="240" w:lineRule="auto"/>
        <w:rPr>
          <w:rFonts w:ascii="Times New Roman" w:hAnsi="Times New Roman" w:cs="Times New Roman"/>
          <w:sz w:val="24"/>
          <w:szCs w:val="24"/>
        </w:rPr>
      </w:pPr>
    </w:p>
    <w:p w14:paraId="62446166" w14:textId="5DEA9CD6" w:rsidR="00056C55" w:rsidRDefault="00A15EB9" w:rsidP="00056C55">
      <w:pPr>
        <w:spacing w:after="0" w:line="240" w:lineRule="auto"/>
        <w:rPr>
          <w:rFonts w:ascii="Times New Roman" w:hAnsi="Times New Roman" w:cs="Times New Roman"/>
          <w:sz w:val="24"/>
          <w:szCs w:val="24"/>
        </w:rPr>
      </w:pPr>
      <w:r w:rsidRPr="0072729B">
        <w:rPr>
          <w:rFonts w:ascii="Times New Roman" w:hAnsi="Times New Roman" w:cs="Times New Roman"/>
          <w:sz w:val="24"/>
          <w:szCs w:val="24"/>
        </w:rPr>
        <w:t xml:space="preserve">The subsample used to compare outcomes of students whose first English course was developmental </w:t>
      </w:r>
      <w:r w:rsidR="002C5E68">
        <w:rPr>
          <w:rFonts w:ascii="Times New Roman" w:hAnsi="Times New Roman" w:cs="Times New Roman"/>
          <w:sz w:val="24"/>
          <w:szCs w:val="24"/>
        </w:rPr>
        <w:t xml:space="preserve">versus </w:t>
      </w:r>
      <w:r w:rsidRPr="0072729B">
        <w:rPr>
          <w:rFonts w:ascii="Times New Roman" w:hAnsi="Times New Roman" w:cs="Times New Roman"/>
          <w:sz w:val="24"/>
          <w:szCs w:val="24"/>
        </w:rPr>
        <w:t xml:space="preserve">students whose first English course was transfer-level </w:t>
      </w:r>
      <w:r w:rsidR="00274693">
        <w:rPr>
          <w:rFonts w:ascii="Times New Roman" w:hAnsi="Times New Roman" w:cs="Times New Roman"/>
          <w:sz w:val="24"/>
          <w:szCs w:val="24"/>
        </w:rPr>
        <w:t>was</w:t>
      </w:r>
      <w:r w:rsidRPr="0072729B">
        <w:rPr>
          <w:rFonts w:ascii="Times New Roman" w:hAnsi="Times New Roman" w:cs="Times New Roman"/>
          <w:sz w:val="24"/>
          <w:szCs w:val="24"/>
        </w:rPr>
        <w:t xml:space="preserve"> </w:t>
      </w:r>
      <w:r w:rsidR="002C5E68">
        <w:rPr>
          <w:rFonts w:ascii="Times New Roman" w:hAnsi="Times New Roman" w:cs="Times New Roman"/>
          <w:sz w:val="24"/>
          <w:szCs w:val="24"/>
        </w:rPr>
        <w:t xml:space="preserve">defined in a manner comparable to that of </w:t>
      </w:r>
      <w:r w:rsidRPr="0072729B">
        <w:rPr>
          <w:rFonts w:ascii="Times New Roman" w:hAnsi="Times New Roman" w:cs="Times New Roman"/>
          <w:sz w:val="24"/>
          <w:szCs w:val="24"/>
        </w:rPr>
        <w:t xml:space="preserve">math.  </w:t>
      </w:r>
      <w:r>
        <w:rPr>
          <w:rFonts w:ascii="Times New Roman" w:hAnsi="Times New Roman" w:cs="Times New Roman"/>
          <w:sz w:val="24"/>
          <w:szCs w:val="24"/>
        </w:rPr>
        <w:t xml:space="preserve">Students whose first English course was </w:t>
      </w:r>
      <w:r w:rsidR="00CE1FD5">
        <w:rPr>
          <w:rFonts w:ascii="Times New Roman" w:hAnsi="Times New Roman" w:cs="Times New Roman"/>
          <w:sz w:val="24"/>
          <w:szCs w:val="24"/>
        </w:rPr>
        <w:t xml:space="preserve">Engl B1A were </w:t>
      </w:r>
      <w:r w:rsidR="005A5A60">
        <w:rPr>
          <w:rFonts w:ascii="Times New Roman" w:hAnsi="Times New Roman" w:cs="Times New Roman"/>
          <w:sz w:val="24"/>
          <w:szCs w:val="24"/>
        </w:rPr>
        <w:t>added to the developmental English sample (see section 4.3)</w:t>
      </w:r>
      <w:r w:rsidR="00CE1FD5">
        <w:rPr>
          <w:rFonts w:ascii="Times New Roman" w:hAnsi="Times New Roman" w:cs="Times New Roman"/>
          <w:sz w:val="24"/>
          <w:szCs w:val="24"/>
        </w:rPr>
        <w:t xml:space="preserve">, while students whose first English course was ACDV B80 were excluded.  Students who were missing information on cumulative high school grade point average, scaled high school assessment score, </w:t>
      </w:r>
      <w:r w:rsidR="00CE1FD5" w:rsidRPr="007A3580">
        <w:rPr>
          <w:rFonts w:ascii="Times New Roman" w:hAnsi="Times New Roman" w:cs="Times New Roman"/>
          <w:sz w:val="24"/>
          <w:szCs w:val="24"/>
        </w:rPr>
        <w:t>gender, race/ethnicity, age, citizenship, goal reported at college entry</w:t>
      </w:r>
      <w:r w:rsidR="00274693">
        <w:rPr>
          <w:rFonts w:ascii="Times New Roman" w:hAnsi="Times New Roman" w:cs="Times New Roman"/>
          <w:sz w:val="24"/>
          <w:szCs w:val="24"/>
        </w:rPr>
        <w:t>, and assessment method were dropped</w:t>
      </w:r>
      <w:r w:rsidR="00CE1FD5">
        <w:rPr>
          <w:rFonts w:ascii="Times New Roman" w:hAnsi="Times New Roman" w:cs="Times New Roman"/>
          <w:sz w:val="24"/>
          <w:szCs w:val="24"/>
        </w:rPr>
        <w:t xml:space="preserve">.  </w:t>
      </w:r>
      <w:r w:rsidR="00804E72">
        <w:rPr>
          <w:rFonts w:ascii="Times New Roman" w:hAnsi="Times New Roman" w:cs="Times New Roman"/>
          <w:sz w:val="24"/>
          <w:szCs w:val="24"/>
        </w:rPr>
        <w:t>S</w:t>
      </w:r>
      <w:r w:rsidR="00CE1FD5">
        <w:rPr>
          <w:rFonts w:ascii="Times New Roman" w:hAnsi="Times New Roman" w:cs="Times New Roman"/>
          <w:sz w:val="24"/>
          <w:szCs w:val="24"/>
        </w:rPr>
        <w:t>tudents must have entered</w:t>
      </w:r>
      <w:r w:rsidR="00CE1FD5" w:rsidRPr="007A3580">
        <w:rPr>
          <w:rFonts w:ascii="Times New Roman" w:hAnsi="Times New Roman" w:cs="Times New Roman"/>
          <w:sz w:val="24"/>
          <w:szCs w:val="24"/>
        </w:rPr>
        <w:t xml:space="preserve"> BC between Summer 2015 and Spring 2017</w:t>
      </w:r>
      <w:r w:rsidR="00804E72">
        <w:rPr>
          <w:rFonts w:ascii="Times New Roman" w:hAnsi="Times New Roman" w:cs="Times New Roman"/>
          <w:sz w:val="24"/>
          <w:szCs w:val="24"/>
        </w:rPr>
        <w:t xml:space="preserve"> and </w:t>
      </w:r>
      <w:r w:rsidR="00CE1FD5">
        <w:rPr>
          <w:rFonts w:ascii="Times New Roman" w:hAnsi="Times New Roman" w:cs="Times New Roman"/>
          <w:sz w:val="24"/>
          <w:szCs w:val="24"/>
        </w:rPr>
        <w:t xml:space="preserve">have attempted a </w:t>
      </w:r>
      <w:r w:rsidR="00CE1FD5" w:rsidRPr="007A3580">
        <w:rPr>
          <w:rFonts w:ascii="Times New Roman" w:hAnsi="Times New Roman" w:cs="Times New Roman"/>
          <w:sz w:val="24"/>
          <w:szCs w:val="24"/>
        </w:rPr>
        <w:t xml:space="preserve">first </w:t>
      </w:r>
      <w:r w:rsidR="00804E72">
        <w:rPr>
          <w:rFonts w:ascii="Times New Roman" w:hAnsi="Times New Roman" w:cs="Times New Roman"/>
          <w:sz w:val="24"/>
          <w:szCs w:val="24"/>
        </w:rPr>
        <w:t>English</w:t>
      </w:r>
      <w:r w:rsidR="00CE1FD5">
        <w:rPr>
          <w:rFonts w:ascii="Times New Roman" w:hAnsi="Times New Roman" w:cs="Times New Roman"/>
          <w:sz w:val="24"/>
          <w:szCs w:val="24"/>
        </w:rPr>
        <w:t xml:space="preserve"> </w:t>
      </w:r>
      <w:r w:rsidR="00CE1FD5" w:rsidRPr="007A3580">
        <w:rPr>
          <w:rFonts w:ascii="Times New Roman" w:hAnsi="Times New Roman" w:cs="Times New Roman"/>
          <w:sz w:val="24"/>
          <w:szCs w:val="24"/>
        </w:rPr>
        <w:t>course no later than Spring 2017</w:t>
      </w:r>
      <w:r w:rsidR="00804E72">
        <w:rPr>
          <w:rFonts w:ascii="Times New Roman" w:hAnsi="Times New Roman" w:cs="Times New Roman"/>
          <w:sz w:val="24"/>
          <w:szCs w:val="24"/>
        </w:rPr>
        <w:t>;</w:t>
      </w:r>
      <w:r w:rsidR="00CE1FD5" w:rsidRPr="007A3580">
        <w:rPr>
          <w:rFonts w:ascii="Times New Roman" w:hAnsi="Times New Roman" w:cs="Times New Roman"/>
          <w:sz w:val="24"/>
          <w:szCs w:val="24"/>
        </w:rPr>
        <w:t xml:space="preserve"> course enrollments and outcomes </w:t>
      </w:r>
      <w:r w:rsidR="00CE1FD5">
        <w:rPr>
          <w:rFonts w:ascii="Times New Roman" w:hAnsi="Times New Roman" w:cs="Times New Roman"/>
          <w:sz w:val="24"/>
          <w:szCs w:val="24"/>
        </w:rPr>
        <w:t xml:space="preserve">again </w:t>
      </w:r>
      <w:r w:rsidR="00CE1FD5" w:rsidRPr="007A3580">
        <w:rPr>
          <w:rFonts w:ascii="Times New Roman" w:hAnsi="Times New Roman" w:cs="Times New Roman"/>
          <w:sz w:val="24"/>
          <w:szCs w:val="24"/>
        </w:rPr>
        <w:t>were observed through Spring 2018</w:t>
      </w:r>
      <w:r w:rsidR="00804E72">
        <w:rPr>
          <w:rFonts w:ascii="Times New Roman" w:hAnsi="Times New Roman" w:cs="Times New Roman"/>
          <w:sz w:val="24"/>
          <w:szCs w:val="24"/>
        </w:rPr>
        <w:t>.</w:t>
      </w:r>
    </w:p>
    <w:p w14:paraId="27B561D0" w14:textId="77777777" w:rsidR="00056C55" w:rsidRDefault="00056C55" w:rsidP="00056C55">
      <w:pPr>
        <w:spacing w:after="0" w:line="240" w:lineRule="auto"/>
        <w:rPr>
          <w:rFonts w:ascii="Times New Roman" w:hAnsi="Times New Roman" w:cs="Times New Roman"/>
          <w:sz w:val="24"/>
          <w:szCs w:val="24"/>
        </w:rPr>
      </w:pPr>
    </w:p>
    <w:p w14:paraId="1AE0ECCF" w14:textId="77803BCA" w:rsidR="00B02DD7" w:rsidRPr="007A3580" w:rsidRDefault="00B02DD7" w:rsidP="00B02DD7">
      <w:pPr>
        <w:spacing w:after="0" w:line="240" w:lineRule="auto"/>
        <w:rPr>
          <w:rFonts w:ascii="Times New Roman" w:hAnsi="Times New Roman" w:cs="Times New Roman"/>
          <w:b/>
          <w:sz w:val="24"/>
          <w:szCs w:val="24"/>
        </w:rPr>
      </w:pPr>
      <w:r w:rsidRPr="004A6BFB">
        <w:rPr>
          <w:rFonts w:ascii="Times New Roman" w:hAnsi="Times New Roman" w:cs="Times New Roman"/>
          <w:b/>
          <w:sz w:val="24"/>
          <w:szCs w:val="24"/>
        </w:rPr>
        <w:t xml:space="preserve">SECTION </w:t>
      </w:r>
      <w:r w:rsidR="00A90080" w:rsidRPr="004A6BFB">
        <w:rPr>
          <w:rFonts w:ascii="Times New Roman" w:hAnsi="Times New Roman" w:cs="Times New Roman"/>
          <w:b/>
          <w:sz w:val="24"/>
          <w:szCs w:val="24"/>
        </w:rPr>
        <w:t>5</w:t>
      </w:r>
      <w:r w:rsidRPr="004A6BFB">
        <w:rPr>
          <w:rFonts w:ascii="Times New Roman" w:hAnsi="Times New Roman" w:cs="Times New Roman"/>
          <w:b/>
          <w:sz w:val="24"/>
          <w:szCs w:val="24"/>
        </w:rPr>
        <w:t xml:space="preserve">:  </w:t>
      </w:r>
      <w:r w:rsidR="004F61FA" w:rsidRPr="004A6BFB">
        <w:rPr>
          <w:rFonts w:ascii="Times New Roman" w:hAnsi="Times New Roman" w:cs="Times New Roman"/>
          <w:b/>
          <w:sz w:val="24"/>
          <w:szCs w:val="24"/>
        </w:rPr>
        <w:t xml:space="preserve">DEVELOPMENTAL </w:t>
      </w:r>
      <w:r w:rsidRPr="004A6BFB">
        <w:rPr>
          <w:rFonts w:ascii="Times New Roman" w:hAnsi="Times New Roman" w:cs="Times New Roman"/>
          <w:b/>
          <w:sz w:val="24"/>
          <w:szCs w:val="24"/>
        </w:rPr>
        <w:t xml:space="preserve">MATH </w:t>
      </w:r>
      <w:r w:rsidR="004F61FA" w:rsidRPr="004A6BFB">
        <w:rPr>
          <w:rFonts w:ascii="Times New Roman" w:hAnsi="Times New Roman" w:cs="Times New Roman"/>
          <w:b/>
          <w:sz w:val="24"/>
          <w:szCs w:val="24"/>
        </w:rPr>
        <w:t>PATHWAYS</w:t>
      </w:r>
    </w:p>
    <w:p w14:paraId="41E9713A" w14:textId="5653D38A" w:rsidR="00B02DD7" w:rsidRPr="007A3580" w:rsidRDefault="00B02DD7" w:rsidP="000E5B41">
      <w:pPr>
        <w:spacing w:after="0" w:line="240" w:lineRule="auto"/>
        <w:rPr>
          <w:rFonts w:ascii="Times New Roman" w:hAnsi="Times New Roman" w:cs="Times New Roman"/>
          <w:b/>
          <w:sz w:val="24"/>
          <w:szCs w:val="24"/>
          <w:u w:val="single"/>
        </w:rPr>
      </w:pPr>
    </w:p>
    <w:p w14:paraId="68E744D9" w14:textId="6A00741E" w:rsidR="00F7634C" w:rsidRPr="007A3580" w:rsidRDefault="00C13116" w:rsidP="000E5B41">
      <w:pPr>
        <w:spacing w:after="0" w:line="240" w:lineRule="auto"/>
        <w:rPr>
          <w:rFonts w:ascii="Times New Roman" w:hAnsi="Times New Roman" w:cs="Times New Roman"/>
          <w:b/>
          <w:sz w:val="24"/>
          <w:szCs w:val="24"/>
        </w:rPr>
      </w:pPr>
      <w:r w:rsidRPr="007A3580">
        <w:rPr>
          <w:rFonts w:ascii="Times New Roman" w:hAnsi="Times New Roman" w:cs="Times New Roman"/>
          <w:b/>
          <w:sz w:val="24"/>
          <w:szCs w:val="24"/>
        </w:rPr>
        <w:t>5</w:t>
      </w:r>
      <w:r w:rsidR="00F7634C" w:rsidRPr="007A3580">
        <w:rPr>
          <w:rFonts w:ascii="Times New Roman" w:hAnsi="Times New Roman" w:cs="Times New Roman"/>
          <w:b/>
          <w:sz w:val="24"/>
          <w:szCs w:val="24"/>
        </w:rPr>
        <w:t>.</w:t>
      </w:r>
      <w:r w:rsidR="00C43974" w:rsidRPr="007A3580">
        <w:rPr>
          <w:rFonts w:ascii="Times New Roman" w:hAnsi="Times New Roman" w:cs="Times New Roman"/>
          <w:b/>
          <w:sz w:val="24"/>
          <w:szCs w:val="24"/>
        </w:rPr>
        <w:t>1</w:t>
      </w:r>
      <w:r w:rsidR="00F7634C" w:rsidRPr="007A3580">
        <w:rPr>
          <w:rFonts w:ascii="Times New Roman" w:hAnsi="Times New Roman" w:cs="Times New Roman"/>
          <w:b/>
          <w:sz w:val="24"/>
          <w:szCs w:val="24"/>
        </w:rPr>
        <w:t xml:space="preserve"> </w:t>
      </w:r>
      <w:r w:rsidR="00B46308" w:rsidRPr="007A3580">
        <w:rPr>
          <w:rFonts w:ascii="Times New Roman" w:hAnsi="Times New Roman" w:cs="Times New Roman"/>
          <w:b/>
          <w:sz w:val="24"/>
          <w:szCs w:val="24"/>
        </w:rPr>
        <w:t xml:space="preserve">Analytical </w:t>
      </w:r>
      <w:r w:rsidR="00F7634C" w:rsidRPr="007A3580">
        <w:rPr>
          <w:rFonts w:ascii="Times New Roman" w:hAnsi="Times New Roman" w:cs="Times New Roman"/>
          <w:b/>
          <w:sz w:val="24"/>
          <w:szCs w:val="24"/>
        </w:rPr>
        <w:t>Focus</w:t>
      </w:r>
    </w:p>
    <w:p w14:paraId="40FCC1B1" w14:textId="7322CBC3" w:rsidR="00F7634C" w:rsidRPr="007A3580" w:rsidRDefault="00F7634C" w:rsidP="000E5B41">
      <w:pPr>
        <w:spacing w:after="0" w:line="240" w:lineRule="auto"/>
        <w:rPr>
          <w:rFonts w:ascii="Times New Roman" w:hAnsi="Times New Roman" w:cs="Times New Roman"/>
          <w:b/>
          <w:sz w:val="24"/>
          <w:szCs w:val="24"/>
          <w:u w:val="single"/>
        </w:rPr>
      </w:pPr>
    </w:p>
    <w:p w14:paraId="55F7DF0A" w14:textId="2E738BCD" w:rsidR="005F6BDB" w:rsidRPr="007A3580" w:rsidRDefault="00C2686A">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BC currently offers five developmental math courses</w:t>
      </w:r>
      <w:r w:rsidR="003D5967" w:rsidRPr="007A3580">
        <w:rPr>
          <w:rFonts w:ascii="Times New Roman" w:hAnsi="Times New Roman" w:cs="Times New Roman"/>
          <w:sz w:val="24"/>
          <w:szCs w:val="24"/>
        </w:rPr>
        <w:t>:</w:t>
      </w:r>
    </w:p>
    <w:p w14:paraId="2FF8542C" w14:textId="5FE65061" w:rsidR="00F12E93" w:rsidRPr="007A3580" w:rsidRDefault="003D5967" w:rsidP="00EF6CD7">
      <w:pPr>
        <w:pStyle w:val="ListParagraph"/>
        <w:numPr>
          <w:ilvl w:val="0"/>
          <w:numId w:val="4"/>
        </w:num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ACDV B72</w:t>
      </w:r>
      <w:r w:rsidR="0035075B" w:rsidRPr="007A3580">
        <w:rPr>
          <w:rFonts w:ascii="Times New Roman" w:hAnsi="Times New Roman" w:cs="Times New Roman"/>
          <w:sz w:val="24"/>
          <w:szCs w:val="24"/>
        </w:rPr>
        <w:t xml:space="preserve"> – basic </w:t>
      </w:r>
      <w:r w:rsidR="00C17D97" w:rsidRPr="007A3580">
        <w:rPr>
          <w:rFonts w:ascii="Times New Roman" w:hAnsi="Times New Roman" w:cs="Times New Roman"/>
          <w:sz w:val="24"/>
          <w:szCs w:val="24"/>
        </w:rPr>
        <w:t>arithmetic</w:t>
      </w:r>
      <w:r w:rsidR="0035075B" w:rsidRPr="007A3580">
        <w:rPr>
          <w:rFonts w:ascii="Times New Roman" w:hAnsi="Times New Roman" w:cs="Times New Roman"/>
          <w:sz w:val="24"/>
          <w:szCs w:val="24"/>
        </w:rPr>
        <w:t xml:space="preserve"> and pre-algebra</w:t>
      </w:r>
    </w:p>
    <w:p w14:paraId="7A9DFCFA" w14:textId="0E13CFA1" w:rsidR="0035075B" w:rsidRPr="007A3580" w:rsidRDefault="0035075B" w:rsidP="00EF6CD7">
      <w:pPr>
        <w:pStyle w:val="ListParagraph"/>
        <w:numPr>
          <w:ilvl w:val="0"/>
          <w:numId w:val="4"/>
        </w:num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Math B60 – beginning algebra</w:t>
      </w:r>
    </w:p>
    <w:p w14:paraId="19FF0D97" w14:textId="24394CB2" w:rsidR="0035075B" w:rsidRPr="007A3580" w:rsidRDefault="0035075B" w:rsidP="00EF6CD7">
      <w:pPr>
        <w:pStyle w:val="ListParagraph"/>
        <w:numPr>
          <w:ilvl w:val="0"/>
          <w:numId w:val="4"/>
        </w:num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Math B70 – intermediate algebra</w:t>
      </w:r>
    </w:p>
    <w:p w14:paraId="21661515" w14:textId="77777777" w:rsidR="00AD3063" w:rsidRPr="007A3580" w:rsidRDefault="00AD3063" w:rsidP="00EF6CD7">
      <w:pPr>
        <w:pStyle w:val="ListParagraph"/>
        <w:numPr>
          <w:ilvl w:val="0"/>
          <w:numId w:val="4"/>
        </w:num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Math B65 – intermediate algebra for statistics</w:t>
      </w:r>
    </w:p>
    <w:p w14:paraId="7FEF3219" w14:textId="21C6F657" w:rsidR="00F12E93" w:rsidRPr="007A3580" w:rsidRDefault="00F7634C" w:rsidP="00EF6CD7">
      <w:pPr>
        <w:pStyle w:val="ListParagraph"/>
        <w:numPr>
          <w:ilvl w:val="0"/>
          <w:numId w:val="4"/>
        </w:num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LRNC B530</w:t>
      </w:r>
      <w:r w:rsidR="0035075B" w:rsidRPr="007A3580">
        <w:rPr>
          <w:rFonts w:ascii="Times New Roman" w:hAnsi="Times New Roman" w:cs="Times New Roman"/>
          <w:sz w:val="24"/>
          <w:szCs w:val="24"/>
        </w:rPr>
        <w:t xml:space="preserve"> – </w:t>
      </w:r>
      <w:r w:rsidR="00F307C7" w:rsidRPr="007A3580">
        <w:rPr>
          <w:rFonts w:ascii="Times New Roman" w:hAnsi="Times New Roman" w:cs="Times New Roman"/>
          <w:sz w:val="24"/>
          <w:szCs w:val="24"/>
        </w:rPr>
        <w:t xml:space="preserve">a </w:t>
      </w:r>
      <w:r w:rsidR="0035075B" w:rsidRPr="007A3580">
        <w:rPr>
          <w:rFonts w:ascii="Times New Roman" w:hAnsi="Times New Roman" w:cs="Times New Roman"/>
          <w:sz w:val="24"/>
          <w:szCs w:val="24"/>
        </w:rPr>
        <w:t xml:space="preserve">compressed course consisting of beginning algebra followed by intermediate algebra, offered in succession in a single term </w:t>
      </w:r>
    </w:p>
    <w:p w14:paraId="1275C436" w14:textId="6636492A" w:rsidR="00CC1464" w:rsidRPr="007A3580" w:rsidRDefault="00CC1464" w:rsidP="001F61C8">
      <w:pPr>
        <w:spacing w:after="0" w:line="240" w:lineRule="auto"/>
        <w:rPr>
          <w:rFonts w:ascii="Times New Roman" w:hAnsi="Times New Roman" w:cs="Times New Roman"/>
          <w:sz w:val="24"/>
          <w:szCs w:val="24"/>
        </w:rPr>
      </w:pPr>
    </w:p>
    <w:p w14:paraId="090693CF" w14:textId="7F93D44F" w:rsidR="00DB5007" w:rsidRPr="007A3580" w:rsidRDefault="003D5967" w:rsidP="001F61C8">
      <w:pPr>
        <w:spacing w:after="0" w:line="240" w:lineRule="auto"/>
        <w:rPr>
          <w:rFonts w:ascii="Times New Roman" w:hAnsi="Times New Roman" w:cs="Times New Roman"/>
          <w:sz w:val="24"/>
          <w:szCs w:val="24"/>
        </w:rPr>
      </w:pPr>
      <w:r w:rsidRPr="007A3580">
        <w:rPr>
          <w:rFonts w:ascii="Times New Roman" w:hAnsi="Times New Roman" w:cs="Times New Roman"/>
          <w:i/>
          <w:sz w:val="24"/>
          <w:szCs w:val="24"/>
        </w:rPr>
        <w:t xml:space="preserve">This study focuses primarily on </w:t>
      </w:r>
      <w:r w:rsidR="00DB5007" w:rsidRPr="007A3580">
        <w:rPr>
          <w:rFonts w:ascii="Times New Roman" w:hAnsi="Times New Roman" w:cs="Times New Roman"/>
          <w:i/>
          <w:sz w:val="24"/>
          <w:szCs w:val="24"/>
        </w:rPr>
        <w:t xml:space="preserve">students who entered the math curriculum through </w:t>
      </w:r>
      <w:r w:rsidRPr="007A3580">
        <w:rPr>
          <w:rFonts w:ascii="Times New Roman" w:hAnsi="Times New Roman" w:cs="Times New Roman"/>
          <w:i/>
          <w:sz w:val="24"/>
          <w:szCs w:val="24"/>
        </w:rPr>
        <w:t>LRNC B530, Math B65, and Math B60</w:t>
      </w:r>
      <w:r w:rsidR="00DB5007" w:rsidRPr="007A3580">
        <w:rPr>
          <w:rFonts w:ascii="Times New Roman" w:hAnsi="Times New Roman" w:cs="Times New Roman"/>
          <w:i/>
          <w:sz w:val="24"/>
          <w:szCs w:val="24"/>
        </w:rPr>
        <w:t xml:space="preserve">.  </w:t>
      </w:r>
      <w:r w:rsidR="00DB5007" w:rsidRPr="007A3580">
        <w:rPr>
          <w:rFonts w:ascii="Times New Roman" w:hAnsi="Times New Roman" w:cs="Times New Roman"/>
          <w:sz w:val="24"/>
          <w:szCs w:val="24"/>
        </w:rPr>
        <w:t xml:space="preserve">These three courses may be considered </w:t>
      </w:r>
      <w:r w:rsidRPr="007A3580">
        <w:rPr>
          <w:rFonts w:ascii="Times New Roman" w:hAnsi="Times New Roman" w:cs="Times New Roman"/>
          <w:sz w:val="24"/>
          <w:szCs w:val="24"/>
        </w:rPr>
        <w:t xml:space="preserve">parallel entry points to </w:t>
      </w:r>
      <w:r w:rsidR="00DB5007" w:rsidRPr="007A3580">
        <w:rPr>
          <w:rFonts w:ascii="Times New Roman" w:hAnsi="Times New Roman" w:cs="Times New Roman"/>
          <w:sz w:val="24"/>
          <w:szCs w:val="24"/>
        </w:rPr>
        <w:t xml:space="preserve">the </w:t>
      </w:r>
      <w:r w:rsidRPr="007A3580">
        <w:rPr>
          <w:rFonts w:ascii="Times New Roman" w:hAnsi="Times New Roman" w:cs="Times New Roman"/>
          <w:sz w:val="24"/>
          <w:szCs w:val="24"/>
        </w:rPr>
        <w:t>math</w:t>
      </w:r>
      <w:r w:rsidR="00DB5007" w:rsidRPr="007A3580">
        <w:rPr>
          <w:rFonts w:ascii="Times New Roman" w:hAnsi="Times New Roman" w:cs="Times New Roman"/>
          <w:sz w:val="24"/>
          <w:szCs w:val="24"/>
        </w:rPr>
        <w:t xml:space="preserve"> curriculum</w:t>
      </w:r>
      <w:r w:rsidR="00C17D97" w:rsidRPr="007A3580">
        <w:rPr>
          <w:rFonts w:ascii="Times New Roman" w:hAnsi="Times New Roman" w:cs="Times New Roman"/>
          <w:sz w:val="24"/>
          <w:szCs w:val="24"/>
        </w:rPr>
        <w:t xml:space="preserve">, sharing the same prerequisite </w:t>
      </w:r>
      <w:r w:rsidR="00212513" w:rsidRPr="007A3580">
        <w:rPr>
          <w:rFonts w:ascii="Times New Roman" w:hAnsi="Times New Roman" w:cs="Times New Roman"/>
          <w:sz w:val="24"/>
          <w:szCs w:val="24"/>
        </w:rPr>
        <w:t>of</w:t>
      </w:r>
      <w:r w:rsidR="00C17D97" w:rsidRPr="007A3580">
        <w:rPr>
          <w:rFonts w:ascii="Times New Roman" w:hAnsi="Times New Roman" w:cs="Times New Roman"/>
          <w:sz w:val="24"/>
          <w:szCs w:val="24"/>
        </w:rPr>
        <w:t xml:space="preserve"> ACDV B72 or </w:t>
      </w:r>
      <w:r w:rsidR="00212513" w:rsidRPr="007A3580">
        <w:rPr>
          <w:rFonts w:ascii="Times New Roman" w:hAnsi="Times New Roman" w:cs="Times New Roman"/>
          <w:sz w:val="24"/>
          <w:szCs w:val="24"/>
        </w:rPr>
        <w:t>placement into math level 02</w:t>
      </w:r>
      <w:r w:rsidR="008E6DEC">
        <w:rPr>
          <w:rFonts w:ascii="Times New Roman" w:hAnsi="Times New Roman" w:cs="Times New Roman"/>
          <w:sz w:val="24"/>
          <w:szCs w:val="24"/>
        </w:rPr>
        <w:t>, and providing</w:t>
      </w:r>
      <w:r w:rsidR="008E6DEC" w:rsidRPr="00F05A1A">
        <w:rPr>
          <w:rFonts w:ascii="Times New Roman" w:hAnsi="Times New Roman" w:cs="Times New Roman"/>
          <w:sz w:val="24"/>
          <w:szCs w:val="24"/>
        </w:rPr>
        <w:t xml:space="preserve"> instruction </w:t>
      </w:r>
      <w:r w:rsidR="008E6DEC">
        <w:rPr>
          <w:rFonts w:ascii="Times New Roman" w:hAnsi="Times New Roman" w:cs="Times New Roman"/>
          <w:sz w:val="24"/>
          <w:szCs w:val="24"/>
        </w:rPr>
        <w:t xml:space="preserve">(at least </w:t>
      </w:r>
      <w:r w:rsidR="008E6DEC" w:rsidRPr="0084703F">
        <w:rPr>
          <w:rFonts w:ascii="Times New Roman" w:hAnsi="Times New Roman" w:cs="Times New Roman"/>
          <w:sz w:val="24"/>
          <w:szCs w:val="24"/>
        </w:rPr>
        <w:t>to some extent</w:t>
      </w:r>
      <w:r w:rsidR="008E6DEC">
        <w:rPr>
          <w:rFonts w:ascii="Times New Roman" w:hAnsi="Times New Roman" w:cs="Times New Roman"/>
          <w:sz w:val="24"/>
          <w:szCs w:val="24"/>
        </w:rPr>
        <w:t>)</w:t>
      </w:r>
      <w:r w:rsidR="008E6DEC" w:rsidRPr="0084703F">
        <w:rPr>
          <w:rFonts w:ascii="Times New Roman" w:hAnsi="Times New Roman" w:cs="Times New Roman"/>
          <w:sz w:val="24"/>
          <w:szCs w:val="24"/>
        </w:rPr>
        <w:t xml:space="preserve"> at the </w:t>
      </w:r>
      <w:r w:rsidR="00B42FC4" w:rsidRPr="0084703F">
        <w:rPr>
          <w:rFonts w:ascii="Times New Roman" w:hAnsi="Times New Roman" w:cs="Times New Roman"/>
          <w:sz w:val="24"/>
          <w:szCs w:val="24"/>
        </w:rPr>
        <w:t xml:space="preserve">level </w:t>
      </w:r>
      <w:r w:rsidR="00B42FC4">
        <w:rPr>
          <w:rFonts w:ascii="Times New Roman" w:hAnsi="Times New Roman" w:cs="Times New Roman"/>
          <w:sz w:val="24"/>
          <w:szCs w:val="24"/>
        </w:rPr>
        <w:t xml:space="preserve">of </w:t>
      </w:r>
      <w:r w:rsidR="008E6DEC" w:rsidRPr="0084703F">
        <w:rPr>
          <w:rFonts w:ascii="Times New Roman" w:hAnsi="Times New Roman" w:cs="Times New Roman"/>
          <w:sz w:val="24"/>
          <w:szCs w:val="24"/>
        </w:rPr>
        <w:t>beginning algebra</w:t>
      </w:r>
      <w:r w:rsidRPr="007A3580">
        <w:rPr>
          <w:rFonts w:ascii="Times New Roman" w:hAnsi="Times New Roman" w:cs="Times New Roman"/>
          <w:sz w:val="24"/>
          <w:szCs w:val="24"/>
        </w:rPr>
        <w:t xml:space="preserve">.  </w:t>
      </w:r>
      <w:r w:rsidR="005E1A8E" w:rsidRPr="007A3580">
        <w:rPr>
          <w:rFonts w:ascii="Times New Roman" w:hAnsi="Times New Roman" w:cs="Times New Roman"/>
          <w:sz w:val="24"/>
          <w:szCs w:val="24"/>
        </w:rPr>
        <w:t>O</w:t>
      </w:r>
      <w:r w:rsidR="00DB5007" w:rsidRPr="007A3580">
        <w:rPr>
          <w:rFonts w:ascii="Times New Roman" w:hAnsi="Times New Roman" w:cs="Times New Roman"/>
          <w:sz w:val="24"/>
          <w:szCs w:val="24"/>
        </w:rPr>
        <w:t>ne should note</w:t>
      </w:r>
      <w:r w:rsidR="005E1A8E" w:rsidRPr="007A3580">
        <w:rPr>
          <w:rFonts w:ascii="Times New Roman" w:hAnsi="Times New Roman" w:cs="Times New Roman"/>
          <w:sz w:val="24"/>
          <w:szCs w:val="24"/>
        </w:rPr>
        <w:t>, however,</w:t>
      </w:r>
      <w:r w:rsidR="00DB5007" w:rsidRPr="007A3580">
        <w:rPr>
          <w:rFonts w:ascii="Times New Roman" w:hAnsi="Times New Roman" w:cs="Times New Roman"/>
          <w:sz w:val="24"/>
          <w:szCs w:val="24"/>
        </w:rPr>
        <w:t xml:space="preserve"> that M</w:t>
      </w:r>
      <w:r w:rsidRPr="007A3580">
        <w:rPr>
          <w:rFonts w:ascii="Times New Roman" w:hAnsi="Times New Roman" w:cs="Times New Roman"/>
          <w:sz w:val="24"/>
          <w:szCs w:val="24"/>
        </w:rPr>
        <w:t xml:space="preserve">ath B65 differs from LRNC B530 and Math B60 in </w:t>
      </w:r>
      <w:r w:rsidR="00491623" w:rsidRPr="007A3580">
        <w:rPr>
          <w:rFonts w:ascii="Times New Roman" w:hAnsi="Times New Roman" w:cs="Times New Roman"/>
          <w:sz w:val="24"/>
          <w:szCs w:val="24"/>
        </w:rPr>
        <w:t>its</w:t>
      </w:r>
      <w:r w:rsidRPr="007A3580">
        <w:rPr>
          <w:rFonts w:ascii="Times New Roman" w:hAnsi="Times New Roman" w:cs="Times New Roman"/>
          <w:sz w:val="24"/>
          <w:szCs w:val="24"/>
        </w:rPr>
        <w:t xml:space="preserve"> </w:t>
      </w:r>
      <w:r w:rsidR="00491623" w:rsidRPr="007A3580">
        <w:rPr>
          <w:rFonts w:ascii="Times New Roman" w:hAnsi="Times New Roman" w:cs="Times New Roman"/>
          <w:sz w:val="24"/>
          <w:szCs w:val="24"/>
        </w:rPr>
        <w:t xml:space="preserve">exclusive focus </w:t>
      </w:r>
      <w:r w:rsidRPr="007A3580">
        <w:rPr>
          <w:rFonts w:ascii="Times New Roman" w:hAnsi="Times New Roman" w:cs="Times New Roman"/>
          <w:sz w:val="24"/>
          <w:szCs w:val="24"/>
        </w:rPr>
        <w:t>on preparing students for transfer-</w:t>
      </w:r>
      <w:r w:rsidR="00A76056">
        <w:rPr>
          <w:rFonts w:ascii="Times New Roman" w:hAnsi="Times New Roman" w:cs="Times New Roman"/>
          <w:sz w:val="24"/>
          <w:szCs w:val="24"/>
        </w:rPr>
        <w:t>level statistics (Math B22 or P</w:t>
      </w:r>
      <w:r w:rsidRPr="007A3580">
        <w:rPr>
          <w:rFonts w:ascii="Times New Roman" w:hAnsi="Times New Roman" w:cs="Times New Roman"/>
          <w:sz w:val="24"/>
          <w:szCs w:val="24"/>
        </w:rPr>
        <w:t>s</w:t>
      </w:r>
      <w:r w:rsidR="00A76056">
        <w:rPr>
          <w:rFonts w:ascii="Times New Roman" w:hAnsi="Times New Roman" w:cs="Times New Roman"/>
          <w:sz w:val="24"/>
          <w:szCs w:val="24"/>
        </w:rPr>
        <w:t>y</w:t>
      </w:r>
      <w:r w:rsidRPr="007A3580">
        <w:rPr>
          <w:rFonts w:ascii="Times New Roman" w:hAnsi="Times New Roman" w:cs="Times New Roman"/>
          <w:sz w:val="24"/>
          <w:szCs w:val="24"/>
        </w:rPr>
        <w:t xml:space="preserve">c B5), as opposed to serving as a </w:t>
      </w:r>
      <w:r w:rsidR="00C06182" w:rsidRPr="007A3580">
        <w:rPr>
          <w:rFonts w:ascii="Times New Roman" w:hAnsi="Times New Roman" w:cs="Times New Roman"/>
          <w:sz w:val="24"/>
          <w:szCs w:val="24"/>
        </w:rPr>
        <w:t>prerequisite</w:t>
      </w:r>
      <w:r w:rsidRPr="007A3580">
        <w:rPr>
          <w:rFonts w:ascii="Times New Roman" w:hAnsi="Times New Roman" w:cs="Times New Roman"/>
          <w:sz w:val="24"/>
          <w:szCs w:val="24"/>
        </w:rPr>
        <w:t xml:space="preserve"> to a broader range of transfer-level </w:t>
      </w:r>
      <w:r w:rsidR="007A370D" w:rsidRPr="007A3580">
        <w:rPr>
          <w:rFonts w:ascii="Times New Roman" w:hAnsi="Times New Roman" w:cs="Times New Roman"/>
          <w:sz w:val="24"/>
          <w:szCs w:val="24"/>
        </w:rPr>
        <w:t>quantitative</w:t>
      </w:r>
      <w:r w:rsidRPr="007A3580">
        <w:rPr>
          <w:rFonts w:ascii="Times New Roman" w:hAnsi="Times New Roman" w:cs="Times New Roman"/>
          <w:sz w:val="24"/>
          <w:szCs w:val="24"/>
        </w:rPr>
        <w:t xml:space="preserve"> courses, such as pre-calculus (Math B1A)</w:t>
      </w:r>
      <w:r w:rsidR="003F5F4C">
        <w:rPr>
          <w:rFonts w:ascii="Times New Roman" w:hAnsi="Times New Roman" w:cs="Times New Roman"/>
          <w:sz w:val="24"/>
          <w:szCs w:val="24"/>
        </w:rPr>
        <w:t xml:space="preserve"> and</w:t>
      </w:r>
      <w:r w:rsidRPr="007A3580">
        <w:rPr>
          <w:rFonts w:ascii="Times New Roman" w:hAnsi="Times New Roman" w:cs="Times New Roman"/>
          <w:sz w:val="24"/>
          <w:szCs w:val="24"/>
        </w:rPr>
        <w:t xml:space="preserve"> finite mathematics (Math B23), </w:t>
      </w:r>
      <w:r w:rsidR="003F5F4C">
        <w:rPr>
          <w:rFonts w:ascii="Times New Roman" w:hAnsi="Times New Roman" w:cs="Times New Roman"/>
          <w:sz w:val="24"/>
          <w:szCs w:val="24"/>
        </w:rPr>
        <w:t xml:space="preserve">but </w:t>
      </w:r>
      <w:r w:rsidR="00491623" w:rsidRPr="007A3580">
        <w:rPr>
          <w:rFonts w:ascii="Times New Roman" w:hAnsi="Times New Roman" w:cs="Times New Roman"/>
          <w:sz w:val="24"/>
          <w:szCs w:val="24"/>
        </w:rPr>
        <w:t xml:space="preserve">also </w:t>
      </w:r>
      <w:r w:rsidR="003F5F4C">
        <w:rPr>
          <w:rFonts w:ascii="Times New Roman" w:hAnsi="Times New Roman" w:cs="Times New Roman"/>
          <w:sz w:val="24"/>
          <w:szCs w:val="24"/>
        </w:rPr>
        <w:t xml:space="preserve">including </w:t>
      </w:r>
      <w:r w:rsidRPr="007A3580">
        <w:rPr>
          <w:rFonts w:ascii="Times New Roman" w:hAnsi="Times New Roman" w:cs="Times New Roman"/>
          <w:sz w:val="24"/>
          <w:szCs w:val="24"/>
        </w:rPr>
        <w:t xml:space="preserve">statistics.  </w:t>
      </w:r>
    </w:p>
    <w:p w14:paraId="2B77B40A" w14:textId="77777777" w:rsidR="005F6BDB" w:rsidRPr="007A3580" w:rsidRDefault="005F6BDB">
      <w:pPr>
        <w:spacing w:after="0" w:line="240" w:lineRule="auto"/>
        <w:rPr>
          <w:rFonts w:ascii="Times New Roman" w:hAnsi="Times New Roman" w:cs="Times New Roman"/>
          <w:sz w:val="24"/>
          <w:szCs w:val="24"/>
        </w:rPr>
      </w:pPr>
    </w:p>
    <w:p w14:paraId="18EFE6E3" w14:textId="4CD6C155" w:rsidR="00F7634C" w:rsidRPr="007A3580" w:rsidRDefault="00CC5FF1" w:rsidP="001F61C8">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Although the study focuses primarily on LRNC B530, Math B65, and Math B60</w:t>
      </w:r>
      <w:r w:rsidR="0015329F" w:rsidRPr="007A3580">
        <w:rPr>
          <w:rFonts w:ascii="Times New Roman" w:hAnsi="Times New Roman" w:cs="Times New Roman"/>
          <w:sz w:val="24"/>
          <w:szCs w:val="24"/>
        </w:rPr>
        <w:t xml:space="preserve">, </w:t>
      </w:r>
      <w:r w:rsidR="003D5967" w:rsidRPr="007A3580">
        <w:rPr>
          <w:rFonts w:ascii="Times New Roman" w:hAnsi="Times New Roman" w:cs="Times New Roman"/>
          <w:sz w:val="24"/>
          <w:szCs w:val="24"/>
        </w:rPr>
        <w:t xml:space="preserve">results </w:t>
      </w:r>
      <w:r w:rsidR="0015329F" w:rsidRPr="007A3580">
        <w:rPr>
          <w:rFonts w:ascii="Times New Roman" w:hAnsi="Times New Roman" w:cs="Times New Roman"/>
          <w:sz w:val="24"/>
          <w:szCs w:val="24"/>
        </w:rPr>
        <w:t>frequently</w:t>
      </w:r>
      <w:r w:rsidR="003D5967" w:rsidRPr="007A3580">
        <w:rPr>
          <w:rFonts w:ascii="Times New Roman" w:hAnsi="Times New Roman" w:cs="Times New Roman"/>
          <w:sz w:val="24"/>
          <w:szCs w:val="24"/>
        </w:rPr>
        <w:t xml:space="preserve"> are presented for students who entered </w:t>
      </w:r>
      <w:r w:rsidR="004A6BFB">
        <w:rPr>
          <w:rFonts w:ascii="Times New Roman" w:hAnsi="Times New Roman" w:cs="Times New Roman"/>
          <w:sz w:val="24"/>
          <w:szCs w:val="24"/>
        </w:rPr>
        <w:t xml:space="preserve">the developmental math curriculum </w:t>
      </w:r>
      <w:r w:rsidR="003D5967" w:rsidRPr="007A3580">
        <w:rPr>
          <w:rFonts w:ascii="Times New Roman" w:hAnsi="Times New Roman" w:cs="Times New Roman"/>
          <w:sz w:val="24"/>
          <w:szCs w:val="24"/>
        </w:rPr>
        <w:t>through Math B70</w:t>
      </w:r>
      <w:r w:rsidR="00491623" w:rsidRPr="007A3580">
        <w:rPr>
          <w:rFonts w:ascii="Times New Roman" w:hAnsi="Times New Roman" w:cs="Times New Roman"/>
          <w:sz w:val="24"/>
          <w:szCs w:val="24"/>
        </w:rPr>
        <w:t xml:space="preserve"> and ACDV B72</w:t>
      </w:r>
      <w:r w:rsidR="0015329F" w:rsidRPr="007A3580">
        <w:rPr>
          <w:rFonts w:ascii="Times New Roman" w:hAnsi="Times New Roman" w:cs="Times New Roman"/>
          <w:sz w:val="24"/>
          <w:szCs w:val="24"/>
        </w:rPr>
        <w:t xml:space="preserve"> ― the </w:t>
      </w:r>
      <w:r w:rsidR="001A67CA" w:rsidRPr="007A3580">
        <w:rPr>
          <w:rFonts w:ascii="Times New Roman" w:hAnsi="Times New Roman" w:cs="Times New Roman"/>
          <w:sz w:val="24"/>
          <w:szCs w:val="24"/>
        </w:rPr>
        <w:t xml:space="preserve">two </w:t>
      </w:r>
      <w:r w:rsidR="0015329F" w:rsidRPr="007A3580">
        <w:rPr>
          <w:rFonts w:ascii="Times New Roman" w:hAnsi="Times New Roman" w:cs="Times New Roman"/>
          <w:sz w:val="24"/>
          <w:szCs w:val="24"/>
        </w:rPr>
        <w:t>other developmental math courses</w:t>
      </w:r>
      <w:r w:rsidR="007A370D" w:rsidRPr="007A3580">
        <w:rPr>
          <w:rFonts w:ascii="Times New Roman" w:hAnsi="Times New Roman" w:cs="Times New Roman"/>
          <w:sz w:val="24"/>
          <w:szCs w:val="24"/>
        </w:rPr>
        <w:t xml:space="preserve"> that BC currently offers</w:t>
      </w:r>
      <w:r w:rsidR="00491623" w:rsidRPr="007A3580">
        <w:rPr>
          <w:rFonts w:ascii="Times New Roman" w:hAnsi="Times New Roman" w:cs="Times New Roman"/>
          <w:sz w:val="24"/>
          <w:szCs w:val="24"/>
        </w:rPr>
        <w:t xml:space="preserve">.  Math B70 </w:t>
      </w:r>
      <w:r w:rsidR="003D5967" w:rsidRPr="007A3580">
        <w:rPr>
          <w:rFonts w:ascii="Times New Roman" w:hAnsi="Times New Roman" w:cs="Times New Roman"/>
          <w:sz w:val="24"/>
          <w:szCs w:val="24"/>
        </w:rPr>
        <w:t>is a higher-</w:t>
      </w:r>
      <w:r w:rsidR="00EF1AE8" w:rsidRPr="007A3580">
        <w:rPr>
          <w:rFonts w:ascii="Times New Roman" w:hAnsi="Times New Roman" w:cs="Times New Roman"/>
          <w:sz w:val="24"/>
          <w:szCs w:val="24"/>
        </w:rPr>
        <w:t>skill</w:t>
      </w:r>
      <w:r w:rsidR="003D5967" w:rsidRPr="007A3580">
        <w:rPr>
          <w:rFonts w:ascii="Times New Roman" w:hAnsi="Times New Roman" w:cs="Times New Roman"/>
          <w:sz w:val="24"/>
          <w:szCs w:val="24"/>
        </w:rPr>
        <w:t xml:space="preserve"> entry point</w:t>
      </w:r>
      <w:r w:rsidR="00491623" w:rsidRPr="007A3580">
        <w:rPr>
          <w:rFonts w:ascii="Times New Roman" w:hAnsi="Times New Roman" w:cs="Times New Roman"/>
          <w:sz w:val="24"/>
          <w:szCs w:val="24"/>
        </w:rPr>
        <w:t xml:space="preserve"> </w:t>
      </w:r>
      <w:r w:rsidR="00212513" w:rsidRPr="007A3580">
        <w:rPr>
          <w:rFonts w:ascii="Times New Roman" w:hAnsi="Times New Roman" w:cs="Times New Roman"/>
          <w:sz w:val="24"/>
          <w:szCs w:val="24"/>
        </w:rPr>
        <w:t xml:space="preserve">to the math curriculum </w:t>
      </w:r>
      <w:r w:rsidR="00491623" w:rsidRPr="007A3580">
        <w:rPr>
          <w:rFonts w:ascii="Times New Roman" w:hAnsi="Times New Roman" w:cs="Times New Roman"/>
          <w:sz w:val="24"/>
          <w:szCs w:val="24"/>
        </w:rPr>
        <w:t xml:space="preserve">than </w:t>
      </w:r>
      <w:r w:rsidR="007A370D" w:rsidRPr="007A3580">
        <w:rPr>
          <w:rFonts w:ascii="Times New Roman" w:hAnsi="Times New Roman" w:cs="Times New Roman"/>
          <w:sz w:val="24"/>
          <w:szCs w:val="24"/>
        </w:rPr>
        <w:t xml:space="preserve">are </w:t>
      </w:r>
      <w:r w:rsidR="00491623" w:rsidRPr="007A3580">
        <w:rPr>
          <w:rFonts w:ascii="Times New Roman" w:hAnsi="Times New Roman" w:cs="Times New Roman"/>
          <w:sz w:val="24"/>
          <w:szCs w:val="24"/>
        </w:rPr>
        <w:t xml:space="preserve">LRNC B530, Math B65, and Math B60, while </w:t>
      </w:r>
      <w:r w:rsidR="003D5967" w:rsidRPr="007A3580">
        <w:rPr>
          <w:rFonts w:ascii="Times New Roman" w:hAnsi="Times New Roman" w:cs="Times New Roman"/>
          <w:sz w:val="24"/>
          <w:szCs w:val="24"/>
        </w:rPr>
        <w:t>ACDV B72 is a lower-</w:t>
      </w:r>
      <w:r w:rsidR="00EF1AE8" w:rsidRPr="007A3580">
        <w:rPr>
          <w:rFonts w:ascii="Times New Roman" w:hAnsi="Times New Roman" w:cs="Times New Roman"/>
          <w:sz w:val="24"/>
          <w:szCs w:val="24"/>
        </w:rPr>
        <w:t>skill</w:t>
      </w:r>
      <w:r w:rsidR="003D5967" w:rsidRPr="007A3580">
        <w:rPr>
          <w:rFonts w:ascii="Times New Roman" w:hAnsi="Times New Roman" w:cs="Times New Roman"/>
          <w:sz w:val="24"/>
          <w:szCs w:val="24"/>
        </w:rPr>
        <w:t xml:space="preserve"> entry point.  </w:t>
      </w:r>
    </w:p>
    <w:p w14:paraId="00E302DA" w14:textId="77777777" w:rsidR="00F7634C" w:rsidRPr="007A3580" w:rsidRDefault="00F7634C" w:rsidP="000E5B41">
      <w:pPr>
        <w:spacing w:after="0" w:line="240" w:lineRule="auto"/>
        <w:rPr>
          <w:rFonts w:ascii="Times New Roman" w:hAnsi="Times New Roman" w:cs="Times New Roman"/>
          <w:b/>
          <w:sz w:val="24"/>
          <w:szCs w:val="24"/>
          <w:u w:val="single"/>
        </w:rPr>
      </w:pPr>
    </w:p>
    <w:p w14:paraId="7664926E" w14:textId="65C3C21A" w:rsidR="00E738B1" w:rsidRPr="007A3580" w:rsidRDefault="00E738B1" w:rsidP="000E5B41">
      <w:pPr>
        <w:spacing w:after="0" w:line="240" w:lineRule="auto"/>
        <w:rPr>
          <w:rFonts w:ascii="Times New Roman" w:hAnsi="Times New Roman" w:cs="Times New Roman"/>
          <w:sz w:val="24"/>
          <w:szCs w:val="24"/>
        </w:rPr>
      </w:pPr>
      <w:r w:rsidRPr="007A3580">
        <w:rPr>
          <w:rFonts w:ascii="Times New Roman" w:hAnsi="Times New Roman" w:cs="Times New Roman"/>
          <w:i/>
          <w:sz w:val="24"/>
          <w:szCs w:val="24"/>
        </w:rPr>
        <w:t xml:space="preserve">This study also focuses </w:t>
      </w:r>
      <w:r w:rsidR="008F3EAA">
        <w:rPr>
          <w:rFonts w:ascii="Times New Roman" w:hAnsi="Times New Roman" w:cs="Times New Roman"/>
          <w:i/>
          <w:sz w:val="24"/>
          <w:szCs w:val="24"/>
        </w:rPr>
        <w:t>heavily</w:t>
      </w:r>
      <w:r w:rsidR="008F3EAA" w:rsidRPr="007A3580">
        <w:rPr>
          <w:rFonts w:ascii="Times New Roman" w:hAnsi="Times New Roman" w:cs="Times New Roman"/>
          <w:i/>
          <w:sz w:val="24"/>
          <w:szCs w:val="24"/>
        </w:rPr>
        <w:t xml:space="preserve"> </w:t>
      </w:r>
      <w:r w:rsidRPr="007A3580">
        <w:rPr>
          <w:rFonts w:ascii="Times New Roman" w:hAnsi="Times New Roman" w:cs="Times New Roman"/>
          <w:i/>
          <w:sz w:val="24"/>
          <w:szCs w:val="24"/>
        </w:rPr>
        <w:t>on the outcome of achieving transfer-level quantitative competency.</w:t>
      </w:r>
      <w:r w:rsidRPr="007A3580">
        <w:rPr>
          <w:rFonts w:ascii="Times New Roman" w:hAnsi="Times New Roman" w:cs="Times New Roman"/>
          <w:sz w:val="24"/>
          <w:szCs w:val="24"/>
        </w:rPr>
        <w:t xml:space="preserve">  That said, other outcomes are considered</w:t>
      </w:r>
      <w:r w:rsidR="00F279E1">
        <w:rPr>
          <w:rFonts w:ascii="Times New Roman" w:hAnsi="Times New Roman" w:cs="Times New Roman"/>
          <w:sz w:val="24"/>
          <w:szCs w:val="24"/>
        </w:rPr>
        <w:t xml:space="preserve"> in several parts of the analysis</w:t>
      </w:r>
      <w:r w:rsidRPr="007A3580">
        <w:rPr>
          <w:rFonts w:ascii="Times New Roman" w:hAnsi="Times New Roman" w:cs="Times New Roman"/>
          <w:sz w:val="24"/>
          <w:szCs w:val="24"/>
        </w:rPr>
        <w:t xml:space="preserve">, including </w:t>
      </w:r>
      <w:r w:rsidR="007D4701" w:rsidRPr="007A3580">
        <w:rPr>
          <w:rFonts w:ascii="Times New Roman" w:hAnsi="Times New Roman" w:cs="Times New Roman"/>
          <w:sz w:val="24"/>
          <w:szCs w:val="24"/>
        </w:rPr>
        <w:t xml:space="preserve">the </w:t>
      </w:r>
      <w:r w:rsidRPr="007A3580">
        <w:rPr>
          <w:rFonts w:ascii="Times New Roman" w:hAnsi="Times New Roman" w:cs="Times New Roman"/>
          <w:sz w:val="24"/>
          <w:szCs w:val="24"/>
        </w:rPr>
        <w:t xml:space="preserve">achievement of associate degree-level quantitative competency and, separately, the completion of a STEM-track transfer-level math course. </w:t>
      </w:r>
    </w:p>
    <w:p w14:paraId="0B528D36" w14:textId="77777777" w:rsidR="00E738B1" w:rsidRPr="007A3580" w:rsidRDefault="00E738B1" w:rsidP="000E5B41">
      <w:pPr>
        <w:spacing w:after="0" w:line="240" w:lineRule="auto"/>
        <w:rPr>
          <w:rFonts w:ascii="Times New Roman" w:hAnsi="Times New Roman" w:cs="Times New Roman"/>
          <w:sz w:val="24"/>
          <w:szCs w:val="24"/>
        </w:rPr>
      </w:pPr>
    </w:p>
    <w:p w14:paraId="686A33F4" w14:textId="64FA4897" w:rsidR="000E5B41" w:rsidRPr="007A3580" w:rsidRDefault="00C13116" w:rsidP="000E5B41">
      <w:pPr>
        <w:spacing w:after="0" w:line="240" w:lineRule="auto"/>
        <w:rPr>
          <w:rFonts w:ascii="Times New Roman" w:hAnsi="Times New Roman" w:cs="Times New Roman"/>
          <w:b/>
          <w:sz w:val="24"/>
          <w:szCs w:val="24"/>
        </w:rPr>
      </w:pPr>
      <w:r w:rsidRPr="007A3580">
        <w:rPr>
          <w:rFonts w:ascii="Times New Roman" w:hAnsi="Times New Roman" w:cs="Times New Roman"/>
          <w:b/>
          <w:sz w:val="24"/>
          <w:szCs w:val="24"/>
        </w:rPr>
        <w:lastRenderedPageBreak/>
        <w:t>5</w:t>
      </w:r>
      <w:r w:rsidR="00B02DD7" w:rsidRPr="007A3580">
        <w:rPr>
          <w:rFonts w:ascii="Times New Roman" w:hAnsi="Times New Roman" w:cs="Times New Roman"/>
          <w:b/>
          <w:sz w:val="24"/>
          <w:szCs w:val="24"/>
        </w:rPr>
        <w:t>.</w:t>
      </w:r>
      <w:r w:rsidR="00C43974" w:rsidRPr="007A3580">
        <w:rPr>
          <w:rFonts w:ascii="Times New Roman" w:hAnsi="Times New Roman" w:cs="Times New Roman"/>
          <w:b/>
          <w:sz w:val="24"/>
          <w:szCs w:val="24"/>
        </w:rPr>
        <w:t>2</w:t>
      </w:r>
      <w:r w:rsidR="00E654EE" w:rsidRPr="007A3580">
        <w:rPr>
          <w:rFonts w:ascii="Times New Roman" w:hAnsi="Times New Roman" w:cs="Times New Roman"/>
          <w:b/>
          <w:sz w:val="24"/>
          <w:szCs w:val="24"/>
        </w:rPr>
        <w:t xml:space="preserve"> Students’ </w:t>
      </w:r>
      <w:r w:rsidR="00B46308" w:rsidRPr="007A3580">
        <w:rPr>
          <w:rFonts w:ascii="Times New Roman" w:hAnsi="Times New Roman" w:cs="Times New Roman"/>
          <w:b/>
          <w:sz w:val="24"/>
          <w:szCs w:val="24"/>
        </w:rPr>
        <w:t>Point of Entry to the Math Curriculum</w:t>
      </w:r>
    </w:p>
    <w:p w14:paraId="749E66AC" w14:textId="77777777" w:rsidR="00AA72C0" w:rsidRPr="007A3580" w:rsidRDefault="00AA72C0" w:rsidP="00AA72C0">
      <w:pPr>
        <w:spacing w:after="0" w:line="240" w:lineRule="auto"/>
        <w:rPr>
          <w:rFonts w:ascii="Times New Roman" w:hAnsi="Times New Roman" w:cs="Times New Roman"/>
          <w:sz w:val="24"/>
          <w:szCs w:val="24"/>
        </w:rPr>
      </w:pPr>
    </w:p>
    <w:p w14:paraId="571A7C0D" w14:textId="500A3860" w:rsidR="00F869B8" w:rsidRPr="007A3580" w:rsidRDefault="002E23D6" w:rsidP="00F869B8">
      <w:pPr>
        <w:spacing w:after="0" w:line="240" w:lineRule="auto"/>
        <w:rPr>
          <w:rFonts w:ascii="Times New Roman" w:hAnsi="Times New Roman" w:cs="Times New Roman"/>
          <w:sz w:val="24"/>
          <w:szCs w:val="24"/>
        </w:rPr>
      </w:pPr>
      <w:r w:rsidRPr="007A3580">
        <w:rPr>
          <w:rFonts w:ascii="Times New Roman" w:hAnsi="Times New Roman" w:cs="Times New Roman"/>
          <w:sz w:val="24"/>
          <w:szCs w:val="24"/>
          <w:u w:val="single"/>
        </w:rPr>
        <w:t>Questions</w:t>
      </w:r>
      <w:r w:rsidR="00F869B8" w:rsidRPr="007A3580">
        <w:rPr>
          <w:rFonts w:ascii="Times New Roman" w:hAnsi="Times New Roman" w:cs="Times New Roman"/>
          <w:sz w:val="24"/>
          <w:szCs w:val="24"/>
        </w:rPr>
        <w:br/>
      </w:r>
    </w:p>
    <w:p w14:paraId="2B7E76CC" w14:textId="2E15F3D6" w:rsidR="00F869B8" w:rsidRPr="007A3580" w:rsidRDefault="00F869B8" w:rsidP="00F869B8">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This section seeks to address the following questions:</w:t>
      </w:r>
    </w:p>
    <w:p w14:paraId="1BB72A20" w14:textId="3592DA01" w:rsidR="00B26251" w:rsidRPr="007A3580" w:rsidRDefault="00D13841" w:rsidP="00EF6CD7">
      <w:pPr>
        <w:pStyle w:val="ListParagraph"/>
        <w:numPr>
          <w:ilvl w:val="0"/>
          <w:numId w:val="5"/>
        </w:num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What is the nature of the </w:t>
      </w:r>
      <w:r w:rsidR="00BB77CC" w:rsidRPr="007A3580">
        <w:rPr>
          <w:rFonts w:ascii="Times New Roman" w:hAnsi="Times New Roman" w:cs="Times New Roman"/>
          <w:sz w:val="24"/>
          <w:szCs w:val="24"/>
        </w:rPr>
        <w:t xml:space="preserve">relationship between </w:t>
      </w:r>
      <w:r w:rsidR="00425883" w:rsidRPr="007A3580">
        <w:rPr>
          <w:rFonts w:ascii="Times New Roman" w:hAnsi="Times New Roman" w:cs="Times New Roman"/>
          <w:sz w:val="24"/>
          <w:szCs w:val="24"/>
        </w:rPr>
        <w:t xml:space="preserve">a student’s entry point </w:t>
      </w:r>
      <w:r w:rsidRPr="007A3580">
        <w:rPr>
          <w:rFonts w:ascii="Times New Roman" w:hAnsi="Times New Roman" w:cs="Times New Roman"/>
          <w:sz w:val="24"/>
          <w:szCs w:val="24"/>
        </w:rPr>
        <w:t>to</w:t>
      </w:r>
      <w:r w:rsidR="00425883" w:rsidRPr="007A3580">
        <w:rPr>
          <w:rFonts w:ascii="Times New Roman" w:hAnsi="Times New Roman" w:cs="Times New Roman"/>
          <w:sz w:val="24"/>
          <w:szCs w:val="24"/>
        </w:rPr>
        <w:t xml:space="preserve"> the </w:t>
      </w:r>
      <w:r w:rsidR="00BB77CC" w:rsidRPr="007A3580">
        <w:rPr>
          <w:rFonts w:ascii="Times New Roman" w:hAnsi="Times New Roman" w:cs="Times New Roman"/>
          <w:sz w:val="24"/>
          <w:szCs w:val="24"/>
        </w:rPr>
        <w:t xml:space="preserve">math </w:t>
      </w:r>
      <w:r w:rsidR="00425883" w:rsidRPr="007A3580">
        <w:rPr>
          <w:rFonts w:ascii="Times New Roman" w:hAnsi="Times New Roman" w:cs="Times New Roman"/>
          <w:sz w:val="24"/>
          <w:szCs w:val="24"/>
        </w:rPr>
        <w:t xml:space="preserve">curriculum </w:t>
      </w:r>
      <w:r w:rsidR="00B46308" w:rsidRPr="007A3580">
        <w:rPr>
          <w:rFonts w:ascii="Times New Roman" w:hAnsi="Times New Roman" w:cs="Times New Roman"/>
          <w:sz w:val="24"/>
          <w:szCs w:val="24"/>
        </w:rPr>
        <w:t>(</w:t>
      </w:r>
      <w:r w:rsidR="005A1556" w:rsidRPr="007A3580">
        <w:rPr>
          <w:rFonts w:ascii="Times New Roman" w:hAnsi="Times New Roman" w:cs="Times New Roman"/>
          <w:sz w:val="24"/>
          <w:szCs w:val="24"/>
        </w:rPr>
        <w:t xml:space="preserve">i.e., </w:t>
      </w:r>
      <w:r w:rsidR="002E002E" w:rsidRPr="007A3580">
        <w:rPr>
          <w:rFonts w:ascii="Times New Roman" w:hAnsi="Times New Roman" w:cs="Times New Roman"/>
          <w:sz w:val="24"/>
          <w:szCs w:val="24"/>
        </w:rPr>
        <w:t>a</w:t>
      </w:r>
      <w:r w:rsidR="00B46308" w:rsidRPr="007A3580">
        <w:rPr>
          <w:rFonts w:ascii="Times New Roman" w:hAnsi="Times New Roman" w:cs="Times New Roman"/>
          <w:sz w:val="24"/>
          <w:szCs w:val="24"/>
        </w:rPr>
        <w:t xml:space="preserve"> student’s first math course) </w:t>
      </w:r>
      <w:r w:rsidR="00BB77CC" w:rsidRPr="007A3580">
        <w:rPr>
          <w:rFonts w:ascii="Times New Roman" w:hAnsi="Times New Roman" w:cs="Times New Roman"/>
          <w:sz w:val="24"/>
          <w:szCs w:val="24"/>
        </w:rPr>
        <w:t>and:</w:t>
      </w:r>
    </w:p>
    <w:p w14:paraId="699996F2" w14:textId="2EDB7B9D" w:rsidR="00B46308" w:rsidRPr="007A3580" w:rsidRDefault="00767665" w:rsidP="00EF6CD7">
      <w:pPr>
        <w:pStyle w:val="ListParagraph"/>
        <w:numPr>
          <w:ilvl w:val="1"/>
          <w:numId w:val="5"/>
        </w:num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the </w:t>
      </w:r>
      <w:r w:rsidR="002E002E" w:rsidRPr="007A3580">
        <w:rPr>
          <w:rFonts w:ascii="Times New Roman" w:hAnsi="Times New Roman" w:cs="Times New Roman"/>
          <w:sz w:val="24"/>
          <w:szCs w:val="24"/>
        </w:rPr>
        <w:t xml:space="preserve">delay of </w:t>
      </w:r>
      <w:r w:rsidR="00B46308" w:rsidRPr="007A3580">
        <w:rPr>
          <w:rFonts w:ascii="Times New Roman" w:hAnsi="Times New Roman" w:cs="Times New Roman"/>
          <w:sz w:val="24"/>
          <w:szCs w:val="24"/>
        </w:rPr>
        <w:t>this first math course</w:t>
      </w:r>
      <w:r w:rsidR="00130CA0">
        <w:rPr>
          <w:rFonts w:ascii="Times New Roman" w:hAnsi="Times New Roman" w:cs="Times New Roman"/>
          <w:sz w:val="24"/>
          <w:szCs w:val="24"/>
        </w:rPr>
        <w:t xml:space="preserve"> until after a student’s first term in college</w:t>
      </w:r>
      <w:r w:rsidR="00B46308" w:rsidRPr="007A3580">
        <w:rPr>
          <w:rFonts w:ascii="Times New Roman" w:hAnsi="Times New Roman" w:cs="Times New Roman"/>
          <w:sz w:val="24"/>
          <w:szCs w:val="24"/>
        </w:rPr>
        <w:t>?</w:t>
      </w:r>
    </w:p>
    <w:p w14:paraId="00C707A1" w14:textId="2102B7FA" w:rsidR="00B46308" w:rsidRPr="007A3580" w:rsidRDefault="006A3DD4" w:rsidP="00EF6CD7">
      <w:pPr>
        <w:pStyle w:val="ListParagraph"/>
        <w:numPr>
          <w:ilvl w:val="1"/>
          <w:numId w:val="5"/>
        </w:num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the </w:t>
      </w:r>
      <w:r w:rsidR="00B46308" w:rsidRPr="007A3580">
        <w:rPr>
          <w:rFonts w:ascii="Times New Roman" w:hAnsi="Times New Roman" w:cs="Times New Roman"/>
          <w:sz w:val="24"/>
          <w:szCs w:val="24"/>
        </w:rPr>
        <w:t>likelihood of passing this first math course on the first attempt?</w:t>
      </w:r>
    </w:p>
    <w:p w14:paraId="6DC8EC93" w14:textId="039A2C85" w:rsidR="00B46308" w:rsidRPr="007A3580" w:rsidRDefault="006A3DD4" w:rsidP="00EF6CD7">
      <w:pPr>
        <w:pStyle w:val="ListParagraph"/>
        <w:numPr>
          <w:ilvl w:val="1"/>
          <w:numId w:val="5"/>
        </w:num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the </w:t>
      </w:r>
      <w:r w:rsidR="001F61C8" w:rsidRPr="007A3580">
        <w:rPr>
          <w:rFonts w:ascii="Times New Roman" w:hAnsi="Times New Roman" w:cs="Times New Roman"/>
          <w:sz w:val="24"/>
          <w:szCs w:val="24"/>
        </w:rPr>
        <w:t xml:space="preserve">likelihood of </w:t>
      </w:r>
      <w:r w:rsidR="00767665" w:rsidRPr="007A3580">
        <w:rPr>
          <w:rFonts w:ascii="Times New Roman" w:hAnsi="Times New Roman" w:cs="Times New Roman"/>
          <w:sz w:val="24"/>
          <w:szCs w:val="24"/>
        </w:rPr>
        <w:t xml:space="preserve">eventually </w:t>
      </w:r>
      <w:r w:rsidR="001F61C8" w:rsidRPr="007A3580">
        <w:rPr>
          <w:rFonts w:ascii="Times New Roman" w:hAnsi="Times New Roman" w:cs="Times New Roman"/>
          <w:sz w:val="24"/>
          <w:szCs w:val="24"/>
        </w:rPr>
        <w:t>demonstrating quantitative competency</w:t>
      </w:r>
      <w:r w:rsidRPr="007A3580">
        <w:rPr>
          <w:rFonts w:ascii="Times New Roman" w:hAnsi="Times New Roman" w:cs="Times New Roman"/>
          <w:sz w:val="24"/>
          <w:szCs w:val="24"/>
        </w:rPr>
        <w:t xml:space="preserve">, whether for </w:t>
      </w:r>
      <w:r w:rsidR="001F61C8" w:rsidRPr="007A3580">
        <w:rPr>
          <w:rFonts w:ascii="Times New Roman" w:hAnsi="Times New Roman" w:cs="Times New Roman"/>
          <w:sz w:val="24"/>
          <w:szCs w:val="24"/>
        </w:rPr>
        <w:t xml:space="preserve">an associate’s degree or </w:t>
      </w:r>
      <w:r w:rsidR="00767665" w:rsidRPr="007A3580">
        <w:rPr>
          <w:rFonts w:ascii="Times New Roman" w:hAnsi="Times New Roman" w:cs="Times New Roman"/>
          <w:sz w:val="24"/>
          <w:szCs w:val="24"/>
        </w:rPr>
        <w:t>for</w:t>
      </w:r>
      <w:r w:rsidR="001F61C8" w:rsidRPr="007A3580">
        <w:rPr>
          <w:rFonts w:ascii="Times New Roman" w:hAnsi="Times New Roman" w:cs="Times New Roman"/>
          <w:sz w:val="24"/>
          <w:szCs w:val="24"/>
        </w:rPr>
        <w:t xml:space="preserve"> transfer to a four-year institution?</w:t>
      </w:r>
    </w:p>
    <w:p w14:paraId="2A3D50AB" w14:textId="086CD001" w:rsidR="006A3DD4" w:rsidRPr="007A3580" w:rsidRDefault="006A3DD4" w:rsidP="00EF6CD7">
      <w:pPr>
        <w:pStyle w:val="ListParagraph"/>
        <w:numPr>
          <w:ilvl w:val="0"/>
          <w:numId w:val="5"/>
        </w:num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Among students who eventually </w:t>
      </w:r>
      <w:r w:rsidRPr="007A3580">
        <w:rPr>
          <w:rFonts w:ascii="Times New Roman" w:hAnsi="Times New Roman" w:cs="Times New Roman"/>
          <w:i/>
          <w:sz w:val="24"/>
          <w:szCs w:val="24"/>
        </w:rPr>
        <w:t xml:space="preserve">complete a transfer-level </w:t>
      </w:r>
      <w:r w:rsidR="002E002E" w:rsidRPr="007A3580">
        <w:rPr>
          <w:rFonts w:ascii="Times New Roman" w:hAnsi="Times New Roman" w:cs="Times New Roman"/>
          <w:i/>
          <w:sz w:val="24"/>
          <w:szCs w:val="24"/>
        </w:rPr>
        <w:t>quantitative</w:t>
      </w:r>
      <w:r w:rsidRPr="007A3580">
        <w:rPr>
          <w:rFonts w:ascii="Times New Roman" w:hAnsi="Times New Roman" w:cs="Times New Roman"/>
          <w:i/>
          <w:sz w:val="24"/>
          <w:szCs w:val="24"/>
        </w:rPr>
        <w:t xml:space="preserve"> course successfully</w:t>
      </w:r>
      <w:r w:rsidRPr="007A3580">
        <w:rPr>
          <w:rFonts w:ascii="Times New Roman" w:hAnsi="Times New Roman" w:cs="Times New Roman"/>
          <w:sz w:val="24"/>
          <w:szCs w:val="24"/>
        </w:rPr>
        <w:t xml:space="preserve">, </w:t>
      </w:r>
      <w:r w:rsidR="00227341" w:rsidRPr="007A3580">
        <w:rPr>
          <w:rFonts w:ascii="Times New Roman" w:hAnsi="Times New Roman" w:cs="Times New Roman"/>
          <w:sz w:val="24"/>
          <w:szCs w:val="24"/>
        </w:rPr>
        <w:t>how does the average length of time t</w:t>
      </w:r>
      <w:r w:rsidR="000D19FA" w:rsidRPr="007A3580">
        <w:rPr>
          <w:rFonts w:ascii="Times New Roman" w:hAnsi="Times New Roman" w:cs="Times New Roman"/>
          <w:sz w:val="24"/>
          <w:szCs w:val="24"/>
        </w:rPr>
        <w:t>o achieve</w:t>
      </w:r>
      <w:r w:rsidR="00227341" w:rsidRPr="007A3580">
        <w:rPr>
          <w:rFonts w:ascii="Times New Roman" w:hAnsi="Times New Roman" w:cs="Times New Roman"/>
          <w:sz w:val="24"/>
          <w:szCs w:val="24"/>
        </w:rPr>
        <w:t xml:space="preserve"> transfer-level </w:t>
      </w:r>
      <w:r w:rsidR="002E002E" w:rsidRPr="007A3580">
        <w:rPr>
          <w:rFonts w:ascii="Times New Roman" w:hAnsi="Times New Roman" w:cs="Times New Roman"/>
          <w:sz w:val="24"/>
          <w:szCs w:val="24"/>
        </w:rPr>
        <w:t>quantitative</w:t>
      </w:r>
      <w:r w:rsidR="00227341" w:rsidRPr="007A3580">
        <w:rPr>
          <w:rFonts w:ascii="Times New Roman" w:hAnsi="Times New Roman" w:cs="Times New Roman"/>
          <w:sz w:val="24"/>
          <w:szCs w:val="24"/>
        </w:rPr>
        <w:t xml:space="preserve"> competency differ across entry points to the math curriculum?</w:t>
      </w:r>
    </w:p>
    <w:p w14:paraId="71D9413A" w14:textId="77777777" w:rsidR="00F869B8" w:rsidRPr="007A3580" w:rsidRDefault="00F869B8" w:rsidP="00F869B8">
      <w:pPr>
        <w:spacing w:after="0" w:line="240" w:lineRule="auto"/>
        <w:rPr>
          <w:rFonts w:ascii="Times New Roman" w:hAnsi="Times New Roman" w:cs="Times New Roman"/>
          <w:sz w:val="24"/>
          <w:szCs w:val="24"/>
        </w:rPr>
      </w:pPr>
    </w:p>
    <w:p w14:paraId="66B07965" w14:textId="387A5993" w:rsidR="000D19FA" w:rsidRPr="007A3580" w:rsidRDefault="00E33816" w:rsidP="00F869B8">
      <w:pPr>
        <w:spacing w:after="0" w:line="240" w:lineRule="auto"/>
        <w:rPr>
          <w:rFonts w:ascii="Times New Roman" w:hAnsi="Times New Roman" w:cs="Times New Roman"/>
          <w:sz w:val="24"/>
          <w:szCs w:val="24"/>
        </w:rPr>
      </w:pPr>
      <w:r w:rsidRPr="007A3580">
        <w:rPr>
          <w:rFonts w:ascii="Times New Roman" w:hAnsi="Times New Roman" w:cs="Times New Roman"/>
          <w:sz w:val="24"/>
          <w:szCs w:val="24"/>
          <w:u w:val="single"/>
        </w:rPr>
        <w:t>Delaying First Math</w:t>
      </w:r>
    </w:p>
    <w:p w14:paraId="128E790E" w14:textId="77777777" w:rsidR="00E33816" w:rsidRPr="007A3580" w:rsidRDefault="00E33816" w:rsidP="00F869B8">
      <w:pPr>
        <w:spacing w:after="0" w:line="240" w:lineRule="auto"/>
        <w:rPr>
          <w:rFonts w:ascii="Times New Roman" w:hAnsi="Times New Roman" w:cs="Times New Roman"/>
          <w:sz w:val="24"/>
          <w:szCs w:val="24"/>
        </w:rPr>
      </w:pPr>
    </w:p>
    <w:p w14:paraId="60CA20C5" w14:textId="22A07A06" w:rsidR="00557B10" w:rsidRPr="007A3580" w:rsidRDefault="000D19FA" w:rsidP="00845244">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Table </w:t>
      </w:r>
      <w:r w:rsidR="004F7CDE" w:rsidRPr="007A3580">
        <w:rPr>
          <w:rFonts w:ascii="Times New Roman" w:hAnsi="Times New Roman" w:cs="Times New Roman"/>
          <w:sz w:val="24"/>
          <w:szCs w:val="24"/>
        </w:rPr>
        <w:t>1 present</w:t>
      </w:r>
      <w:r w:rsidR="008E6DEC">
        <w:rPr>
          <w:rFonts w:ascii="Times New Roman" w:hAnsi="Times New Roman" w:cs="Times New Roman"/>
          <w:sz w:val="24"/>
          <w:szCs w:val="24"/>
        </w:rPr>
        <w:t>s</w:t>
      </w:r>
      <w:r w:rsidR="004F7CDE" w:rsidRPr="007A3580">
        <w:rPr>
          <w:rFonts w:ascii="Times New Roman" w:hAnsi="Times New Roman" w:cs="Times New Roman"/>
          <w:sz w:val="24"/>
          <w:szCs w:val="24"/>
        </w:rPr>
        <w:t xml:space="preserve"> selected statistics for students </w:t>
      </w:r>
      <w:r w:rsidR="002C6229" w:rsidRPr="007A3580">
        <w:rPr>
          <w:rFonts w:ascii="Times New Roman" w:hAnsi="Times New Roman" w:cs="Times New Roman"/>
          <w:sz w:val="24"/>
          <w:szCs w:val="24"/>
        </w:rPr>
        <w:t xml:space="preserve">who entered BC’s math curriculum through a current developmental math offering.  </w:t>
      </w:r>
      <w:r w:rsidR="00845244">
        <w:rPr>
          <w:rFonts w:ascii="Times New Roman" w:hAnsi="Times New Roman" w:cs="Times New Roman"/>
          <w:sz w:val="24"/>
          <w:szCs w:val="24"/>
        </w:rPr>
        <w:t>One observes here that</w:t>
      </w:r>
      <w:r w:rsidR="0075749D" w:rsidRPr="007A3580">
        <w:rPr>
          <w:rFonts w:ascii="Times New Roman" w:hAnsi="Times New Roman" w:cs="Times New Roman"/>
          <w:sz w:val="24"/>
          <w:szCs w:val="24"/>
        </w:rPr>
        <w:t xml:space="preserve"> s</w:t>
      </w:r>
      <w:r w:rsidR="00E33816" w:rsidRPr="007A3580">
        <w:rPr>
          <w:rFonts w:ascii="Times New Roman" w:hAnsi="Times New Roman" w:cs="Times New Roman"/>
          <w:sz w:val="24"/>
          <w:szCs w:val="24"/>
        </w:rPr>
        <w:t xml:space="preserve">tudents who </w:t>
      </w:r>
      <w:r w:rsidR="0014697F" w:rsidRPr="007A3580">
        <w:rPr>
          <w:rFonts w:ascii="Times New Roman" w:hAnsi="Times New Roman" w:cs="Times New Roman"/>
          <w:sz w:val="24"/>
          <w:szCs w:val="24"/>
        </w:rPr>
        <w:t>enter the math curriculum</w:t>
      </w:r>
      <w:r w:rsidR="00E33816" w:rsidRPr="007A3580">
        <w:rPr>
          <w:rFonts w:ascii="Times New Roman" w:hAnsi="Times New Roman" w:cs="Times New Roman"/>
          <w:sz w:val="24"/>
          <w:szCs w:val="24"/>
        </w:rPr>
        <w:t xml:space="preserve"> </w:t>
      </w:r>
      <w:r w:rsidR="0014697F" w:rsidRPr="007A3580">
        <w:rPr>
          <w:rFonts w:ascii="Times New Roman" w:hAnsi="Times New Roman" w:cs="Times New Roman"/>
          <w:sz w:val="24"/>
          <w:szCs w:val="24"/>
        </w:rPr>
        <w:t xml:space="preserve">through </w:t>
      </w:r>
      <w:r w:rsidR="00426CA2">
        <w:rPr>
          <w:rFonts w:ascii="Times New Roman" w:hAnsi="Times New Roman" w:cs="Times New Roman"/>
          <w:sz w:val="24"/>
          <w:szCs w:val="24"/>
        </w:rPr>
        <w:t>the first half of LRNC B530 (</w:t>
      </w:r>
      <w:r w:rsidR="00E33816" w:rsidRPr="007A3580">
        <w:rPr>
          <w:rFonts w:ascii="Times New Roman" w:hAnsi="Times New Roman" w:cs="Times New Roman"/>
          <w:sz w:val="24"/>
          <w:szCs w:val="24"/>
        </w:rPr>
        <w:t>LRNC B530</w:t>
      </w:r>
      <w:r w:rsidR="00426CA2" w:rsidRPr="0072729B">
        <w:rPr>
          <w:rFonts w:ascii="Times New Roman" w:hAnsi="Times New Roman" w:cs="Times New Roman"/>
          <w:i/>
          <w:sz w:val="24"/>
          <w:szCs w:val="24"/>
        </w:rPr>
        <w:t>f</w:t>
      </w:r>
      <w:r w:rsidR="00426CA2">
        <w:rPr>
          <w:rFonts w:ascii="Times New Roman" w:hAnsi="Times New Roman" w:cs="Times New Roman"/>
          <w:sz w:val="24"/>
          <w:szCs w:val="24"/>
        </w:rPr>
        <w:t xml:space="preserve">) </w:t>
      </w:r>
      <w:r w:rsidR="00E33816" w:rsidRPr="007A3580">
        <w:rPr>
          <w:rFonts w:ascii="Times New Roman" w:hAnsi="Times New Roman" w:cs="Times New Roman"/>
          <w:sz w:val="24"/>
          <w:szCs w:val="24"/>
        </w:rPr>
        <w:t xml:space="preserve">are </w:t>
      </w:r>
      <w:r w:rsidR="001B6637" w:rsidRPr="007A3580">
        <w:rPr>
          <w:rFonts w:ascii="Times New Roman" w:hAnsi="Times New Roman" w:cs="Times New Roman"/>
          <w:sz w:val="24"/>
          <w:szCs w:val="24"/>
        </w:rPr>
        <w:t xml:space="preserve">much </w:t>
      </w:r>
      <w:r w:rsidR="00E33816" w:rsidRPr="007A3580">
        <w:rPr>
          <w:rFonts w:ascii="Times New Roman" w:hAnsi="Times New Roman" w:cs="Times New Roman"/>
          <w:sz w:val="24"/>
          <w:szCs w:val="24"/>
        </w:rPr>
        <w:t xml:space="preserve">more likely than are students who begin with Math B60 to delay their first math course </w:t>
      </w:r>
      <w:r w:rsidR="001B6637" w:rsidRPr="007A3580">
        <w:rPr>
          <w:rFonts w:ascii="Times New Roman" w:hAnsi="Times New Roman" w:cs="Times New Roman"/>
          <w:sz w:val="24"/>
          <w:szCs w:val="24"/>
        </w:rPr>
        <w:t>until after</w:t>
      </w:r>
      <w:r w:rsidR="00E33816" w:rsidRPr="007A3580">
        <w:rPr>
          <w:rFonts w:ascii="Times New Roman" w:hAnsi="Times New Roman" w:cs="Times New Roman"/>
          <w:sz w:val="24"/>
          <w:szCs w:val="24"/>
        </w:rPr>
        <w:t xml:space="preserve"> their first term in college (</w:t>
      </w:r>
      <w:r w:rsidR="00B42FC4">
        <w:rPr>
          <w:rFonts w:ascii="Times New Roman" w:hAnsi="Times New Roman" w:cs="Times New Roman"/>
          <w:sz w:val="24"/>
          <w:szCs w:val="24"/>
        </w:rPr>
        <w:t>68</w:t>
      </w:r>
      <w:r w:rsidR="00E33816" w:rsidRPr="007A3580">
        <w:rPr>
          <w:rFonts w:ascii="Times New Roman" w:hAnsi="Times New Roman" w:cs="Times New Roman"/>
          <w:sz w:val="24"/>
          <w:szCs w:val="24"/>
        </w:rPr>
        <w:t xml:space="preserve">% vs. </w:t>
      </w:r>
      <w:r w:rsidR="00B42FC4">
        <w:rPr>
          <w:rFonts w:ascii="Times New Roman" w:hAnsi="Times New Roman" w:cs="Times New Roman"/>
          <w:sz w:val="24"/>
          <w:szCs w:val="24"/>
        </w:rPr>
        <w:t>46</w:t>
      </w:r>
      <w:r w:rsidR="00E33816" w:rsidRPr="007A3580">
        <w:rPr>
          <w:rFonts w:ascii="Times New Roman" w:hAnsi="Times New Roman" w:cs="Times New Roman"/>
          <w:sz w:val="24"/>
          <w:szCs w:val="24"/>
        </w:rPr>
        <w:t>%)</w:t>
      </w:r>
      <w:r w:rsidR="00426CA2">
        <w:rPr>
          <w:rFonts w:ascii="Times New Roman" w:hAnsi="Times New Roman" w:cs="Times New Roman"/>
          <w:sz w:val="24"/>
          <w:szCs w:val="24"/>
        </w:rPr>
        <w:t>, which can be consequential for their time to achieve college-level quantitative competency</w:t>
      </w:r>
      <w:r w:rsidR="00E33816" w:rsidRPr="007A3580">
        <w:rPr>
          <w:rFonts w:ascii="Times New Roman" w:hAnsi="Times New Roman" w:cs="Times New Roman"/>
          <w:sz w:val="24"/>
          <w:szCs w:val="24"/>
        </w:rPr>
        <w:t>.  Students who begin with Math B65 are less likely to delay the</w:t>
      </w:r>
      <w:r w:rsidR="0014697F" w:rsidRPr="007A3580">
        <w:rPr>
          <w:rFonts w:ascii="Times New Roman" w:hAnsi="Times New Roman" w:cs="Times New Roman"/>
          <w:sz w:val="24"/>
          <w:szCs w:val="24"/>
        </w:rPr>
        <w:t>ir first math</w:t>
      </w:r>
      <w:r w:rsidR="00E33816" w:rsidRPr="007A3580">
        <w:rPr>
          <w:rFonts w:ascii="Times New Roman" w:hAnsi="Times New Roman" w:cs="Times New Roman"/>
          <w:sz w:val="24"/>
          <w:szCs w:val="24"/>
        </w:rPr>
        <w:t xml:space="preserve"> course (</w:t>
      </w:r>
      <w:r w:rsidR="00B42FC4">
        <w:rPr>
          <w:rFonts w:ascii="Times New Roman" w:hAnsi="Times New Roman" w:cs="Times New Roman"/>
          <w:sz w:val="24"/>
          <w:szCs w:val="24"/>
        </w:rPr>
        <w:t>52</w:t>
      </w:r>
      <w:r w:rsidR="00E33816" w:rsidRPr="007A3580">
        <w:rPr>
          <w:rFonts w:ascii="Times New Roman" w:hAnsi="Times New Roman" w:cs="Times New Roman"/>
          <w:sz w:val="24"/>
          <w:szCs w:val="24"/>
        </w:rPr>
        <w:t>%) than are students who begin with LRNC B530</w:t>
      </w:r>
      <w:r w:rsidR="00865AE9" w:rsidRPr="0072729B">
        <w:rPr>
          <w:rFonts w:ascii="Times New Roman" w:hAnsi="Times New Roman" w:cs="Times New Roman"/>
          <w:i/>
          <w:sz w:val="24"/>
          <w:szCs w:val="24"/>
        </w:rPr>
        <w:t>f</w:t>
      </w:r>
      <w:r w:rsidR="00E33816" w:rsidRPr="007A3580">
        <w:rPr>
          <w:rFonts w:ascii="Times New Roman" w:hAnsi="Times New Roman" w:cs="Times New Roman"/>
          <w:sz w:val="24"/>
          <w:szCs w:val="24"/>
        </w:rPr>
        <w:t xml:space="preserve"> but more likely than students who begin with Math B60.  </w:t>
      </w:r>
    </w:p>
    <w:p w14:paraId="5DF932EA" w14:textId="77777777" w:rsidR="00557B10" w:rsidRPr="007A3580" w:rsidRDefault="00557B10" w:rsidP="00F869B8">
      <w:pPr>
        <w:spacing w:after="0" w:line="240" w:lineRule="auto"/>
        <w:rPr>
          <w:rFonts w:ascii="Times New Roman" w:hAnsi="Times New Roman" w:cs="Times New Roman"/>
          <w:sz w:val="24"/>
          <w:szCs w:val="24"/>
        </w:rPr>
      </w:pPr>
    </w:p>
    <w:p w14:paraId="7AEE4CE2" w14:textId="771F0EB6" w:rsidR="00E33816" w:rsidRPr="007A3580" w:rsidRDefault="0075749D" w:rsidP="00F869B8">
      <w:pPr>
        <w:spacing w:after="0" w:line="240" w:lineRule="auto"/>
        <w:rPr>
          <w:rFonts w:ascii="Times New Roman" w:hAnsi="Times New Roman" w:cs="Times New Roman"/>
          <w:sz w:val="24"/>
          <w:szCs w:val="24"/>
        </w:rPr>
      </w:pPr>
      <w:r w:rsidRPr="007A3580">
        <w:rPr>
          <w:rFonts w:ascii="Times New Roman" w:hAnsi="Times New Roman" w:cs="Times New Roman"/>
          <w:sz w:val="24"/>
          <w:szCs w:val="24"/>
        </w:rPr>
        <w:t xml:space="preserve">As an alternative to treating delay of first math as a simple dichotomy, delay also can be </w:t>
      </w:r>
      <w:r w:rsidR="0054312A" w:rsidRPr="007A3580">
        <w:rPr>
          <w:rFonts w:ascii="Times New Roman" w:hAnsi="Times New Roman" w:cs="Times New Roman"/>
          <w:sz w:val="24"/>
          <w:szCs w:val="24"/>
        </w:rPr>
        <w:t xml:space="preserve">quantified </w:t>
      </w:r>
      <w:r w:rsidR="00557B10" w:rsidRPr="007A3580">
        <w:rPr>
          <w:rFonts w:ascii="Times New Roman" w:hAnsi="Times New Roman" w:cs="Times New Roman"/>
          <w:sz w:val="24"/>
          <w:szCs w:val="24"/>
        </w:rPr>
        <w:t xml:space="preserve">as </w:t>
      </w:r>
      <w:r w:rsidR="0054312A" w:rsidRPr="007A3580">
        <w:rPr>
          <w:rFonts w:ascii="Times New Roman" w:hAnsi="Times New Roman" w:cs="Times New Roman"/>
          <w:sz w:val="24"/>
          <w:szCs w:val="24"/>
        </w:rPr>
        <w:t xml:space="preserve">the number of terms </w:t>
      </w:r>
      <w:r w:rsidR="00557B10" w:rsidRPr="007A3580">
        <w:rPr>
          <w:rFonts w:ascii="Times New Roman" w:hAnsi="Times New Roman" w:cs="Times New Roman"/>
          <w:sz w:val="24"/>
          <w:szCs w:val="24"/>
        </w:rPr>
        <w:t xml:space="preserve">between </w:t>
      </w:r>
      <w:r w:rsidRPr="007A3580">
        <w:rPr>
          <w:rFonts w:ascii="Times New Roman" w:hAnsi="Times New Roman" w:cs="Times New Roman"/>
          <w:sz w:val="24"/>
          <w:szCs w:val="24"/>
        </w:rPr>
        <w:t xml:space="preserve">the </w:t>
      </w:r>
      <w:r w:rsidR="00557B10" w:rsidRPr="007A3580">
        <w:rPr>
          <w:rFonts w:ascii="Times New Roman" w:hAnsi="Times New Roman" w:cs="Times New Roman"/>
          <w:sz w:val="24"/>
          <w:szCs w:val="24"/>
        </w:rPr>
        <w:t xml:space="preserve">first term in </w:t>
      </w:r>
      <w:r w:rsidRPr="007A3580">
        <w:rPr>
          <w:rFonts w:ascii="Times New Roman" w:hAnsi="Times New Roman" w:cs="Times New Roman"/>
          <w:sz w:val="24"/>
          <w:szCs w:val="24"/>
        </w:rPr>
        <w:t xml:space="preserve">BC </w:t>
      </w:r>
      <w:r w:rsidR="00557B10" w:rsidRPr="007A3580">
        <w:rPr>
          <w:rFonts w:ascii="Times New Roman" w:hAnsi="Times New Roman" w:cs="Times New Roman"/>
          <w:sz w:val="24"/>
          <w:szCs w:val="24"/>
        </w:rPr>
        <w:t xml:space="preserve">and the term of </w:t>
      </w:r>
      <w:r w:rsidR="0054312A" w:rsidRPr="007A3580">
        <w:rPr>
          <w:rFonts w:ascii="Times New Roman" w:hAnsi="Times New Roman" w:cs="Times New Roman"/>
          <w:sz w:val="24"/>
          <w:szCs w:val="24"/>
        </w:rPr>
        <w:t>first math enrollment</w:t>
      </w:r>
      <w:r w:rsidR="000B319B" w:rsidRPr="007A3580">
        <w:rPr>
          <w:rFonts w:ascii="Times New Roman" w:hAnsi="Times New Roman" w:cs="Times New Roman"/>
          <w:sz w:val="24"/>
          <w:szCs w:val="24"/>
        </w:rPr>
        <w:t xml:space="preserve">.  In that case, students who enroll in their first math course in their first term in college would be assigned a value of zero (no delay), while students who enroll in their first math course in the term following their first term in BC would be assigned a value of one (a delay of one term), and so on.  </w:t>
      </w:r>
      <w:r w:rsidR="0083025C" w:rsidRPr="007A3580">
        <w:rPr>
          <w:rFonts w:ascii="Times New Roman" w:hAnsi="Times New Roman" w:cs="Times New Roman"/>
          <w:sz w:val="24"/>
          <w:szCs w:val="24"/>
        </w:rPr>
        <w:t xml:space="preserve">This quantification </w:t>
      </w:r>
      <w:r w:rsidR="000B319B" w:rsidRPr="007A3580">
        <w:rPr>
          <w:rFonts w:ascii="Times New Roman" w:hAnsi="Times New Roman" w:cs="Times New Roman"/>
          <w:sz w:val="24"/>
          <w:szCs w:val="24"/>
        </w:rPr>
        <w:t xml:space="preserve">of delay </w:t>
      </w:r>
      <w:r w:rsidR="00EF6F61">
        <w:rPr>
          <w:rFonts w:ascii="Times New Roman" w:hAnsi="Times New Roman" w:cs="Times New Roman"/>
          <w:sz w:val="24"/>
          <w:szCs w:val="24"/>
        </w:rPr>
        <w:t xml:space="preserve">confirms the conclusion </w:t>
      </w:r>
      <w:r w:rsidR="00EF6F61" w:rsidRPr="007A3580">
        <w:rPr>
          <w:rFonts w:ascii="Times New Roman" w:hAnsi="Times New Roman" w:cs="Times New Roman"/>
          <w:sz w:val="24"/>
          <w:szCs w:val="24"/>
        </w:rPr>
        <w:t>that students who begin with Math B60</w:t>
      </w:r>
      <w:r w:rsidR="00EF6F61">
        <w:rPr>
          <w:rFonts w:ascii="Times New Roman" w:hAnsi="Times New Roman" w:cs="Times New Roman"/>
          <w:sz w:val="24"/>
          <w:szCs w:val="24"/>
        </w:rPr>
        <w:t xml:space="preserve"> have a shorter average delay of first math than do </w:t>
      </w:r>
      <w:r w:rsidR="00E33816" w:rsidRPr="007A3580">
        <w:rPr>
          <w:rFonts w:ascii="Times New Roman" w:hAnsi="Times New Roman" w:cs="Times New Roman"/>
          <w:sz w:val="24"/>
          <w:szCs w:val="24"/>
        </w:rPr>
        <w:t xml:space="preserve">students who begin with Math B65 </w:t>
      </w:r>
      <w:r w:rsidR="00EF6F61">
        <w:rPr>
          <w:rFonts w:ascii="Times New Roman" w:hAnsi="Times New Roman" w:cs="Times New Roman"/>
          <w:sz w:val="24"/>
          <w:szCs w:val="24"/>
        </w:rPr>
        <w:t xml:space="preserve">(0.6 terms versus 0.8 terms), while students who begin with </w:t>
      </w:r>
      <w:r w:rsidR="00EF6F61" w:rsidRPr="007A3580">
        <w:rPr>
          <w:rFonts w:ascii="Times New Roman" w:hAnsi="Times New Roman" w:cs="Times New Roman"/>
          <w:sz w:val="24"/>
          <w:szCs w:val="24"/>
        </w:rPr>
        <w:t>LRNC B530</w:t>
      </w:r>
      <w:r w:rsidR="00EF6F61" w:rsidRPr="001B39FE">
        <w:rPr>
          <w:rFonts w:ascii="Times New Roman" w:hAnsi="Times New Roman" w:cs="Times New Roman"/>
          <w:i/>
          <w:sz w:val="24"/>
          <w:szCs w:val="24"/>
        </w:rPr>
        <w:t>f</w:t>
      </w:r>
      <w:r w:rsidR="00EF6F61" w:rsidRPr="007A3580">
        <w:rPr>
          <w:rFonts w:ascii="Times New Roman" w:hAnsi="Times New Roman" w:cs="Times New Roman"/>
          <w:sz w:val="24"/>
          <w:szCs w:val="24"/>
        </w:rPr>
        <w:t xml:space="preserve"> </w:t>
      </w:r>
      <w:r w:rsidR="00EF6F61">
        <w:rPr>
          <w:rFonts w:ascii="Times New Roman" w:hAnsi="Times New Roman" w:cs="Times New Roman"/>
          <w:sz w:val="24"/>
          <w:szCs w:val="24"/>
        </w:rPr>
        <w:t>exhibit the longest average delay of first math (1.1 terms).</w:t>
      </w:r>
      <w:r w:rsidR="00EF6F61" w:rsidRPr="007A3580">
        <w:rPr>
          <w:rFonts w:ascii="Times New Roman" w:hAnsi="Times New Roman" w:cs="Times New Roman"/>
          <w:sz w:val="24"/>
          <w:szCs w:val="24"/>
        </w:rPr>
        <w:t xml:space="preserve"> </w:t>
      </w:r>
    </w:p>
    <w:p w14:paraId="190EFFA7" w14:textId="77777777" w:rsidR="00E33816" w:rsidRPr="007A3580" w:rsidRDefault="00E33816" w:rsidP="00F869B8">
      <w:pPr>
        <w:spacing w:after="0" w:line="240" w:lineRule="auto"/>
        <w:rPr>
          <w:rFonts w:ascii="Times New Roman" w:hAnsi="Times New Roman" w:cs="Times New Roman"/>
          <w:sz w:val="24"/>
          <w:szCs w:val="24"/>
        </w:rPr>
      </w:pPr>
    </w:p>
    <w:p w14:paraId="6E4B6762" w14:textId="6943ADE3" w:rsidR="0054312A" w:rsidRPr="007A3580" w:rsidRDefault="0054312A" w:rsidP="0054312A">
      <w:pPr>
        <w:spacing w:after="0" w:line="240" w:lineRule="auto"/>
        <w:rPr>
          <w:rFonts w:ascii="Times New Roman" w:hAnsi="Times New Roman" w:cs="Times New Roman"/>
          <w:sz w:val="24"/>
          <w:szCs w:val="24"/>
        </w:rPr>
      </w:pPr>
      <w:r w:rsidRPr="007A3580">
        <w:rPr>
          <w:rFonts w:ascii="Times New Roman" w:hAnsi="Times New Roman" w:cs="Times New Roman"/>
          <w:sz w:val="24"/>
          <w:szCs w:val="24"/>
          <w:u w:val="single"/>
        </w:rPr>
        <w:t>First-Attempt Success</w:t>
      </w:r>
    </w:p>
    <w:p w14:paraId="6F7264B5" w14:textId="77777777" w:rsidR="00E33816" w:rsidRPr="00347697" w:rsidRDefault="00E33816" w:rsidP="00F869B8">
      <w:pPr>
        <w:spacing w:after="0" w:line="240" w:lineRule="auto"/>
        <w:rPr>
          <w:rFonts w:ascii="Times New Roman" w:hAnsi="Times New Roman" w:cs="Times New Roman"/>
          <w:sz w:val="24"/>
          <w:szCs w:val="24"/>
        </w:rPr>
      </w:pPr>
    </w:p>
    <w:p w14:paraId="254F841F" w14:textId="16A067D6" w:rsidR="00C52B5E" w:rsidRDefault="00E56991" w:rsidP="00F869B8">
      <w:pPr>
        <w:spacing w:after="0" w:line="240" w:lineRule="auto"/>
        <w:rPr>
          <w:rFonts w:ascii="Times New Roman" w:hAnsi="Times New Roman" w:cs="Times New Roman"/>
          <w:sz w:val="24"/>
          <w:szCs w:val="24"/>
        </w:rPr>
      </w:pPr>
      <w:r w:rsidRPr="00E920AF">
        <w:rPr>
          <w:rFonts w:ascii="Times New Roman" w:hAnsi="Times New Roman" w:cs="Times New Roman"/>
          <w:sz w:val="24"/>
          <w:szCs w:val="24"/>
        </w:rPr>
        <w:t xml:space="preserve">A student’s success </w:t>
      </w:r>
      <w:r w:rsidR="0021572F" w:rsidRPr="00E920AF">
        <w:rPr>
          <w:rFonts w:ascii="Times New Roman" w:hAnsi="Times New Roman" w:cs="Times New Roman"/>
          <w:sz w:val="24"/>
          <w:szCs w:val="24"/>
        </w:rPr>
        <w:t xml:space="preserve">(or not) </w:t>
      </w:r>
      <w:r w:rsidRPr="00E920AF">
        <w:rPr>
          <w:rFonts w:ascii="Times New Roman" w:hAnsi="Times New Roman" w:cs="Times New Roman"/>
          <w:sz w:val="24"/>
          <w:szCs w:val="24"/>
        </w:rPr>
        <w:t xml:space="preserve">in the first attempt of a given math course </w:t>
      </w:r>
      <w:r w:rsidR="002D7613" w:rsidRPr="00446B85">
        <w:rPr>
          <w:rFonts w:ascii="Times New Roman" w:hAnsi="Times New Roman" w:cs="Times New Roman"/>
          <w:sz w:val="24"/>
          <w:szCs w:val="24"/>
        </w:rPr>
        <w:t>is a strong predictor of whether the student will continue to advance toward college-level quantitative competency or not</w:t>
      </w:r>
      <w:r w:rsidR="00C52B5E" w:rsidRPr="00E920AF">
        <w:rPr>
          <w:rFonts w:ascii="Times New Roman" w:hAnsi="Times New Roman" w:cs="Times New Roman"/>
          <w:sz w:val="24"/>
          <w:szCs w:val="24"/>
        </w:rPr>
        <w:t xml:space="preserve"> (</w:t>
      </w:r>
      <w:r w:rsidR="00E920AF" w:rsidRPr="0072729B">
        <w:rPr>
          <w:rFonts w:ascii="Times New Roman" w:hAnsi="Times New Roman" w:cs="Times New Roman"/>
          <w:sz w:val="24"/>
          <w:szCs w:val="24"/>
        </w:rPr>
        <w:t>Bahr, 2012</w:t>
      </w:r>
      <w:r w:rsidR="00C52B5E" w:rsidRPr="00E920AF">
        <w:rPr>
          <w:rFonts w:ascii="Times New Roman" w:hAnsi="Times New Roman" w:cs="Times New Roman"/>
          <w:sz w:val="24"/>
          <w:szCs w:val="24"/>
        </w:rPr>
        <w:t>)</w:t>
      </w:r>
      <w:r w:rsidR="002D7613" w:rsidRPr="00E920AF">
        <w:rPr>
          <w:rFonts w:ascii="Times New Roman" w:hAnsi="Times New Roman" w:cs="Times New Roman"/>
          <w:sz w:val="24"/>
          <w:szCs w:val="24"/>
        </w:rPr>
        <w:t xml:space="preserve">.  Hence, it is important to examine associations between entry point to the math curriculum and </w:t>
      </w:r>
      <w:r w:rsidR="007D737A" w:rsidRPr="00E920AF">
        <w:rPr>
          <w:rFonts w:ascii="Times New Roman" w:hAnsi="Times New Roman" w:cs="Times New Roman"/>
          <w:sz w:val="24"/>
          <w:szCs w:val="24"/>
        </w:rPr>
        <w:t>rate</w:t>
      </w:r>
      <w:r w:rsidR="00C52B5E" w:rsidRPr="00E920AF">
        <w:rPr>
          <w:rFonts w:ascii="Times New Roman" w:hAnsi="Times New Roman" w:cs="Times New Roman"/>
          <w:sz w:val="24"/>
          <w:szCs w:val="24"/>
        </w:rPr>
        <w:t xml:space="preserve"> of </w:t>
      </w:r>
      <w:r w:rsidR="002D7613" w:rsidRPr="00E920AF">
        <w:rPr>
          <w:rFonts w:ascii="Times New Roman" w:hAnsi="Times New Roman" w:cs="Times New Roman"/>
          <w:sz w:val="24"/>
          <w:szCs w:val="24"/>
        </w:rPr>
        <w:t>first-attempt success</w:t>
      </w:r>
      <w:r w:rsidR="00C52B5E" w:rsidRPr="00E920AF">
        <w:rPr>
          <w:rFonts w:ascii="Times New Roman" w:hAnsi="Times New Roman" w:cs="Times New Roman"/>
          <w:sz w:val="24"/>
          <w:szCs w:val="24"/>
        </w:rPr>
        <w:t>.</w:t>
      </w:r>
      <w:r w:rsidR="00C52B5E">
        <w:rPr>
          <w:rFonts w:ascii="Times New Roman" w:hAnsi="Times New Roman" w:cs="Times New Roman"/>
          <w:sz w:val="24"/>
          <w:szCs w:val="24"/>
        </w:rPr>
        <w:t xml:space="preserve">  </w:t>
      </w:r>
    </w:p>
    <w:p w14:paraId="01208C8D" w14:textId="77777777" w:rsidR="00C52B5E" w:rsidRDefault="00C52B5E" w:rsidP="00F869B8">
      <w:pPr>
        <w:spacing w:after="0" w:line="240" w:lineRule="auto"/>
        <w:rPr>
          <w:rFonts w:ascii="Times New Roman" w:hAnsi="Times New Roman" w:cs="Times New Roman"/>
          <w:sz w:val="24"/>
          <w:szCs w:val="24"/>
        </w:rPr>
      </w:pPr>
    </w:p>
    <w:p w14:paraId="3F5F3AB2" w14:textId="2E0D01FA" w:rsidR="0054312A" w:rsidRPr="00347697" w:rsidRDefault="00E97D28" w:rsidP="00F869B8">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In Table 1, we observe that s</w:t>
      </w:r>
      <w:r w:rsidR="007E1CF7" w:rsidRPr="00347697">
        <w:rPr>
          <w:rFonts w:ascii="Times New Roman" w:hAnsi="Times New Roman" w:cs="Times New Roman"/>
          <w:sz w:val="24"/>
          <w:szCs w:val="24"/>
        </w:rPr>
        <w:t xml:space="preserve">tudents who begin math with </w:t>
      </w:r>
      <w:r w:rsidR="00640C53" w:rsidRPr="00347697">
        <w:rPr>
          <w:rFonts w:ascii="Times New Roman" w:hAnsi="Times New Roman" w:cs="Times New Roman"/>
          <w:sz w:val="24"/>
          <w:szCs w:val="24"/>
        </w:rPr>
        <w:t>LRNC B530</w:t>
      </w:r>
      <w:r w:rsidR="00426CA2" w:rsidRPr="0072729B">
        <w:rPr>
          <w:rFonts w:ascii="Times New Roman" w:hAnsi="Times New Roman" w:cs="Times New Roman"/>
          <w:i/>
          <w:sz w:val="24"/>
          <w:szCs w:val="24"/>
        </w:rPr>
        <w:t>f</w:t>
      </w:r>
      <w:r w:rsidR="00640C53" w:rsidRPr="00347697">
        <w:rPr>
          <w:rFonts w:ascii="Times New Roman" w:hAnsi="Times New Roman" w:cs="Times New Roman"/>
          <w:sz w:val="24"/>
          <w:szCs w:val="24"/>
        </w:rPr>
        <w:t xml:space="preserve"> have </w:t>
      </w:r>
      <w:r w:rsidR="007E1CF7" w:rsidRPr="00347697">
        <w:rPr>
          <w:rFonts w:ascii="Times New Roman" w:hAnsi="Times New Roman" w:cs="Times New Roman"/>
          <w:sz w:val="24"/>
          <w:szCs w:val="24"/>
        </w:rPr>
        <w:t xml:space="preserve">an especially strong </w:t>
      </w:r>
      <w:r w:rsidR="00640C53" w:rsidRPr="00347697">
        <w:rPr>
          <w:rFonts w:ascii="Times New Roman" w:hAnsi="Times New Roman" w:cs="Times New Roman"/>
          <w:sz w:val="24"/>
          <w:szCs w:val="24"/>
        </w:rPr>
        <w:t>first-attempt success rate</w:t>
      </w:r>
      <w:r w:rsidR="007E1CF7" w:rsidRPr="00347697">
        <w:rPr>
          <w:rFonts w:ascii="Times New Roman" w:hAnsi="Times New Roman" w:cs="Times New Roman"/>
          <w:sz w:val="24"/>
          <w:szCs w:val="24"/>
        </w:rPr>
        <w:t xml:space="preserve">, with more than </w:t>
      </w:r>
      <w:r w:rsidR="00EF6F61">
        <w:rPr>
          <w:rFonts w:ascii="Times New Roman" w:hAnsi="Times New Roman" w:cs="Times New Roman"/>
          <w:sz w:val="24"/>
          <w:szCs w:val="24"/>
        </w:rPr>
        <w:t xml:space="preserve">five in six </w:t>
      </w:r>
      <w:r w:rsidR="00EF6F61" w:rsidRPr="00347697">
        <w:rPr>
          <w:rFonts w:ascii="Times New Roman" w:hAnsi="Times New Roman" w:cs="Times New Roman"/>
          <w:sz w:val="24"/>
          <w:szCs w:val="24"/>
        </w:rPr>
        <w:t>students</w:t>
      </w:r>
      <w:r w:rsidR="007E1CF7" w:rsidRPr="00347697">
        <w:rPr>
          <w:rFonts w:ascii="Times New Roman" w:hAnsi="Times New Roman" w:cs="Times New Roman"/>
          <w:sz w:val="24"/>
          <w:szCs w:val="24"/>
        </w:rPr>
        <w:t xml:space="preserve"> </w:t>
      </w:r>
      <w:r w:rsidR="00640C53" w:rsidRPr="00347697">
        <w:rPr>
          <w:rFonts w:ascii="Times New Roman" w:hAnsi="Times New Roman" w:cs="Times New Roman"/>
          <w:sz w:val="24"/>
          <w:szCs w:val="24"/>
        </w:rPr>
        <w:t>(8</w:t>
      </w:r>
      <w:r w:rsidR="00EF6F61">
        <w:rPr>
          <w:rFonts w:ascii="Times New Roman" w:hAnsi="Times New Roman" w:cs="Times New Roman"/>
          <w:sz w:val="24"/>
          <w:szCs w:val="24"/>
        </w:rPr>
        <w:t>5</w:t>
      </w:r>
      <w:r w:rsidR="00640C53" w:rsidRPr="00347697">
        <w:rPr>
          <w:rFonts w:ascii="Times New Roman" w:hAnsi="Times New Roman" w:cs="Times New Roman"/>
          <w:sz w:val="24"/>
          <w:szCs w:val="24"/>
        </w:rPr>
        <w:t xml:space="preserve">%) </w:t>
      </w:r>
      <w:r w:rsidR="007E1CF7" w:rsidRPr="00347697">
        <w:rPr>
          <w:rFonts w:ascii="Times New Roman" w:hAnsi="Times New Roman" w:cs="Times New Roman"/>
          <w:sz w:val="24"/>
          <w:szCs w:val="24"/>
        </w:rPr>
        <w:t>passing the course</w:t>
      </w:r>
      <w:r w:rsidR="00B02240" w:rsidRPr="00347697">
        <w:rPr>
          <w:rFonts w:ascii="Times New Roman" w:hAnsi="Times New Roman" w:cs="Times New Roman"/>
          <w:sz w:val="24"/>
          <w:szCs w:val="24"/>
        </w:rPr>
        <w:t xml:space="preserve"> on </w:t>
      </w:r>
      <w:r w:rsidR="00B02240" w:rsidRPr="00347697">
        <w:rPr>
          <w:rFonts w:ascii="Times New Roman" w:hAnsi="Times New Roman" w:cs="Times New Roman"/>
          <w:sz w:val="24"/>
          <w:szCs w:val="24"/>
        </w:rPr>
        <w:lastRenderedPageBreak/>
        <w:t>the first attempt</w:t>
      </w:r>
      <w:r w:rsidR="007E1CF7" w:rsidRPr="00347697">
        <w:rPr>
          <w:rFonts w:ascii="Times New Roman" w:hAnsi="Times New Roman" w:cs="Times New Roman"/>
          <w:sz w:val="24"/>
          <w:szCs w:val="24"/>
        </w:rPr>
        <w:t>.</w:t>
      </w:r>
      <w:r w:rsidR="007D737A">
        <w:rPr>
          <w:rStyle w:val="FootnoteReference"/>
          <w:rFonts w:ascii="Times New Roman" w:hAnsi="Times New Roman" w:cs="Times New Roman"/>
          <w:sz w:val="24"/>
          <w:szCs w:val="24"/>
        </w:rPr>
        <w:footnoteReference w:id="2"/>
      </w:r>
      <w:r w:rsidR="007E1CF7" w:rsidRPr="00347697">
        <w:rPr>
          <w:rFonts w:ascii="Times New Roman" w:hAnsi="Times New Roman" w:cs="Times New Roman"/>
          <w:sz w:val="24"/>
          <w:szCs w:val="24"/>
        </w:rPr>
        <w:t xml:space="preserve">  </w:t>
      </w:r>
      <w:r w:rsidR="009D53A0" w:rsidRPr="00347697">
        <w:rPr>
          <w:rFonts w:ascii="Times New Roman" w:hAnsi="Times New Roman" w:cs="Times New Roman"/>
          <w:sz w:val="24"/>
          <w:szCs w:val="24"/>
        </w:rPr>
        <w:t xml:space="preserve">Course success is defined here and throughout this report as a grade of C or </w:t>
      </w:r>
      <w:r w:rsidR="00392EAB" w:rsidRPr="00347697">
        <w:rPr>
          <w:rFonts w:ascii="Times New Roman" w:hAnsi="Times New Roman" w:cs="Times New Roman"/>
          <w:sz w:val="24"/>
          <w:szCs w:val="24"/>
        </w:rPr>
        <w:t>higher or a grade of “Pass”</w:t>
      </w:r>
      <w:r w:rsidR="009D53A0" w:rsidRPr="00347697">
        <w:rPr>
          <w:rFonts w:ascii="Times New Roman" w:hAnsi="Times New Roman" w:cs="Times New Roman"/>
          <w:sz w:val="24"/>
          <w:szCs w:val="24"/>
        </w:rPr>
        <w:t xml:space="preserve">.  </w:t>
      </w:r>
      <w:r w:rsidR="007E1CF7" w:rsidRPr="00347697">
        <w:rPr>
          <w:rFonts w:ascii="Times New Roman" w:hAnsi="Times New Roman" w:cs="Times New Roman"/>
          <w:sz w:val="24"/>
          <w:szCs w:val="24"/>
        </w:rPr>
        <w:t>In comparison, three-fifths (</w:t>
      </w:r>
      <w:r w:rsidR="00EF6F61">
        <w:rPr>
          <w:rFonts w:ascii="Times New Roman" w:hAnsi="Times New Roman" w:cs="Times New Roman"/>
          <w:sz w:val="24"/>
          <w:szCs w:val="24"/>
        </w:rPr>
        <w:t>59</w:t>
      </w:r>
      <w:r w:rsidR="007E1CF7" w:rsidRPr="00347697">
        <w:rPr>
          <w:rFonts w:ascii="Times New Roman" w:hAnsi="Times New Roman" w:cs="Times New Roman"/>
          <w:sz w:val="24"/>
          <w:szCs w:val="24"/>
        </w:rPr>
        <w:t xml:space="preserve">%) of students who enter through </w:t>
      </w:r>
      <w:r w:rsidR="00640C53" w:rsidRPr="00347697">
        <w:rPr>
          <w:rFonts w:ascii="Times New Roman" w:hAnsi="Times New Roman" w:cs="Times New Roman"/>
          <w:sz w:val="24"/>
          <w:szCs w:val="24"/>
        </w:rPr>
        <w:t xml:space="preserve">Math B65 </w:t>
      </w:r>
      <w:r w:rsidR="007E1CF7" w:rsidRPr="00347697">
        <w:rPr>
          <w:rFonts w:ascii="Times New Roman" w:hAnsi="Times New Roman" w:cs="Times New Roman"/>
          <w:sz w:val="24"/>
          <w:szCs w:val="24"/>
        </w:rPr>
        <w:t>pass the course on the first attempt, and just over half (54%) of students who begin with</w:t>
      </w:r>
      <w:r w:rsidR="00640C53" w:rsidRPr="00347697">
        <w:rPr>
          <w:rFonts w:ascii="Times New Roman" w:hAnsi="Times New Roman" w:cs="Times New Roman"/>
          <w:sz w:val="24"/>
          <w:szCs w:val="24"/>
        </w:rPr>
        <w:t xml:space="preserve"> Math B60</w:t>
      </w:r>
      <w:r w:rsidR="00C2688C" w:rsidRPr="00347697">
        <w:rPr>
          <w:rFonts w:ascii="Times New Roman" w:hAnsi="Times New Roman" w:cs="Times New Roman"/>
          <w:sz w:val="24"/>
          <w:szCs w:val="24"/>
        </w:rPr>
        <w:t xml:space="preserve"> do so</w:t>
      </w:r>
      <w:r w:rsidR="00640C53" w:rsidRPr="00347697">
        <w:rPr>
          <w:rFonts w:ascii="Times New Roman" w:hAnsi="Times New Roman" w:cs="Times New Roman"/>
          <w:sz w:val="24"/>
          <w:szCs w:val="24"/>
        </w:rPr>
        <w:t>.</w:t>
      </w:r>
    </w:p>
    <w:p w14:paraId="435B9F19" w14:textId="77777777" w:rsidR="0054312A" w:rsidRPr="00347697" w:rsidRDefault="0054312A" w:rsidP="00F869B8">
      <w:pPr>
        <w:spacing w:after="0" w:line="240" w:lineRule="auto"/>
        <w:rPr>
          <w:rFonts w:ascii="Times New Roman" w:hAnsi="Times New Roman" w:cs="Times New Roman"/>
          <w:sz w:val="24"/>
          <w:szCs w:val="24"/>
        </w:rPr>
      </w:pPr>
    </w:p>
    <w:p w14:paraId="240E95F0" w14:textId="52CAF385" w:rsidR="00655F4E" w:rsidRPr="00347697" w:rsidRDefault="00655F4E" w:rsidP="00655F4E">
      <w:pPr>
        <w:spacing w:after="0" w:line="240" w:lineRule="auto"/>
        <w:rPr>
          <w:rFonts w:ascii="Times New Roman" w:hAnsi="Times New Roman" w:cs="Times New Roman"/>
          <w:sz w:val="24"/>
          <w:szCs w:val="24"/>
        </w:rPr>
      </w:pPr>
      <w:r w:rsidRPr="00347697">
        <w:rPr>
          <w:rFonts w:ascii="Times New Roman" w:hAnsi="Times New Roman" w:cs="Times New Roman"/>
          <w:sz w:val="24"/>
          <w:szCs w:val="24"/>
          <w:u w:val="single"/>
        </w:rPr>
        <w:t>Demonstrating Quantitative Competency</w:t>
      </w:r>
    </w:p>
    <w:p w14:paraId="5E9AD6E7" w14:textId="77777777" w:rsidR="00655F4E" w:rsidRPr="00347697" w:rsidRDefault="00655F4E" w:rsidP="00655F4E">
      <w:pPr>
        <w:spacing w:after="0" w:line="240" w:lineRule="auto"/>
        <w:rPr>
          <w:rFonts w:ascii="Times New Roman" w:hAnsi="Times New Roman" w:cs="Times New Roman"/>
          <w:sz w:val="24"/>
          <w:szCs w:val="24"/>
        </w:rPr>
      </w:pPr>
    </w:p>
    <w:p w14:paraId="55059492" w14:textId="4411A39F" w:rsidR="00C2688C" w:rsidRPr="00347697" w:rsidRDefault="00655F4E" w:rsidP="00655F4E">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Students at BC can demonstrate quantitative competency in several </w:t>
      </w:r>
      <w:r w:rsidR="009B54F7" w:rsidRPr="00347697">
        <w:rPr>
          <w:rFonts w:ascii="Times New Roman" w:hAnsi="Times New Roman" w:cs="Times New Roman"/>
          <w:sz w:val="24"/>
          <w:szCs w:val="24"/>
        </w:rPr>
        <w:t xml:space="preserve">different </w:t>
      </w:r>
      <w:r w:rsidRPr="00347697">
        <w:rPr>
          <w:rFonts w:ascii="Times New Roman" w:hAnsi="Times New Roman" w:cs="Times New Roman"/>
          <w:sz w:val="24"/>
          <w:szCs w:val="24"/>
        </w:rPr>
        <w:t xml:space="preserve">ways, depending on their goals.  </w:t>
      </w:r>
      <w:r w:rsidR="00201A0F" w:rsidRPr="00347697">
        <w:rPr>
          <w:rFonts w:ascii="Times New Roman" w:hAnsi="Times New Roman" w:cs="Times New Roman"/>
          <w:sz w:val="24"/>
          <w:szCs w:val="24"/>
        </w:rPr>
        <w:t xml:space="preserve">Students who are seeking an associate’s degree can complete Rhetoric and Argumentation (Comm B5), Introduction to Logic (Phil B7), </w:t>
      </w:r>
      <w:r w:rsidR="00A61E08" w:rsidRPr="00347697">
        <w:rPr>
          <w:rFonts w:ascii="Times New Roman" w:hAnsi="Times New Roman" w:cs="Times New Roman"/>
          <w:sz w:val="24"/>
          <w:szCs w:val="24"/>
        </w:rPr>
        <w:t>Critical Thinking and Advanced Composition (Phil B</w:t>
      </w:r>
      <w:r w:rsidR="003A6750">
        <w:rPr>
          <w:rFonts w:ascii="Times New Roman" w:hAnsi="Times New Roman" w:cs="Times New Roman"/>
          <w:sz w:val="24"/>
          <w:szCs w:val="24"/>
        </w:rPr>
        <w:t>9</w:t>
      </w:r>
      <w:r w:rsidR="00A61E08" w:rsidRPr="00347697">
        <w:rPr>
          <w:rFonts w:ascii="Times New Roman" w:hAnsi="Times New Roman" w:cs="Times New Roman"/>
          <w:sz w:val="24"/>
          <w:szCs w:val="24"/>
        </w:rPr>
        <w:t>)</w:t>
      </w:r>
      <w:r w:rsidR="00B05B6E" w:rsidRPr="00347697">
        <w:rPr>
          <w:rFonts w:ascii="Times New Roman" w:hAnsi="Times New Roman" w:cs="Times New Roman"/>
          <w:sz w:val="24"/>
          <w:szCs w:val="24"/>
        </w:rPr>
        <w:t>, or Research Methods for the Behavioral and Social Sciences (Psyc B6)</w:t>
      </w:r>
      <w:r w:rsidR="00A61E08" w:rsidRPr="00347697">
        <w:rPr>
          <w:rFonts w:ascii="Times New Roman" w:hAnsi="Times New Roman" w:cs="Times New Roman"/>
          <w:sz w:val="24"/>
          <w:szCs w:val="24"/>
        </w:rPr>
        <w:t xml:space="preserve">. </w:t>
      </w:r>
      <w:r w:rsidR="00C2688C" w:rsidRPr="00347697">
        <w:rPr>
          <w:rFonts w:ascii="Times New Roman" w:hAnsi="Times New Roman" w:cs="Times New Roman"/>
          <w:sz w:val="24"/>
          <w:szCs w:val="24"/>
        </w:rPr>
        <w:t xml:space="preserve"> </w:t>
      </w:r>
      <w:r w:rsidR="00A61E08" w:rsidRPr="00347697">
        <w:rPr>
          <w:rFonts w:ascii="Times New Roman" w:hAnsi="Times New Roman" w:cs="Times New Roman"/>
          <w:sz w:val="24"/>
          <w:szCs w:val="24"/>
        </w:rPr>
        <w:t xml:space="preserve">For the purposes of this study, completing any of these </w:t>
      </w:r>
      <w:r w:rsidR="00B05B6E" w:rsidRPr="00347697">
        <w:rPr>
          <w:rFonts w:ascii="Times New Roman" w:hAnsi="Times New Roman" w:cs="Times New Roman"/>
          <w:sz w:val="24"/>
          <w:szCs w:val="24"/>
        </w:rPr>
        <w:t>four</w:t>
      </w:r>
      <w:r w:rsidR="00A61E08" w:rsidRPr="00347697">
        <w:rPr>
          <w:rFonts w:ascii="Times New Roman" w:hAnsi="Times New Roman" w:cs="Times New Roman"/>
          <w:sz w:val="24"/>
          <w:szCs w:val="24"/>
        </w:rPr>
        <w:t xml:space="preserve"> courses will be described as </w:t>
      </w:r>
      <w:r w:rsidR="00625EAA" w:rsidRPr="00347697">
        <w:rPr>
          <w:rFonts w:ascii="Times New Roman" w:hAnsi="Times New Roman" w:cs="Times New Roman"/>
          <w:sz w:val="24"/>
          <w:szCs w:val="24"/>
        </w:rPr>
        <w:t>demonstrating</w:t>
      </w:r>
      <w:r w:rsidR="00C90169" w:rsidRPr="00347697">
        <w:rPr>
          <w:rFonts w:ascii="Times New Roman" w:hAnsi="Times New Roman" w:cs="Times New Roman"/>
          <w:sz w:val="24"/>
          <w:szCs w:val="24"/>
        </w:rPr>
        <w:t xml:space="preserve"> </w:t>
      </w:r>
      <w:r w:rsidR="00C90169" w:rsidRPr="00347697">
        <w:rPr>
          <w:rFonts w:ascii="Times New Roman" w:hAnsi="Times New Roman" w:cs="Times New Roman"/>
          <w:i/>
          <w:sz w:val="24"/>
          <w:szCs w:val="24"/>
        </w:rPr>
        <w:t xml:space="preserve">associate-level quantitative competency </w:t>
      </w:r>
      <w:r w:rsidR="00B7097C" w:rsidRPr="00347697">
        <w:rPr>
          <w:rFonts w:ascii="Times New Roman" w:hAnsi="Times New Roman" w:cs="Times New Roman"/>
          <w:i/>
          <w:sz w:val="24"/>
          <w:szCs w:val="24"/>
        </w:rPr>
        <w:t xml:space="preserve">by completing </w:t>
      </w:r>
      <w:r w:rsidR="00C90169" w:rsidRPr="00347697">
        <w:rPr>
          <w:rFonts w:ascii="Times New Roman" w:hAnsi="Times New Roman" w:cs="Times New Roman"/>
          <w:i/>
          <w:sz w:val="24"/>
          <w:szCs w:val="24"/>
        </w:rPr>
        <w:t xml:space="preserve">a </w:t>
      </w:r>
      <w:r w:rsidR="009B7741" w:rsidRPr="00347697">
        <w:rPr>
          <w:rFonts w:ascii="Times New Roman" w:hAnsi="Times New Roman" w:cs="Times New Roman"/>
          <w:i/>
          <w:sz w:val="24"/>
          <w:szCs w:val="24"/>
        </w:rPr>
        <w:t>qualifying</w:t>
      </w:r>
      <w:r w:rsidR="009B7741" w:rsidRPr="00347697">
        <w:rPr>
          <w:rFonts w:ascii="Times New Roman" w:hAnsi="Times New Roman" w:cs="Times New Roman"/>
          <w:sz w:val="24"/>
          <w:szCs w:val="24"/>
        </w:rPr>
        <w:t xml:space="preserve"> </w:t>
      </w:r>
      <w:r w:rsidR="00A61E08" w:rsidRPr="0072729B">
        <w:rPr>
          <w:rFonts w:ascii="Times New Roman" w:hAnsi="Times New Roman" w:cs="Times New Roman"/>
          <w:i/>
          <w:sz w:val="24"/>
          <w:szCs w:val="24"/>
          <w:u w:val="single"/>
        </w:rPr>
        <w:t>non-math</w:t>
      </w:r>
      <w:r w:rsidR="00A61E08" w:rsidRPr="00347697">
        <w:rPr>
          <w:rFonts w:ascii="Times New Roman" w:hAnsi="Times New Roman" w:cs="Times New Roman"/>
          <w:i/>
          <w:sz w:val="24"/>
          <w:szCs w:val="24"/>
        </w:rPr>
        <w:t xml:space="preserve"> </w:t>
      </w:r>
      <w:r w:rsidR="00C90169" w:rsidRPr="00347697">
        <w:rPr>
          <w:rFonts w:ascii="Times New Roman" w:hAnsi="Times New Roman" w:cs="Times New Roman"/>
          <w:i/>
          <w:sz w:val="24"/>
          <w:szCs w:val="24"/>
        </w:rPr>
        <w:t>course</w:t>
      </w:r>
      <w:r w:rsidR="00C90169" w:rsidRPr="00347697">
        <w:rPr>
          <w:rFonts w:ascii="Times New Roman" w:hAnsi="Times New Roman" w:cs="Times New Roman"/>
          <w:sz w:val="24"/>
          <w:szCs w:val="24"/>
        </w:rPr>
        <w:t xml:space="preserve">.  </w:t>
      </w:r>
    </w:p>
    <w:p w14:paraId="6B71BF5F" w14:textId="77777777" w:rsidR="00C2688C" w:rsidRPr="00347697" w:rsidRDefault="00C2688C" w:rsidP="00655F4E">
      <w:pPr>
        <w:spacing w:after="0" w:line="240" w:lineRule="auto"/>
        <w:rPr>
          <w:rFonts w:ascii="Times New Roman" w:hAnsi="Times New Roman" w:cs="Times New Roman"/>
          <w:sz w:val="24"/>
          <w:szCs w:val="24"/>
        </w:rPr>
      </w:pPr>
    </w:p>
    <w:p w14:paraId="05C792FB" w14:textId="2CD717F8" w:rsidR="00C2688C" w:rsidRPr="00347697" w:rsidRDefault="005D2B3E" w:rsidP="00655F4E">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Alternatively, students </w:t>
      </w:r>
      <w:r w:rsidR="00C90169" w:rsidRPr="00347697">
        <w:rPr>
          <w:rFonts w:ascii="Times New Roman" w:hAnsi="Times New Roman" w:cs="Times New Roman"/>
          <w:sz w:val="24"/>
          <w:szCs w:val="24"/>
        </w:rPr>
        <w:t xml:space="preserve">seeking </w:t>
      </w:r>
      <w:r w:rsidRPr="00347697">
        <w:rPr>
          <w:rFonts w:ascii="Times New Roman" w:hAnsi="Times New Roman" w:cs="Times New Roman"/>
          <w:sz w:val="24"/>
          <w:szCs w:val="24"/>
        </w:rPr>
        <w:t xml:space="preserve">an </w:t>
      </w:r>
      <w:r w:rsidR="00C90169" w:rsidRPr="00347697">
        <w:rPr>
          <w:rFonts w:ascii="Times New Roman" w:hAnsi="Times New Roman" w:cs="Times New Roman"/>
          <w:sz w:val="24"/>
          <w:szCs w:val="24"/>
        </w:rPr>
        <w:t xml:space="preserve">associate’s degree </w:t>
      </w:r>
      <w:r w:rsidRPr="00347697">
        <w:rPr>
          <w:rFonts w:ascii="Times New Roman" w:hAnsi="Times New Roman" w:cs="Times New Roman"/>
          <w:sz w:val="24"/>
          <w:szCs w:val="24"/>
        </w:rPr>
        <w:t>c</w:t>
      </w:r>
      <w:r w:rsidR="00B7097C" w:rsidRPr="00347697">
        <w:rPr>
          <w:rFonts w:ascii="Times New Roman" w:hAnsi="Times New Roman" w:cs="Times New Roman"/>
          <w:sz w:val="24"/>
          <w:szCs w:val="24"/>
        </w:rPr>
        <w:t>ould complete</w:t>
      </w:r>
      <w:r w:rsidRPr="00347697">
        <w:rPr>
          <w:rFonts w:ascii="Times New Roman" w:hAnsi="Times New Roman" w:cs="Times New Roman"/>
          <w:sz w:val="24"/>
          <w:szCs w:val="24"/>
        </w:rPr>
        <w:t xml:space="preserve"> either </w:t>
      </w:r>
      <w:r w:rsidR="00B7097C" w:rsidRPr="00347697">
        <w:rPr>
          <w:rFonts w:ascii="Times New Roman" w:hAnsi="Times New Roman" w:cs="Times New Roman"/>
          <w:sz w:val="24"/>
          <w:szCs w:val="24"/>
        </w:rPr>
        <w:t>I</w:t>
      </w:r>
      <w:r w:rsidRPr="00347697">
        <w:rPr>
          <w:rFonts w:ascii="Times New Roman" w:hAnsi="Times New Roman" w:cs="Times New Roman"/>
          <w:sz w:val="24"/>
          <w:szCs w:val="24"/>
        </w:rPr>
        <w:t xml:space="preserve">ntermediate </w:t>
      </w:r>
      <w:r w:rsidR="00B7097C" w:rsidRPr="00347697">
        <w:rPr>
          <w:rFonts w:ascii="Times New Roman" w:hAnsi="Times New Roman" w:cs="Times New Roman"/>
          <w:sz w:val="24"/>
          <w:szCs w:val="24"/>
        </w:rPr>
        <w:t>A</w:t>
      </w:r>
      <w:r w:rsidRPr="00347697">
        <w:rPr>
          <w:rFonts w:ascii="Times New Roman" w:hAnsi="Times New Roman" w:cs="Times New Roman"/>
          <w:sz w:val="24"/>
          <w:szCs w:val="24"/>
        </w:rPr>
        <w:t>lgebra (Math B70</w:t>
      </w:r>
      <w:r w:rsidR="00B7097C" w:rsidRPr="00347697">
        <w:rPr>
          <w:rFonts w:ascii="Times New Roman" w:hAnsi="Times New Roman" w:cs="Times New Roman"/>
          <w:sz w:val="24"/>
          <w:szCs w:val="24"/>
        </w:rPr>
        <w:t>)</w:t>
      </w:r>
      <w:r w:rsidRPr="00347697">
        <w:rPr>
          <w:rFonts w:ascii="Times New Roman" w:hAnsi="Times New Roman" w:cs="Times New Roman"/>
          <w:sz w:val="24"/>
          <w:szCs w:val="24"/>
        </w:rPr>
        <w:t xml:space="preserve"> or the </w:t>
      </w:r>
      <w:r w:rsidR="00B7097C" w:rsidRPr="00347697">
        <w:rPr>
          <w:rFonts w:ascii="Times New Roman" w:hAnsi="Times New Roman" w:cs="Times New Roman"/>
          <w:sz w:val="24"/>
          <w:szCs w:val="24"/>
        </w:rPr>
        <w:t>second half of LRNC B530</w:t>
      </w:r>
      <w:r w:rsidR="003A6750">
        <w:rPr>
          <w:rFonts w:ascii="Times New Roman" w:hAnsi="Times New Roman" w:cs="Times New Roman"/>
          <w:sz w:val="24"/>
          <w:szCs w:val="24"/>
        </w:rPr>
        <w:t xml:space="preserve"> (</w:t>
      </w:r>
      <w:r w:rsidR="003A6750" w:rsidRPr="00347697">
        <w:rPr>
          <w:rFonts w:ascii="Times New Roman" w:hAnsi="Times New Roman" w:cs="Times New Roman"/>
          <w:sz w:val="24"/>
          <w:szCs w:val="24"/>
        </w:rPr>
        <w:t>LRNC B530</w:t>
      </w:r>
      <w:r w:rsidR="003A6750" w:rsidRPr="0072729B">
        <w:rPr>
          <w:rFonts w:ascii="Times New Roman" w:hAnsi="Times New Roman" w:cs="Times New Roman"/>
          <w:i/>
          <w:sz w:val="24"/>
          <w:szCs w:val="24"/>
        </w:rPr>
        <w:t>s</w:t>
      </w:r>
      <w:r w:rsidR="003A6750">
        <w:rPr>
          <w:rFonts w:ascii="Times New Roman" w:hAnsi="Times New Roman" w:cs="Times New Roman"/>
          <w:sz w:val="24"/>
          <w:szCs w:val="24"/>
        </w:rPr>
        <w:t>)</w:t>
      </w:r>
      <w:r w:rsidR="00B7097C" w:rsidRPr="00347697">
        <w:rPr>
          <w:rFonts w:ascii="Times New Roman" w:hAnsi="Times New Roman" w:cs="Times New Roman"/>
          <w:sz w:val="24"/>
          <w:szCs w:val="24"/>
        </w:rPr>
        <w:t xml:space="preserve">, which also is Intermediate Algebra.  Completing either of these two courses will be described as </w:t>
      </w:r>
      <w:r w:rsidR="00625EAA" w:rsidRPr="00347697">
        <w:rPr>
          <w:rFonts w:ascii="Times New Roman" w:hAnsi="Times New Roman" w:cs="Times New Roman"/>
          <w:sz w:val="24"/>
          <w:szCs w:val="24"/>
        </w:rPr>
        <w:t>demonstrating</w:t>
      </w:r>
      <w:r w:rsidR="00B7097C" w:rsidRPr="00347697">
        <w:rPr>
          <w:rFonts w:ascii="Times New Roman" w:hAnsi="Times New Roman" w:cs="Times New Roman"/>
          <w:sz w:val="24"/>
          <w:szCs w:val="24"/>
        </w:rPr>
        <w:t xml:space="preserve"> </w:t>
      </w:r>
      <w:r w:rsidR="00B7097C" w:rsidRPr="00347697">
        <w:rPr>
          <w:rFonts w:ascii="Times New Roman" w:hAnsi="Times New Roman" w:cs="Times New Roman"/>
          <w:i/>
          <w:sz w:val="24"/>
          <w:szCs w:val="24"/>
        </w:rPr>
        <w:t xml:space="preserve">associate-level quantitative competency by completing a </w:t>
      </w:r>
      <w:r w:rsidR="009B7741" w:rsidRPr="00347697">
        <w:rPr>
          <w:rFonts w:ascii="Times New Roman" w:hAnsi="Times New Roman" w:cs="Times New Roman"/>
          <w:i/>
          <w:sz w:val="24"/>
          <w:szCs w:val="24"/>
        </w:rPr>
        <w:t>qualifying</w:t>
      </w:r>
      <w:r w:rsidR="009B7741" w:rsidRPr="00347697">
        <w:rPr>
          <w:rFonts w:ascii="Times New Roman" w:hAnsi="Times New Roman" w:cs="Times New Roman"/>
          <w:sz w:val="24"/>
          <w:szCs w:val="24"/>
        </w:rPr>
        <w:t xml:space="preserve"> </w:t>
      </w:r>
      <w:r w:rsidR="00B7097C" w:rsidRPr="0072729B">
        <w:rPr>
          <w:rFonts w:ascii="Times New Roman" w:hAnsi="Times New Roman" w:cs="Times New Roman"/>
          <w:i/>
          <w:sz w:val="24"/>
          <w:szCs w:val="24"/>
          <w:u w:val="single"/>
        </w:rPr>
        <w:t>math</w:t>
      </w:r>
      <w:r w:rsidR="00B7097C" w:rsidRPr="00347697">
        <w:rPr>
          <w:rFonts w:ascii="Times New Roman" w:hAnsi="Times New Roman" w:cs="Times New Roman"/>
          <w:i/>
          <w:sz w:val="24"/>
          <w:szCs w:val="24"/>
        </w:rPr>
        <w:t xml:space="preserve"> course</w:t>
      </w:r>
      <w:r w:rsidR="00702DAE" w:rsidRPr="00347697">
        <w:rPr>
          <w:rFonts w:ascii="Times New Roman" w:hAnsi="Times New Roman" w:cs="Times New Roman"/>
          <w:sz w:val="24"/>
          <w:szCs w:val="24"/>
        </w:rPr>
        <w:t>.</w:t>
      </w:r>
      <w:r w:rsidR="00702DAE">
        <w:rPr>
          <w:rFonts w:ascii="Times New Roman" w:hAnsi="Times New Roman" w:cs="Times New Roman"/>
          <w:sz w:val="24"/>
          <w:szCs w:val="24"/>
        </w:rPr>
        <w:t xml:space="preserve">  </w:t>
      </w:r>
      <w:r w:rsidR="002D6838">
        <w:rPr>
          <w:rFonts w:ascii="Times New Roman" w:hAnsi="Times New Roman" w:cs="Times New Roman"/>
          <w:sz w:val="24"/>
          <w:szCs w:val="24"/>
        </w:rPr>
        <w:t>These courses position student</w:t>
      </w:r>
      <w:r w:rsidR="00EF6F61">
        <w:rPr>
          <w:rFonts w:ascii="Times New Roman" w:hAnsi="Times New Roman" w:cs="Times New Roman"/>
          <w:sz w:val="24"/>
          <w:szCs w:val="24"/>
        </w:rPr>
        <w:t>s</w:t>
      </w:r>
      <w:r w:rsidR="002D6838">
        <w:rPr>
          <w:rFonts w:ascii="Times New Roman" w:hAnsi="Times New Roman" w:cs="Times New Roman"/>
          <w:sz w:val="24"/>
          <w:szCs w:val="24"/>
        </w:rPr>
        <w:t xml:space="preserve"> to continue to </w:t>
      </w:r>
      <w:r w:rsidR="003A6750">
        <w:rPr>
          <w:rFonts w:ascii="Times New Roman" w:hAnsi="Times New Roman" w:cs="Times New Roman"/>
          <w:sz w:val="24"/>
          <w:szCs w:val="24"/>
        </w:rPr>
        <w:t xml:space="preserve">a </w:t>
      </w:r>
      <w:r w:rsidR="002D6838">
        <w:rPr>
          <w:rFonts w:ascii="Times New Roman" w:hAnsi="Times New Roman" w:cs="Times New Roman"/>
          <w:sz w:val="24"/>
          <w:szCs w:val="24"/>
        </w:rPr>
        <w:t>transf</w:t>
      </w:r>
      <w:r w:rsidR="003A6750">
        <w:rPr>
          <w:rFonts w:ascii="Times New Roman" w:hAnsi="Times New Roman" w:cs="Times New Roman"/>
          <w:sz w:val="24"/>
          <w:szCs w:val="24"/>
        </w:rPr>
        <w:t>er-level quantitative course</w:t>
      </w:r>
      <w:r w:rsidR="002D6838">
        <w:rPr>
          <w:rFonts w:ascii="Times New Roman" w:hAnsi="Times New Roman" w:cs="Times New Roman"/>
          <w:sz w:val="24"/>
          <w:szCs w:val="24"/>
        </w:rPr>
        <w:t xml:space="preserve"> if they choose to do so.</w:t>
      </w:r>
      <w:r w:rsidR="00B7097C" w:rsidRPr="00347697">
        <w:rPr>
          <w:rFonts w:ascii="Times New Roman" w:hAnsi="Times New Roman" w:cs="Times New Roman"/>
          <w:sz w:val="24"/>
          <w:szCs w:val="24"/>
        </w:rPr>
        <w:t xml:space="preserve">  </w:t>
      </w:r>
    </w:p>
    <w:p w14:paraId="42449D04" w14:textId="77777777" w:rsidR="00C2688C" w:rsidRPr="00347697" w:rsidRDefault="00C2688C" w:rsidP="00655F4E">
      <w:pPr>
        <w:spacing w:after="0" w:line="240" w:lineRule="auto"/>
        <w:rPr>
          <w:rFonts w:ascii="Times New Roman" w:hAnsi="Times New Roman" w:cs="Times New Roman"/>
          <w:sz w:val="24"/>
          <w:szCs w:val="24"/>
        </w:rPr>
      </w:pPr>
    </w:p>
    <w:p w14:paraId="066DAD51" w14:textId="40CF1C89" w:rsidR="00C22646" w:rsidRPr="00347697" w:rsidRDefault="00B7097C" w:rsidP="00655F4E">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Finally, BC offers a range of course through which student</w:t>
      </w:r>
      <w:r w:rsidR="00C2688C" w:rsidRPr="00347697">
        <w:rPr>
          <w:rFonts w:ascii="Times New Roman" w:hAnsi="Times New Roman" w:cs="Times New Roman"/>
          <w:sz w:val="24"/>
          <w:szCs w:val="24"/>
        </w:rPr>
        <w:t>s</w:t>
      </w:r>
      <w:r w:rsidRPr="00347697">
        <w:rPr>
          <w:rFonts w:ascii="Times New Roman" w:hAnsi="Times New Roman" w:cs="Times New Roman"/>
          <w:sz w:val="24"/>
          <w:szCs w:val="24"/>
        </w:rPr>
        <w:t xml:space="preserve"> can demonstrate </w:t>
      </w:r>
      <w:r w:rsidRPr="00347697">
        <w:rPr>
          <w:rFonts w:ascii="Times New Roman" w:hAnsi="Times New Roman" w:cs="Times New Roman"/>
          <w:i/>
          <w:sz w:val="24"/>
          <w:szCs w:val="24"/>
        </w:rPr>
        <w:t xml:space="preserve">transfer-level </w:t>
      </w:r>
      <w:r w:rsidR="00665F8B" w:rsidRPr="00347697">
        <w:rPr>
          <w:rFonts w:ascii="Times New Roman" w:hAnsi="Times New Roman" w:cs="Times New Roman"/>
          <w:i/>
          <w:sz w:val="24"/>
          <w:szCs w:val="24"/>
        </w:rPr>
        <w:t xml:space="preserve">quantitative </w:t>
      </w:r>
      <w:r w:rsidRPr="00347697">
        <w:rPr>
          <w:rFonts w:ascii="Times New Roman" w:hAnsi="Times New Roman" w:cs="Times New Roman"/>
          <w:i/>
          <w:sz w:val="24"/>
          <w:szCs w:val="24"/>
        </w:rPr>
        <w:t>competency</w:t>
      </w:r>
      <w:r w:rsidR="00C2688C" w:rsidRPr="00347697">
        <w:rPr>
          <w:rFonts w:ascii="Times New Roman" w:hAnsi="Times New Roman" w:cs="Times New Roman"/>
          <w:sz w:val="24"/>
          <w:szCs w:val="24"/>
        </w:rPr>
        <w:t xml:space="preserve">.  Among these are </w:t>
      </w:r>
      <w:r w:rsidR="00665F8B" w:rsidRPr="00347697">
        <w:rPr>
          <w:rFonts w:ascii="Times New Roman" w:hAnsi="Times New Roman" w:cs="Times New Roman"/>
          <w:sz w:val="24"/>
          <w:szCs w:val="24"/>
        </w:rPr>
        <w:t xml:space="preserve">Math B1A, </w:t>
      </w:r>
      <w:r w:rsidR="003E27C5" w:rsidRPr="00347697">
        <w:rPr>
          <w:rFonts w:ascii="Times New Roman" w:hAnsi="Times New Roman" w:cs="Times New Roman"/>
          <w:sz w:val="24"/>
          <w:szCs w:val="24"/>
        </w:rPr>
        <w:t xml:space="preserve">Math B22, Math B23, </w:t>
      </w:r>
      <w:r w:rsidR="009B54F7" w:rsidRPr="00347697">
        <w:rPr>
          <w:rFonts w:ascii="Times New Roman" w:hAnsi="Times New Roman" w:cs="Times New Roman"/>
          <w:sz w:val="24"/>
          <w:szCs w:val="24"/>
        </w:rPr>
        <w:t xml:space="preserve">Psyc B5, </w:t>
      </w:r>
      <w:r w:rsidR="00665F8B" w:rsidRPr="00347697">
        <w:rPr>
          <w:rFonts w:ascii="Times New Roman" w:hAnsi="Times New Roman" w:cs="Times New Roman"/>
          <w:sz w:val="24"/>
          <w:szCs w:val="24"/>
        </w:rPr>
        <w:t xml:space="preserve">and others.  </w:t>
      </w:r>
    </w:p>
    <w:p w14:paraId="3D6704B7" w14:textId="77777777" w:rsidR="00C22646" w:rsidRPr="00347697" w:rsidRDefault="00C22646" w:rsidP="00655F4E">
      <w:pPr>
        <w:spacing w:after="0" w:line="240" w:lineRule="auto"/>
        <w:rPr>
          <w:rFonts w:ascii="Times New Roman" w:hAnsi="Times New Roman" w:cs="Times New Roman"/>
          <w:sz w:val="24"/>
          <w:szCs w:val="24"/>
        </w:rPr>
      </w:pPr>
    </w:p>
    <w:p w14:paraId="75333707" w14:textId="73BEE665" w:rsidR="00655F4E" w:rsidRPr="00347697" w:rsidRDefault="00665F8B" w:rsidP="00655F4E">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Table 2 provides that percentage of students who entered the math curriculum through a particular course and subsequently demonstrated quantitative competency through one of the </w:t>
      </w:r>
      <w:r w:rsidR="00EF6F61">
        <w:rPr>
          <w:rFonts w:ascii="Times New Roman" w:hAnsi="Times New Roman" w:cs="Times New Roman"/>
          <w:sz w:val="24"/>
          <w:szCs w:val="24"/>
        </w:rPr>
        <w:t>methods</w:t>
      </w:r>
      <w:r w:rsidR="00EF6F61" w:rsidRPr="00347697">
        <w:rPr>
          <w:rFonts w:ascii="Times New Roman" w:hAnsi="Times New Roman" w:cs="Times New Roman"/>
          <w:sz w:val="24"/>
          <w:szCs w:val="24"/>
        </w:rPr>
        <w:t xml:space="preserve"> </w:t>
      </w:r>
      <w:r w:rsidRPr="00347697">
        <w:rPr>
          <w:rFonts w:ascii="Times New Roman" w:hAnsi="Times New Roman" w:cs="Times New Roman"/>
          <w:sz w:val="24"/>
          <w:szCs w:val="24"/>
        </w:rPr>
        <w:t>described here</w:t>
      </w:r>
      <w:r w:rsidR="005A6B2D" w:rsidRPr="00347697">
        <w:rPr>
          <w:rFonts w:ascii="Times New Roman" w:hAnsi="Times New Roman" w:cs="Times New Roman"/>
          <w:sz w:val="24"/>
          <w:szCs w:val="24"/>
        </w:rPr>
        <w:t xml:space="preserve">, or else did not demonstrate quantitative competency.  Note that each </w:t>
      </w:r>
      <w:r w:rsidRPr="00347697">
        <w:rPr>
          <w:rFonts w:ascii="Times New Roman" w:hAnsi="Times New Roman" w:cs="Times New Roman"/>
          <w:sz w:val="24"/>
          <w:szCs w:val="24"/>
        </w:rPr>
        <w:t xml:space="preserve">student is assigned </w:t>
      </w:r>
      <w:r w:rsidR="003858E8" w:rsidRPr="00347697">
        <w:rPr>
          <w:rFonts w:ascii="Times New Roman" w:hAnsi="Times New Roman" w:cs="Times New Roman"/>
          <w:sz w:val="24"/>
          <w:szCs w:val="24"/>
        </w:rPr>
        <w:t xml:space="preserve">to </w:t>
      </w:r>
      <w:r w:rsidRPr="00347697">
        <w:rPr>
          <w:rFonts w:ascii="Times New Roman" w:hAnsi="Times New Roman" w:cs="Times New Roman"/>
          <w:sz w:val="24"/>
          <w:szCs w:val="24"/>
        </w:rPr>
        <w:t xml:space="preserve">only one </w:t>
      </w:r>
      <w:r w:rsidR="005A6B2D" w:rsidRPr="00347697">
        <w:rPr>
          <w:rFonts w:ascii="Times New Roman" w:hAnsi="Times New Roman" w:cs="Times New Roman"/>
          <w:sz w:val="24"/>
          <w:szCs w:val="24"/>
        </w:rPr>
        <w:t xml:space="preserve">category of quantitative competency, with </w:t>
      </w:r>
      <w:r w:rsidR="00A143BA" w:rsidRPr="00347697">
        <w:rPr>
          <w:rFonts w:ascii="Times New Roman" w:hAnsi="Times New Roman" w:cs="Times New Roman"/>
          <w:sz w:val="24"/>
          <w:szCs w:val="24"/>
        </w:rPr>
        <w:t xml:space="preserve">preference given to the highest competency </w:t>
      </w:r>
      <w:r w:rsidR="00131A81" w:rsidRPr="00347697">
        <w:rPr>
          <w:rFonts w:ascii="Times New Roman" w:hAnsi="Times New Roman" w:cs="Times New Roman"/>
          <w:sz w:val="24"/>
          <w:szCs w:val="24"/>
        </w:rPr>
        <w:t>demonstrated</w:t>
      </w:r>
      <w:r w:rsidR="00A143BA" w:rsidRPr="00347697">
        <w:rPr>
          <w:rFonts w:ascii="Times New Roman" w:hAnsi="Times New Roman" w:cs="Times New Roman"/>
          <w:sz w:val="24"/>
          <w:szCs w:val="24"/>
        </w:rPr>
        <w:t xml:space="preserve"> by each student.  For example, a student who completed both Math B70 and Math B1A would be counted as having </w:t>
      </w:r>
      <w:r w:rsidR="00131A81" w:rsidRPr="00347697">
        <w:rPr>
          <w:rFonts w:ascii="Times New Roman" w:hAnsi="Times New Roman" w:cs="Times New Roman"/>
          <w:sz w:val="24"/>
          <w:szCs w:val="24"/>
        </w:rPr>
        <w:t>demonstrated</w:t>
      </w:r>
      <w:r w:rsidR="00A143BA" w:rsidRPr="00347697">
        <w:rPr>
          <w:rFonts w:ascii="Times New Roman" w:hAnsi="Times New Roman" w:cs="Times New Roman"/>
          <w:sz w:val="24"/>
          <w:szCs w:val="24"/>
        </w:rPr>
        <w:t xml:space="preserve"> </w:t>
      </w:r>
      <w:r w:rsidR="00A143BA" w:rsidRPr="00347697">
        <w:rPr>
          <w:rFonts w:ascii="Times New Roman" w:hAnsi="Times New Roman" w:cs="Times New Roman"/>
          <w:i/>
          <w:sz w:val="24"/>
          <w:szCs w:val="24"/>
        </w:rPr>
        <w:t>transfer-level quantitative competency</w:t>
      </w:r>
      <w:r w:rsidR="00716177">
        <w:rPr>
          <w:rFonts w:ascii="Times New Roman" w:hAnsi="Times New Roman" w:cs="Times New Roman"/>
          <w:sz w:val="24"/>
          <w:szCs w:val="24"/>
        </w:rPr>
        <w:t xml:space="preserve"> </w:t>
      </w:r>
      <w:r w:rsidR="00716177" w:rsidRPr="00347697">
        <w:rPr>
          <w:rFonts w:ascii="Times New Roman" w:hAnsi="Times New Roman" w:cs="Times New Roman"/>
          <w:sz w:val="24"/>
          <w:szCs w:val="24"/>
        </w:rPr>
        <w:t xml:space="preserve">(as opposed to </w:t>
      </w:r>
      <w:r w:rsidR="00716177">
        <w:rPr>
          <w:rFonts w:ascii="Times New Roman" w:hAnsi="Times New Roman" w:cs="Times New Roman"/>
          <w:sz w:val="24"/>
          <w:szCs w:val="24"/>
        </w:rPr>
        <w:t>associate-level competency</w:t>
      </w:r>
      <w:r w:rsidR="00716177" w:rsidRPr="00347697">
        <w:rPr>
          <w:rFonts w:ascii="Times New Roman" w:hAnsi="Times New Roman" w:cs="Times New Roman"/>
          <w:sz w:val="24"/>
          <w:szCs w:val="24"/>
        </w:rPr>
        <w:t>)</w:t>
      </w:r>
      <w:r w:rsidR="0052713F" w:rsidRPr="00347697">
        <w:rPr>
          <w:rFonts w:ascii="Times New Roman" w:hAnsi="Times New Roman" w:cs="Times New Roman"/>
          <w:sz w:val="24"/>
          <w:szCs w:val="24"/>
        </w:rPr>
        <w:t>.  A</w:t>
      </w:r>
      <w:r w:rsidR="00A143BA" w:rsidRPr="00347697">
        <w:rPr>
          <w:rFonts w:ascii="Times New Roman" w:hAnsi="Times New Roman" w:cs="Times New Roman"/>
          <w:sz w:val="24"/>
          <w:szCs w:val="24"/>
        </w:rPr>
        <w:t xml:space="preserve"> student who completed </w:t>
      </w:r>
      <w:r w:rsidR="0052713F" w:rsidRPr="00347697">
        <w:rPr>
          <w:rFonts w:ascii="Times New Roman" w:hAnsi="Times New Roman" w:cs="Times New Roman"/>
          <w:sz w:val="24"/>
          <w:szCs w:val="24"/>
        </w:rPr>
        <w:t>both</w:t>
      </w:r>
      <w:r w:rsidR="00A143BA" w:rsidRPr="00347697">
        <w:rPr>
          <w:rFonts w:ascii="Times New Roman" w:hAnsi="Times New Roman" w:cs="Times New Roman"/>
          <w:sz w:val="24"/>
          <w:szCs w:val="24"/>
        </w:rPr>
        <w:t xml:space="preserve"> Math B70 and Comm B5 would be counted as having </w:t>
      </w:r>
      <w:r w:rsidR="00131A81" w:rsidRPr="00347697">
        <w:rPr>
          <w:rFonts w:ascii="Times New Roman" w:hAnsi="Times New Roman" w:cs="Times New Roman"/>
          <w:sz w:val="24"/>
          <w:szCs w:val="24"/>
        </w:rPr>
        <w:t>demonstrated</w:t>
      </w:r>
      <w:r w:rsidR="00A143BA" w:rsidRPr="00347697">
        <w:rPr>
          <w:rFonts w:ascii="Times New Roman" w:hAnsi="Times New Roman" w:cs="Times New Roman"/>
          <w:sz w:val="24"/>
          <w:szCs w:val="24"/>
        </w:rPr>
        <w:t xml:space="preserve"> associate-level quantitative competency by completing </w:t>
      </w:r>
      <w:r w:rsidR="00A143BA" w:rsidRPr="00347697">
        <w:rPr>
          <w:rFonts w:ascii="Times New Roman" w:hAnsi="Times New Roman" w:cs="Times New Roman"/>
          <w:i/>
          <w:sz w:val="24"/>
          <w:szCs w:val="24"/>
        </w:rPr>
        <w:t xml:space="preserve">a </w:t>
      </w:r>
      <w:r w:rsidR="0052713F" w:rsidRPr="00347697">
        <w:rPr>
          <w:rFonts w:ascii="Times New Roman" w:hAnsi="Times New Roman" w:cs="Times New Roman"/>
          <w:i/>
          <w:sz w:val="24"/>
          <w:szCs w:val="24"/>
        </w:rPr>
        <w:t xml:space="preserve">qualifying </w:t>
      </w:r>
      <w:r w:rsidR="00A143BA" w:rsidRPr="00347697">
        <w:rPr>
          <w:rFonts w:ascii="Times New Roman" w:hAnsi="Times New Roman" w:cs="Times New Roman"/>
          <w:i/>
          <w:sz w:val="24"/>
          <w:szCs w:val="24"/>
        </w:rPr>
        <w:t>math course</w:t>
      </w:r>
      <w:r w:rsidR="0052713F" w:rsidRPr="00347697">
        <w:rPr>
          <w:rFonts w:ascii="Times New Roman" w:hAnsi="Times New Roman" w:cs="Times New Roman"/>
          <w:sz w:val="24"/>
          <w:szCs w:val="24"/>
        </w:rPr>
        <w:t xml:space="preserve"> (as opposed to a qualifying non-math course)</w:t>
      </w:r>
      <w:r w:rsidR="00A143BA" w:rsidRPr="00347697">
        <w:rPr>
          <w:rFonts w:ascii="Times New Roman" w:hAnsi="Times New Roman" w:cs="Times New Roman"/>
          <w:sz w:val="24"/>
          <w:szCs w:val="24"/>
        </w:rPr>
        <w:t xml:space="preserve">.  </w:t>
      </w:r>
    </w:p>
    <w:p w14:paraId="6D8291CC" w14:textId="77777777" w:rsidR="00A143BA" w:rsidRPr="00347697" w:rsidRDefault="00A143BA" w:rsidP="00655F4E">
      <w:pPr>
        <w:spacing w:after="0" w:line="240" w:lineRule="auto"/>
        <w:rPr>
          <w:rFonts w:ascii="Times New Roman" w:hAnsi="Times New Roman" w:cs="Times New Roman"/>
          <w:sz w:val="24"/>
          <w:szCs w:val="24"/>
        </w:rPr>
      </w:pPr>
    </w:p>
    <w:p w14:paraId="1C9BF876" w14:textId="1BF6DF46" w:rsidR="007F3C96" w:rsidRPr="00347697" w:rsidRDefault="00511F89" w:rsidP="00655F4E">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The only developmental entry points through which a majority of students </w:t>
      </w:r>
      <w:r w:rsidR="00962323" w:rsidRPr="00347697">
        <w:rPr>
          <w:rFonts w:ascii="Times New Roman" w:hAnsi="Times New Roman" w:cs="Times New Roman"/>
          <w:sz w:val="24"/>
          <w:szCs w:val="24"/>
        </w:rPr>
        <w:t>achieve</w:t>
      </w:r>
      <w:r w:rsidR="00625EAA" w:rsidRPr="00347697">
        <w:rPr>
          <w:rFonts w:ascii="Times New Roman" w:hAnsi="Times New Roman" w:cs="Times New Roman"/>
          <w:sz w:val="24"/>
          <w:szCs w:val="24"/>
        </w:rPr>
        <w:t xml:space="preserve"> </w:t>
      </w:r>
      <w:r w:rsidRPr="00347697">
        <w:rPr>
          <w:rFonts w:ascii="Times New Roman" w:hAnsi="Times New Roman" w:cs="Times New Roman"/>
          <w:sz w:val="24"/>
          <w:szCs w:val="24"/>
        </w:rPr>
        <w:t>quantitative competency are LRNC B530</w:t>
      </w:r>
      <w:r w:rsidR="002D6838" w:rsidRPr="0072729B">
        <w:rPr>
          <w:rFonts w:ascii="Times New Roman" w:hAnsi="Times New Roman" w:cs="Times New Roman"/>
          <w:i/>
          <w:sz w:val="24"/>
          <w:szCs w:val="24"/>
        </w:rPr>
        <w:t>f</w:t>
      </w:r>
      <w:r w:rsidRPr="00347697">
        <w:rPr>
          <w:rFonts w:ascii="Times New Roman" w:hAnsi="Times New Roman" w:cs="Times New Roman"/>
          <w:sz w:val="24"/>
          <w:szCs w:val="24"/>
        </w:rPr>
        <w:t xml:space="preserve"> and Math B70.  </w:t>
      </w:r>
      <w:r w:rsidR="00EF6F61">
        <w:rPr>
          <w:rFonts w:ascii="Times New Roman" w:hAnsi="Times New Roman" w:cs="Times New Roman"/>
          <w:sz w:val="24"/>
          <w:szCs w:val="24"/>
        </w:rPr>
        <w:t>More than</w:t>
      </w:r>
      <w:r w:rsidR="00EF6F61" w:rsidRPr="00347697">
        <w:rPr>
          <w:rFonts w:ascii="Times New Roman" w:hAnsi="Times New Roman" w:cs="Times New Roman"/>
          <w:sz w:val="24"/>
          <w:szCs w:val="24"/>
        </w:rPr>
        <w:t xml:space="preserve"> </w:t>
      </w:r>
      <w:r w:rsidRPr="00347697">
        <w:rPr>
          <w:rFonts w:ascii="Times New Roman" w:hAnsi="Times New Roman" w:cs="Times New Roman"/>
          <w:sz w:val="24"/>
          <w:szCs w:val="24"/>
        </w:rPr>
        <w:t xml:space="preserve">two-thirds of students </w:t>
      </w:r>
      <w:r w:rsidR="00962323" w:rsidRPr="00347697">
        <w:rPr>
          <w:rFonts w:ascii="Times New Roman" w:hAnsi="Times New Roman" w:cs="Times New Roman"/>
          <w:sz w:val="24"/>
          <w:szCs w:val="24"/>
        </w:rPr>
        <w:t>(</w:t>
      </w:r>
      <w:r w:rsidR="00EF6F61" w:rsidRPr="00347697">
        <w:rPr>
          <w:rFonts w:ascii="Times New Roman" w:hAnsi="Times New Roman" w:cs="Times New Roman"/>
          <w:sz w:val="24"/>
          <w:szCs w:val="24"/>
        </w:rPr>
        <w:t>6</w:t>
      </w:r>
      <w:r w:rsidR="00EF6F61">
        <w:rPr>
          <w:rFonts w:ascii="Times New Roman" w:hAnsi="Times New Roman" w:cs="Times New Roman"/>
          <w:sz w:val="24"/>
          <w:szCs w:val="24"/>
        </w:rPr>
        <w:t>9</w:t>
      </w:r>
      <w:r w:rsidR="00962323" w:rsidRPr="00347697">
        <w:rPr>
          <w:rFonts w:ascii="Times New Roman" w:hAnsi="Times New Roman" w:cs="Times New Roman"/>
          <w:sz w:val="24"/>
          <w:szCs w:val="24"/>
        </w:rPr>
        <w:t xml:space="preserve">% and 68%, respectively) </w:t>
      </w:r>
      <w:r w:rsidRPr="00347697">
        <w:rPr>
          <w:rFonts w:ascii="Times New Roman" w:hAnsi="Times New Roman" w:cs="Times New Roman"/>
          <w:sz w:val="24"/>
          <w:szCs w:val="24"/>
        </w:rPr>
        <w:t xml:space="preserve">who enter the math curriculum through </w:t>
      </w:r>
      <w:r w:rsidR="00962323" w:rsidRPr="00347697">
        <w:rPr>
          <w:rFonts w:ascii="Times New Roman" w:hAnsi="Times New Roman" w:cs="Times New Roman"/>
          <w:sz w:val="24"/>
          <w:szCs w:val="24"/>
        </w:rPr>
        <w:t xml:space="preserve">LRNC </w:t>
      </w:r>
      <w:r w:rsidR="002D6838" w:rsidRPr="00347697">
        <w:rPr>
          <w:rFonts w:ascii="Times New Roman" w:hAnsi="Times New Roman" w:cs="Times New Roman"/>
          <w:sz w:val="24"/>
          <w:szCs w:val="24"/>
        </w:rPr>
        <w:t>B530</w:t>
      </w:r>
      <w:r w:rsidR="002D6838" w:rsidRPr="00972882">
        <w:rPr>
          <w:rFonts w:ascii="Times New Roman" w:hAnsi="Times New Roman" w:cs="Times New Roman"/>
          <w:i/>
          <w:sz w:val="24"/>
          <w:szCs w:val="24"/>
        </w:rPr>
        <w:t>f</w:t>
      </w:r>
      <w:r w:rsidR="002D6838" w:rsidRPr="00347697">
        <w:rPr>
          <w:rFonts w:ascii="Times New Roman" w:hAnsi="Times New Roman" w:cs="Times New Roman"/>
          <w:sz w:val="24"/>
          <w:szCs w:val="24"/>
        </w:rPr>
        <w:t xml:space="preserve"> </w:t>
      </w:r>
      <w:r w:rsidR="00962323" w:rsidRPr="00347697">
        <w:rPr>
          <w:rFonts w:ascii="Times New Roman" w:hAnsi="Times New Roman" w:cs="Times New Roman"/>
          <w:sz w:val="24"/>
          <w:szCs w:val="24"/>
        </w:rPr>
        <w:t>or Math B70 achieve</w:t>
      </w:r>
      <w:r w:rsidRPr="00347697">
        <w:rPr>
          <w:rFonts w:ascii="Times New Roman" w:hAnsi="Times New Roman" w:cs="Times New Roman"/>
          <w:sz w:val="24"/>
          <w:szCs w:val="24"/>
        </w:rPr>
        <w:t xml:space="preserve"> quantitative competency.  </w:t>
      </w:r>
      <w:r w:rsidR="00EF6F61">
        <w:rPr>
          <w:rFonts w:ascii="Times New Roman" w:hAnsi="Times New Roman" w:cs="Times New Roman"/>
          <w:sz w:val="24"/>
          <w:szCs w:val="24"/>
        </w:rPr>
        <w:t xml:space="preserve">Of the </w:t>
      </w:r>
      <w:r w:rsidRPr="00347697">
        <w:rPr>
          <w:rFonts w:ascii="Times New Roman" w:hAnsi="Times New Roman" w:cs="Times New Roman"/>
          <w:sz w:val="24"/>
          <w:szCs w:val="24"/>
        </w:rPr>
        <w:t>two entry points</w:t>
      </w:r>
      <w:r w:rsidR="00EF6F61">
        <w:rPr>
          <w:rFonts w:ascii="Times New Roman" w:hAnsi="Times New Roman" w:cs="Times New Roman"/>
          <w:sz w:val="24"/>
          <w:szCs w:val="24"/>
        </w:rPr>
        <w:t xml:space="preserve">, </w:t>
      </w:r>
      <w:r w:rsidR="00EF6F61" w:rsidRPr="00347697">
        <w:rPr>
          <w:rFonts w:ascii="Times New Roman" w:hAnsi="Times New Roman" w:cs="Times New Roman"/>
          <w:sz w:val="24"/>
          <w:szCs w:val="24"/>
        </w:rPr>
        <w:t>LRNC B530</w:t>
      </w:r>
      <w:r w:rsidR="00EF6F61" w:rsidRPr="00972882">
        <w:rPr>
          <w:rFonts w:ascii="Times New Roman" w:hAnsi="Times New Roman" w:cs="Times New Roman"/>
          <w:i/>
          <w:sz w:val="24"/>
          <w:szCs w:val="24"/>
        </w:rPr>
        <w:t>f</w:t>
      </w:r>
      <w:r w:rsidRPr="00347697">
        <w:rPr>
          <w:rFonts w:ascii="Times New Roman" w:hAnsi="Times New Roman" w:cs="Times New Roman"/>
          <w:sz w:val="24"/>
          <w:szCs w:val="24"/>
        </w:rPr>
        <w:t xml:space="preserve"> </w:t>
      </w:r>
      <w:r w:rsidR="00EF6F61">
        <w:rPr>
          <w:rFonts w:ascii="Times New Roman" w:hAnsi="Times New Roman" w:cs="Times New Roman"/>
          <w:sz w:val="24"/>
          <w:szCs w:val="24"/>
        </w:rPr>
        <w:t xml:space="preserve">students are more likely to </w:t>
      </w:r>
      <w:r w:rsidR="00EF6F61">
        <w:rPr>
          <w:rFonts w:ascii="Times New Roman" w:hAnsi="Times New Roman" w:cs="Times New Roman"/>
          <w:sz w:val="24"/>
          <w:szCs w:val="24"/>
        </w:rPr>
        <w:lastRenderedPageBreak/>
        <w:t xml:space="preserve">demonstrate </w:t>
      </w:r>
      <w:r w:rsidR="00EF6F61" w:rsidRPr="00347697">
        <w:rPr>
          <w:rFonts w:ascii="Times New Roman" w:hAnsi="Times New Roman" w:cs="Times New Roman"/>
          <w:sz w:val="24"/>
          <w:szCs w:val="24"/>
        </w:rPr>
        <w:t xml:space="preserve">transfer-level competency </w:t>
      </w:r>
      <w:r w:rsidR="00EF6F61">
        <w:rPr>
          <w:rFonts w:ascii="Times New Roman" w:hAnsi="Times New Roman" w:cs="Times New Roman"/>
          <w:sz w:val="24"/>
          <w:szCs w:val="24"/>
        </w:rPr>
        <w:t xml:space="preserve">(38% versus 30%), while </w:t>
      </w:r>
      <w:r w:rsidR="00EF6F61" w:rsidRPr="00347697">
        <w:rPr>
          <w:rFonts w:ascii="Times New Roman" w:hAnsi="Times New Roman" w:cs="Times New Roman"/>
          <w:sz w:val="24"/>
          <w:szCs w:val="24"/>
        </w:rPr>
        <w:t>Math B70</w:t>
      </w:r>
      <w:r w:rsidR="00EF6F61">
        <w:rPr>
          <w:rFonts w:ascii="Times New Roman" w:hAnsi="Times New Roman" w:cs="Times New Roman"/>
          <w:sz w:val="24"/>
          <w:szCs w:val="24"/>
        </w:rPr>
        <w:t xml:space="preserve"> </w:t>
      </w:r>
      <w:r w:rsidRPr="00347697">
        <w:rPr>
          <w:rFonts w:ascii="Times New Roman" w:hAnsi="Times New Roman" w:cs="Times New Roman"/>
          <w:sz w:val="24"/>
          <w:szCs w:val="24"/>
        </w:rPr>
        <w:t xml:space="preserve">are </w:t>
      </w:r>
      <w:r w:rsidR="007F6B0F">
        <w:rPr>
          <w:rFonts w:ascii="Times New Roman" w:hAnsi="Times New Roman" w:cs="Times New Roman"/>
          <w:sz w:val="24"/>
          <w:szCs w:val="24"/>
        </w:rPr>
        <w:t>more likely to demonstrate</w:t>
      </w:r>
      <w:r w:rsidR="007F6B0F" w:rsidRPr="00347697">
        <w:rPr>
          <w:rFonts w:ascii="Times New Roman" w:hAnsi="Times New Roman" w:cs="Times New Roman"/>
          <w:sz w:val="24"/>
          <w:szCs w:val="24"/>
        </w:rPr>
        <w:t xml:space="preserve"> quantitative competency at the associate-level by completing a qualifying math course</w:t>
      </w:r>
      <w:r w:rsidR="007F6B0F">
        <w:rPr>
          <w:rFonts w:ascii="Times New Roman" w:hAnsi="Times New Roman" w:cs="Times New Roman"/>
          <w:sz w:val="24"/>
          <w:szCs w:val="24"/>
        </w:rPr>
        <w:t xml:space="preserve"> (34% versus 25%).</w:t>
      </w:r>
      <w:r w:rsidRPr="00347697">
        <w:rPr>
          <w:rFonts w:ascii="Times New Roman" w:hAnsi="Times New Roman" w:cs="Times New Roman"/>
          <w:sz w:val="24"/>
          <w:szCs w:val="24"/>
        </w:rPr>
        <w:t xml:space="preserve">  </w:t>
      </w:r>
    </w:p>
    <w:p w14:paraId="69AF85C4" w14:textId="77777777" w:rsidR="00177D55" w:rsidRPr="00347697" w:rsidRDefault="00177D55" w:rsidP="00655F4E">
      <w:pPr>
        <w:spacing w:after="0" w:line="240" w:lineRule="auto"/>
        <w:rPr>
          <w:rFonts w:ascii="Times New Roman" w:hAnsi="Times New Roman" w:cs="Times New Roman"/>
          <w:sz w:val="24"/>
          <w:szCs w:val="24"/>
        </w:rPr>
      </w:pPr>
    </w:p>
    <w:p w14:paraId="1BB59ACF" w14:textId="6A2F6496" w:rsidR="00554894" w:rsidRPr="00347697" w:rsidRDefault="008C4059" w:rsidP="00655F4E">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The outcomes are </w:t>
      </w:r>
      <w:r w:rsidR="00CF1454" w:rsidRPr="00347697">
        <w:rPr>
          <w:rFonts w:ascii="Times New Roman" w:hAnsi="Times New Roman" w:cs="Times New Roman"/>
          <w:sz w:val="24"/>
          <w:szCs w:val="24"/>
        </w:rPr>
        <w:t xml:space="preserve">less </w:t>
      </w:r>
      <w:r w:rsidRPr="00347697">
        <w:rPr>
          <w:rFonts w:ascii="Times New Roman" w:hAnsi="Times New Roman" w:cs="Times New Roman"/>
          <w:sz w:val="24"/>
          <w:szCs w:val="24"/>
        </w:rPr>
        <w:t xml:space="preserve">favorable for students entering through Math B60 and Math B65.  </w:t>
      </w:r>
      <w:r w:rsidR="00C84015">
        <w:rPr>
          <w:rFonts w:ascii="Times New Roman" w:hAnsi="Times New Roman" w:cs="Times New Roman"/>
          <w:sz w:val="24"/>
          <w:szCs w:val="24"/>
        </w:rPr>
        <w:t>T</w:t>
      </w:r>
      <w:r w:rsidRPr="00347697">
        <w:rPr>
          <w:rFonts w:ascii="Times New Roman" w:hAnsi="Times New Roman" w:cs="Times New Roman"/>
          <w:sz w:val="24"/>
          <w:szCs w:val="24"/>
        </w:rPr>
        <w:t>hree in five</w:t>
      </w:r>
      <w:r w:rsidR="003A6750">
        <w:rPr>
          <w:rFonts w:ascii="Times New Roman" w:hAnsi="Times New Roman" w:cs="Times New Roman"/>
          <w:sz w:val="24"/>
          <w:szCs w:val="24"/>
        </w:rPr>
        <w:t xml:space="preserve"> </w:t>
      </w:r>
      <w:r w:rsidR="003A6750" w:rsidRPr="00347697">
        <w:rPr>
          <w:rFonts w:ascii="Times New Roman" w:hAnsi="Times New Roman" w:cs="Times New Roman"/>
          <w:sz w:val="24"/>
          <w:szCs w:val="24"/>
        </w:rPr>
        <w:t>Math B60 students</w:t>
      </w:r>
      <w:r w:rsidRPr="00347697">
        <w:rPr>
          <w:rFonts w:ascii="Times New Roman" w:hAnsi="Times New Roman" w:cs="Times New Roman"/>
          <w:sz w:val="24"/>
          <w:szCs w:val="24"/>
        </w:rPr>
        <w:t xml:space="preserve"> (</w:t>
      </w:r>
      <w:r w:rsidR="00C84015">
        <w:rPr>
          <w:rFonts w:ascii="Times New Roman" w:hAnsi="Times New Roman" w:cs="Times New Roman"/>
          <w:sz w:val="24"/>
          <w:szCs w:val="24"/>
        </w:rPr>
        <w:t>60</w:t>
      </w:r>
      <w:r w:rsidRPr="00347697">
        <w:rPr>
          <w:rFonts w:ascii="Times New Roman" w:hAnsi="Times New Roman" w:cs="Times New Roman"/>
          <w:sz w:val="24"/>
          <w:szCs w:val="24"/>
        </w:rPr>
        <w:t>%</w:t>
      </w:r>
      <w:r w:rsidR="00CA3EDF" w:rsidRPr="00347697">
        <w:rPr>
          <w:rFonts w:ascii="Times New Roman" w:hAnsi="Times New Roman" w:cs="Times New Roman"/>
          <w:sz w:val="24"/>
          <w:szCs w:val="24"/>
        </w:rPr>
        <w:t xml:space="preserve">) </w:t>
      </w:r>
      <w:r w:rsidR="009B7741" w:rsidRPr="00347697">
        <w:rPr>
          <w:rFonts w:ascii="Times New Roman" w:hAnsi="Times New Roman" w:cs="Times New Roman"/>
          <w:sz w:val="24"/>
          <w:szCs w:val="24"/>
        </w:rPr>
        <w:t xml:space="preserve">and more than two-thirds of Math B65 students </w:t>
      </w:r>
      <w:r w:rsidR="003A6750" w:rsidRPr="00347697">
        <w:rPr>
          <w:rFonts w:ascii="Times New Roman" w:hAnsi="Times New Roman" w:cs="Times New Roman"/>
          <w:sz w:val="24"/>
          <w:szCs w:val="24"/>
        </w:rPr>
        <w:t xml:space="preserve">(69%) </w:t>
      </w:r>
      <w:r w:rsidRPr="00347697">
        <w:rPr>
          <w:rFonts w:ascii="Times New Roman" w:hAnsi="Times New Roman" w:cs="Times New Roman"/>
          <w:sz w:val="24"/>
          <w:szCs w:val="24"/>
        </w:rPr>
        <w:t xml:space="preserve">do </w:t>
      </w:r>
      <w:r w:rsidRPr="0072729B">
        <w:rPr>
          <w:rFonts w:ascii="Times New Roman" w:hAnsi="Times New Roman" w:cs="Times New Roman"/>
          <w:i/>
          <w:sz w:val="24"/>
          <w:szCs w:val="24"/>
        </w:rPr>
        <w:t>not</w:t>
      </w:r>
      <w:r w:rsidRPr="00347697">
        <w:rPr>
          <w:rFonts w:ascii="Times New Roman" w:hAnsi="Times New Roman" w:cs="Times New Roman"/>
          <w:sz w:val="24"/>
          <w:szCs w:val="24"/>
        </w:rPr>
        <w:t xml:space="preserve"> </w:t>
      </w:r>
      <w:r w:rsidR="00B33DB2" w:rsidRPr="00347697">
        <w:rPr>
          <w:rFonts w:ascii="Times New Roman" w:hAnsi="Times New Roman" w:cs="Times New Roman"/>
          <w:sz w:val="24"/>
          <w:szCs w:val="24"/>
        </w:rPr>
        <w:t>demonstrate</w:t>
      </w:r>
      <w:r w:rsidRPr="00347697">
        <w:rPr>
          <w:rFonts w:ascii="Times New Roman" w:hAnsi="Times New Roman" w:cs="Times New Roman"/>
          <w:sz w:val="24"/>
          <w:szCs w:val="24"/>
        </w:rPr>
        <w:t xml:space="preserve"> quantitative competency</w:t>
      </w:r>
      <w:r w:rsidR="00554894" w:rsidRPr="00347697">
        <w:rPr>
          <w:rFonts w:ascii="Times New Roman" w:hAnsi="Times New Roman" w:cs="Times New Roman"/>
          <w:sz w:val="24"/>
          <w:szCs w:val="24"/>
        </w:rPr>
        <w:t xml:space="preserve">.  </w:t>
      </w:r>
      <w:r w:rsidR="00B81E45" w:rsidRPr="00347697">
        <w:rPr>
          <w:rFonts w:ascii="Times New Roman" w:hAnsi="Times New Roman" w:cs="Times New Roman"/>
          <w:sz w:val="24"/>
          <w:szCs w:val="24"/>
        </w:rPr>
        <w:t>Comparing</w:t>
      </w:r>
      <w:r w:rsidR="00554894" w:rsidRPr="00347697">
        <w:rPr>
          <w:rFonts w:ascii="Times New Roman" w:hAnsi="Times New Roman" w:cs="Times New Roman"/>
          <w:sz w:val="24"/>
          <w:szCs w:val="24"/>
        </w:rPr>
        <w:t xml:space="preserve"> the two entry points, Math B65 students are more likely to </w:t>
      </w:r>
      <w:r w:rsidR="00B33DB2" w:rsidRPr="00347697">
        <w:rPr>
          <w:rFonts w:ascii="Times New Roman" w:hAnsi="Times New Roman" w:cs="Times New Roman"/>
          <w:sz w:val="24"/>
          <w:szCs w:val="24"/>
        </w:rPr>
        <w:t>demonstrate</w:t>
      </w:r>
      <w:r w:rsidR="00554894" w:rsidRPr="00347697">
        <w:rPr>
          <w:rFonts w:ascii="Times New Roman" w:hAnsi="Times New Roman" w:cs="Times New Roman"/>
          <w:sz w:val="24"/>
          <w:szCs w:val="24"/>
        </w:rPr>
        <w:t xml:space="preserve"> transfer-level quantitative competency (2</w:t>
      </w:r>
      <w:r w:rsidR="00C84015">
        <w:rPr>
          <w:rFonts w:ascii="Times New Roman" w:hAnsi="Times New Roman" w:cs="Times New Roman"/>
          <w:sz w:val="24"/>
          <w:szCs w:val="24"/>
        </w:rPr>
        <w:t>2</w:t>
      </w:r>
      <w:r w:rsidR="00554894" w:rsidRPr="00347697">
        <w:rPr>
          <w:rFonts w:ascii="Times New Roman" w:hAnsi="Times New Roman" w:cs="Times New Roman"/>
          <w:sz w:val="24"/>
          <w:szCs w:val="24"/>
        </w:rPr>
        <w:t xml:space="preserve">% versus 13%), while Math B60 students are </w:t>
      </w:r>
      <w:r w:rsidR="009B7741" w:rsidRPr="00347697">
        <w:rPr>
          <w:rFonts w:ascii="Times New Roman" w:hAnsi="Times New Roman" w:cs="Times New Roman"/>
          <w:sz w:val="24"/>
          <w:szCs w:val="24"/>
        </w:rPr>
        <w:t xml:space="preserve">much </w:t>
      </w:r>
      <w:r w:rsidR="00554894" w:rsidRPr="00347697">
        <w:rPr>
          <w:rFonts w:ascii="Times New Roman" w:hAnsi="Times New Roman" w:cs="Times New Roman"/>
          <w:sz w:val="24"/>
          <w:szCs w:val="24"/>
        </w:rPr>
        <w:t xml:space="preserve">more likely to </w:t>
      </w:r>
      <w:r w:rsidR="00A91091" w:rsidRPr="00347697">
        <w:rPr>
          <w:rFonts w:ascii="Times New Roman" w:hAnsi="Times New Roman" w:cs="Times New Roman"/>
          <w:sz w:val="24"/>
          <w:szCs w:val="24"/>
        </w:rPr>
        <w:t>demonstrate</w:t>
      </w:r>
      <w:r w:rsidR="00554894" w:rsidRPr="00347697">
        <w:rPr>
          <w:rFonts w:ascii="Times New Roman" w:hAnsi="Times New Roman" w:cs="Times New Roman"/>
          <w:sz w:val="24"/>
          <w:szCs w:val="24"/>
        </w:rPr>
        <w:t xml:space="preserve"> associate-level quantitative competency </w:t>
      </w:r>
      <w:r w:rsidR="009B7741" w:rsidRPr="00347697">
        <w:rPr>
          <w:rFonts w:ascii="Times New Roman" w:hAnsi="Times New Roman" w:cs="Times New Roman"/>
          <w:sz w:val="24"/>
          <w:szCs w:val="24"/>
        </w:rPr>
        <w:t>by completing</w:t>
      </w:r>
      <w:r w:rsidR="00554894" w:rsidRPr="00347697">
        <w:rPr>
          <w:rFonts w:ascii="Times New Roman" w:hAnsi="Times New Roman" w:cs="Times New Roman"/>
          <w:sz w:val="24"/>
          <w:szCs w:val="24"/>
        </w:rPr>
        <w:t xml:space="preserve"> a </w:t>
      </w:r>
      <w:r w:rsidR="009B7741" w:rsidRPr="00347697">
        <w:rPr>
          <w:rFonts w:ascii="Times New Roman" w:hAnsi="Times New Roman" w:cs="Times New Roman"/>
          <w:sz w:val="24"/>
          <w:szCs w:val="24"/>
        </w:rPr>
        <w:t xml:space="preserve">qualifying </w:t>
      </w:r>
      <w:r w:rsidR="00554894" w:rsidRPr="00347697">
        <w:rPr>
          <w:rFonts w:ascii="Times New Roman" w:hAnsi="Times New Roman" w:cs="Times New Roman"/>
          <w:sz w:val="24"/>
          <w:szCs w:val="24"/>
        </w:rPr>
        <w:t xml:space="preserve">math course (23% versus 1%).  </w:t>
      </w:r>
    </w:p>
    <w:p w14:paraId="3183C1D0" w14:textId="77777777" w:rsidR="00554894" w:rsidRPr="00347697" w:rsidRDefault="00554894" w:rsidP="00655F4E">
      <w:pPr>
        <w:spacing w:after="0" w:line="240" w:lineRule="auto"/>
        <w:rPr>
          <w:rFonts w:ascii="Times New Roman" w:hAnsi="Times New Roman" w:cs="Times New Roman"/>
          <w:sz w:val="24"/>
          <w:szCs w:val="24"/>
        </w:rPr>
      </w:pPr>
    </w:p>
    <w:p w14:paraId="7EBED9BF" w14:textId="1F3737AF" w:rsidR="00A91091" w:rsidRPr="00347697" w:rsidRDefault="00A91091" w:rsidP="00A91091">
      <w:pPr>
        <w:spacing w:after="0" w:line="240" w:lineRule="auto"/>
        <w:rPr>
          <w:rFonts w:ascii="Times New Roman" w:hAnsi="Times New Roman" w:cs="Times New Roman"/>
          <w:sz w:val="24"/>
          <w:szCs w:val="24"/>
        </w:rPr>
      </w:pPr>
      <w:r w:rsidRPr="00107454">
        <w:rPr>
          <w:rFonts w:ascii="Times New Roman" w:hAnsi="Times New Roman" w:cs="Times New Roman"/>
          <w:sz w:val="24"/>
          <w:szCs w:val="24"/>
          <w:u w:val="single"/>
        </w:rPr>
        <w:t xml:space="preserve">Time to Transfer-Level </w:t>
      </w:r>
      <w:r w:rsidR="003C20AF" w:rsidRPr="00107454">
        <w:rPr>
          <w:rFonts w:ascii="Times New Roman" w:hAnsi="Times New Roman" w:cs="Times New Roman"/>
          <w:sz w:val="24"/>
          <w:szCs w:val="24"/>
          <w:u w:val="single"/>
        </w:rPr>
        <w:t xml:space="preserve">Quantitative </w:t>
      </w:r>
      <w:r w:rsidRPr="00107454">
        <w:rPr>
          <w:rFonts w:ascii="Times New Roman" w:hAnsi="Times New Roman" w:cs="Times New Roman"/>
          <w:sz w:val="24"/>
          <w:szCs w:val="24"/>
          <w:u w:val="single"/>
        </w:rPr>
        <w:t>Competency</w:t>
      </w:r>
    </w:p>
    <w:p w14:paraId="045E6D71" w14:textId="77777777" w:rsidR="00A91091" w:rsidRPr="00347697" w:rsidRDefault="00A91091" w:rsidP="00A91091">
      <w:pPr>
        <w:spacing w:after="0" w:line="240" w:lineRule="auto"/>
        <w:rPr>
          <w:rFonts w:ascii="Times New Roman" w:hAnsi="Times New Roman" w:cs="Times New Roman"/>
          <w:sz w:val="24"/>
          <w:szCs w:val="24"/>
        </w:rPr>
      </w:pPr>
    </w:p>
    <w:p w14:paraId="47A15E23" w14:textId="3350E615" w:rsidR="00AF509C" w:rsidRPr="00347697" w:rsidRDefault="006B59A0" w:rsidP="00A91091">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In Table 3, I present the average time to </w:t>
      </w:r>
      <w:r w:rsidR="00A10C05" w:rsidRPr="00347697">
        <w:rPr>
          <w:rFonts w:ascii="Times New Roman" w:hAnsi="Times New Roman" w:cs="Times New Roman"/>
          <w:sz w:val="24"/>
          <w:szCs w:val="24"/>
        </w:rPr>
        <w:t xml:space="preserve">demonstrate transfer-level quantitative competency by entry point to the math curriculum.  This </w:t>
      </w:r>
      <w:r w:rsidR="003E27C5" w:rsidRPr="00347697">
        <w:rPr>
          <w:rFonts w:ascii="Times New Roman" w:hAnsi="Times New Roman" w:cs="Times New Roman"/>
          <w:sz w:val="24"/>
          <w:szCs w:val="24"/>
        </w:rPr>
        <w:t xml:space="preserve">table includes only </w:t>
      </w:r>
      <w:r w:rsidR="00AF509C" w:rsidRPr="00347697">
        <w:rPr>
          <w:rFonts w:ascii="Times New Roman" w:hAnsi="Times New Roman" w:cs="Times New Roman"/>
          <w:sz w:val="24"/>
          <w:szCs w:val="24"/>
        </w:rPr>
        <w:t xml:space="preserve">those </w:t>
      </w:r>
      <w:r w:rsidR="001D2B3B">
        <w:rPr>
          <w:rFonts w:ascii="Times New Roman" w:hAnsi="Times New Roman" w:cs="Times New Roman"/>
          <w:sz w:val="24"/>
          <w:szCs w:val="24"/>
        </w:rPr>
        <w:t xml:space="preserve">transfer-seeking </w:t>
      </w:r>
      <w:r w:rsidR="003E27C5" w:rsidRPr="00347697">
        <w:rPr>
          <w:rFonts w:ascii="Times New Roman" w:hAnsi="Times New Roman" w:cs="Times New Roman"/>
          <w:sz w:val="24"/>
          <w:szCs w:val="24"/>
        </w:rPr>
        <w:t xml:space="preserve">students who </w:t>
      </w:r>
      <w:r w:rsidR="00CF1454" w:rsidRPr="00347697">
        <w:rPr>
          <w:rFonts w:ascii="Times New Roman" w:hAnsi="Times New Roman" w:cs="Times New Roman"/>
          <w:sz w:val="24"/>
          <w:szCs w:val="24"/>
        </w:rPr>
        <w:t xml:space="preserve">ultimately </w:t>
      </w:r>
      <w:r w:rsidR="003E27C5" w:rsidRPr="00347697">
        <w:rPr>
          <w:rFonts w:ascii="Times New Roman" w:hAnsi="Times New Roman" w:cs="Times New Roman"/>
          <w:sz w:val="24"/>
          <w:szCs w:val="24"/>
        </w:rPr>
        <w:t xml:space="preserve">completed a </w:t>
      </w:r>
      <w:r w:rsidR="00AF509C" w:rsidRPr="00347697">
        <w:rPr>
          <w:rFonts w:ascii="Times New Roman" w:hAnsi="Times New Roman" w:cs="Times New Roman"/>
          <w:sz w:val="24"/>
          <w:szCs w:val="24"/>
        </w:rPr>
        <w:t xml:space="preserve">transfer-level quantitative </w:t>
      </w:r>
      <w:r w:rsidR="003E27C5" w:rsidRPr="00347697">
        <w:rPr>
          <w:rFonts w:ascii="Times New Roman" w:hAnsi="Times New Roman" w:cs="Times New Roman"/>
          <w:sz w:val="24"/>
          <w:szCs w:val="24"/>
        </w:rPr>
        <w:t>course</w:t>
      </w:r>
      <w:r w:rsidR="00AF509C" w:rsidRPr="00347697">
        <w:rPr>
          <w:rFonts w:ascii="Times New Roman" w:hAnsi="Times New Roman" w:cs="Times New Roman"/>
          <w:sz w:val="24"/>
          <w:szCs w:val="24"/>
        </w:rPr>
        <w:t xml:space="preserve">.  Students who did not attempt </w:t>
      </w:r>
      <w:r w:rsidR="00CF1454" w:rsidRPr="00347697">
        <w:rPr>
          <w:rFonts w:ascii="Times New Roman" w:hAnsi="Times New Roman" w:cs="Times New Roman"/>
          <w:sz w:val="24"/>
          <w:szCs w:val="24"/>
        </w:rPr>
        <w:t xml:space="preserve">a transfer-level quantitative </w:t>
      </w:r>
      <w:r w:rsidR="00AF509C" w:rsidRPr="00347697">
        <w:rPr>
          <w:rFonts w:ascii="Times New Roman" w:hAnsi="Times New Roman" w:cs="Times New Roman"/>
          <w:sz w:val="24"/>
          <w:szCs w:val="24"/>
        </w:rPr>
        <w:t xml:space="preserve">course or who attempted </w:t>
      </w:r>
      <w:r w:rsidR="00CF1454" w:rsidRPr="00347697">
        <w:rPr>
          <w:rFonts w:ascii="Times New Roman" w:hAnsi="Times New Roman" w:cs="Times New Roman"/>
          <w:sz w:val="24"/>
          <w:szCs w:val="24"/>
        </w:rPr>
        <w:t xml:space="preserve">one or more such </w:t>
      </w:r>
      <w:r w:rsidR="00AF509C" w:rsidRPr="00347697">
        <w:rPr>
          <w:rFonts w:ascii="Times New Roman" w:hAnsi="Times New Roman" w:cs="Times New Roman"/>
          <w:sz w:val="24"/>
          <w:szCs w:val="24"/>
        </w:rPr>
        <w:t>course</w:t>
      </w:r>
      <w:r w:rsidR="00CF1454" w:rsidRPr="00347697">
        <w:rPr>
          <w:rFonts w:ascii="Times New Roman" w:hAnsi="Times New Roman" w:cs="Times New Roman"/>
          <w:sz w:val="24"/>
          <w:szCs w:val="24"/>
        </w:rPr>
        <w:t>s</w:t>
      </w:r>
      <w:r w:rsidR="00AF509C" w:rsidRPr="00347697">
        <w:rPr>
          <w:rFonts w:ascii="Times New Roman" w:hAnsi="Times New Roman" w:cs="Times New Roman"/>
          <w:sz w:val="24"/>
          <w:szCs w:val="24"/>
        </w:rPr>
        <w:t xml:space="preserve"> but </w:t>
      </w:r>
      <w:r w:rsidR="00CF1454" w:rsidRPr="00347697">
        <w:rPr>
          <w:rFonts w:ascii="Times New Roman" w:hAnsi="Times New Roman" w:cs="Times New Roman"/>
          <w:sz w:val="24"/>
          <w:szCs w:val="24"/>
        </w:rPr>
        <w:t xml:space="preserve">never completed one successfully </w:t>
      </w:r>
      <w:r w:rsidR="00AF509C" w:rsidRPr="00347697">
        <w:rPr>
          <w:rFonts w:ascii="Times New Roman" w:hAnsi="Times New Roman" w:cs="Times New Roman"/>
          <w:sz w:val="24"/>
          <w:szCs w:val="24"/>
        </w:rPr>
        <w:t xml:space="preserve">are excluded from Table 3.  </w:t>
      </w:r>
    </w:p>
    <w:p w14:paraId="222FA154" w14:textId="77777777" w:rsidR="00AF509C" w:rsidRPr="00347697" w:rsidRDefault="00AF509C" w:rsidP="00A91091">
      <w:pPr>
        <w:spacing w:after="0" w:line="240" w:lineRule="auto"/>
        <w:rPr>
          <w:rFonts w:ascii="Times New Roman" w:hAnsi="Times New Roman" w:cs="Times New Roman"/>
          <w:sz w:val="24"/>
          <w:szCs w:val="24"/>
        </w:rPr>
      </w:pPr>
    </w:p>
    <w:p w14:paraId="35994006" w14:textId="393CA39B" w:rsidR="00A91091" w:rsidRPr="00347697" w:rsidRDefault="00AF509C" w:rsidP="00A91091">
      <w:pPr>
        <w:spacing w:after="0" w:line="240" w:lineRule="auto"/>
        <w:rPr>
          <w:rFonts w:ascii="Times New Roman" w:hAnsi="Times New Roman" w:cs="Times New Roman"/>
          <w:sz w:val="24"/>
          <w:szCs w:val="24"/>
        </w:rPr>
      </w:pPr>
      <w:r w:rsidRPr="00F63247">
        <w:rPr>
          <w:rFonts w:ascii="Times New Roman" w:hAnsi="Times New Roman" w:cs="Times New Roman"/>
          <w:sz w:val="24"/>
          <w:szCs w:val="24"/>
        </w:rPr>
        <w:t>Note that</w:t>
      </w:r>
      <w:r w:rsidR="00BD5BF3" w:rsidRPr="00F63247">
        <w:rPr>
          <w:rFonts w:ascii="Times New Roman" w:hAnsi="Times New Roman" w:cs="Times New Roman"/>
          <w:sz w:val="24"/>
          <w:szCs w:val="24"/>
        </w:rPr>
        <w:t xml:space="preserve"> results for</w:t>
      </w:r>
      <w:r w:rsidRPr="00F63247">
        <w:rPr>
          <w:rFonts w:ascii="Times New Roman" w:hAnsi="Times New Roman" w:cs="Times New Roman"/>
          <w:sz w:val="24"/>
          <w:szCs w:val="24"/>
        </w:rPr>
        <w:t xml:space="preserve"> two </w:t>
      </w:r>
      <w:r w:rsidR="00BD5BF3" w:rsidRPr="00F63247">
        <w:rPr>
          <w:rFonts w:ascii="Times New Roman" w:hAnsi="Times New Roman" w:cs="Times New Roman"/>
          <w:sz w:val="24"/>
          <w:szCs w:val="24"/>
        </w:rPr>
        <w:t xml:space="preserve">different </w:t>
      </w:r>
      <w:r w:rsidRPr="00F63247">
        <w:rPr>
          <w:rFonts w:ascii="Times New Roman" w:hAnsi="Times New Roman" w:cs="Times New Roman"/>
          <w:sz w:val="24"/>
          <w:szCs w:val="24"/>
        </w:rPr>
        <w:t xml:space="preserve">measures of time are presented in Table 3.  The first is the average number of terms </w:t>
      </w:r>
      <w:r w:rsidR="00546F8F" w:rsidRPr="00F63247">
        <w:rPr>
          <w:rFonts w:ascii="Times New Roman" w:hAnsi="Times New Roman" w:cs="Times New Roman"/>
          <w:i/>
          <w:sz w:val="24"/>
          <w:szCs w:val="24"/>
        </w:rPr>
        <w:t xml:space="preserve">from the </w:t>
      </w:r>
      <w:r w:rsidR="00C8285E" w:rsidRPr="00F63247">
        <w:rPr>
          <w:rFonts w:ascii="Times New Roman" w:hAnsi="Times New Roman" w:cs="Times New Roman"/>
          <w:i/>
          <w:sz w:val="24"/>
          <w:szCs w:val="24"/>
        </w:rPr>
        <w:t>term that a student enters BC</w:t>
      </w:r>
      <w:r w:rsidR="00C8285E" w:rsidRPr="00F63247">
        <w:rPr>
          <w:rFonts w:ascii="Times New Roman" w:hAnsi="Times New Roman" w:cs="Times New Roman"/>
          <w:sz w:val="24"/>
          <w:szCs w:val="24"/>
        </w:rPr>
        <w:t xml:space="preserve"> </w:t>
      </w:r>
      <w:r w:rsidR="00546F8F" w:rsidRPr="00F63247">
        <w:rPr>
          <w:rFonts w:ascii="Times New Roman" w:hAnsi="Times New Roman" w:cs="Times New Roman"/>
          <w:sz w:val="24"/>
          <w:szCs w:val="24"/>
        </w:rPr>
        <w:t>to the term in which the first transfer-level quantitative course was completed successfully</w:t>
      </w:r>
      <w:r w:rsidR="0051272A" w:rsidRPr="00F63247">
        <w:rPr>
          <w:rFonts w:ascii="Times New Roman" w:hAnsi="Times New Roman" w:cs="Times New Roman"/>
          <w:sz w:val="24"/>
          <w:szCs w:val="24"/>
        </w:rPr>
        <w:t>, counting both regular and summer terms</w:t>
      </w:r>
      <w:r w:rsidR="00546F8F" w:rsidRPr="00F63247">
        <w:rPr>
          <w:rFonts w:ascii="Times New Roman" w:hAnsi="Times New Roman" w:cs="Times New Roman"/>
          <w:sz w:val="24"/>
          <w:szCs w:val="24"/>
        </w:rPr>
        <w:t xml:space="preserve">.  The second is the average number of terms </w:t>
      </w:r>
      <w:r w:rsidR="00546F8F" w:rsidRPr="00F63247">
        <w:rPr>
          <w:rFonts w:ascii="Times New Roman" w:hAnsi="Times New Roman" w:cs="Times New Roman"/>
          <w:i/>
          <w:sz w:val="24"/>
          <w:szCs w:val="24"/>
        </w:rPr>
        <w:t xml:space="preserve">from the </w:t>
      </w:r>
      <w:r w:rsidR="00C8285E" w:rsidRPr="00F63247">
        <w:rPr>
          <w:rFonts w:ascii="Times New Roman" w:hAnsi="Times New Roman" w:cs="Times New Roman"/>
          <w:i/>
          <w:sz w:val="24"/>
          <w:szCs w:val="24"/>
        </w:rPr>
        <w:t xml:space="preserve">term that a student attempts his/her first </w:t>
      </w:r>
      <w:r w:rsidR="00871660" w:rsidRPr="00F63247">
        <w:rPr>
          <w:rFonts w:ascii="Times New Roman" w:hAnsi="Times New Roman" w:cs="Times New Roman"/>
          <w:i/>
          <w:sz w:val="24"/>
          <w:szCs w:val="24"/>
        </w:rPr>
        <w:t xml:space="preserve">quantitative </w:t>
      </w:r>
      <w:r w:rsidR="00C8285E" w:rsidRPr="00F63247">
        <w:rPr>
          <w:rFonts w:ascii="Times New Roman" w:hAnsi="Times New Roman" w:cs="Times New Roman"/>
          <w:i/>
          <w:sz w:val="24"/>
          <w:szCs w:val="24"/>
        </w:rPr>
        <w:t>course</w:t>
      </w:r>
      <w:r w:rsidR="00C8285E" w:rsidRPr="00F63247">
        <w:rPr>
          <w:rFonts w:ascii="Times New Roman" w:hAnsi="Times New Roman" w:cs="Times New Roman"/>
          <w:sz w:val="24"/>
          <w:szCs w:val="24"/>
        </w:rPr>
        <w:t xml:space="preserve"> </w:t>
      </w:r>
      <w:r w:rsidR="00546F8F" w:rsidRPr="00F63247">
        <w:rPr>
          <w:rFonts w:ascii="Times New Roman" w:hAnsi="Times New Roman" w:cs="Times New Roman"/>
          <w:sz w:val="24"/>
          <w:szCs w:val="24"/>
        </w:rPr>
        <w:t xml:space="preserve">to the term in which the first transfer-level </w:t>
      </w:r>
      <w:r w:rsidR="00076064" w:rsidRPr="00F63247">
        <w:rPr>
          <w:rFonts w:ascii="Times New Roman" w:hAnsi="Times New Roman" w:cs="Times New Roman"/>
          <w:sz w:val="24"/>
          <w:szCs w:val="24"/>
        </w:rPr>
        <w:t xml:space="preserve">quantitative </w:t>
      </w:r>
      <w:r w:rsidR="00546F8F" w:rsidRPr="00F63247">
        <w:rPr>
          <w:rFonts w:ascii="Times New Roman" w:hAnsi="Times New Roman" w:cs="Times New Roman"/>
          <w:sz w:val="24"/>
          <w:szCs w:val="24"/>
        </w:rPr>
        <w:t xml:space="preserve">course was </w:t>
      </w:r>
      <w:r w:rsidR="00076064" w:rsidRPr="00F63247">
        <w:rPr>
          <w:rFonts w:ascii="Times New Roman" w:hAnsi="Times New Roman" w:cs="Times New Roman"/>
          <w:sz w:val="24"/>
          <w:szCs w:val="24"/>
        </w:rPr>
        <w:t>completed successfully</w:t>
      </w:r>
      <w:r w:rsidR="0051272A" w:rsidRPr="00F63247">
        <w:rPr>
          <w:rFonts w:ascii="Times New Roman" w:hAnsi="Times New Roman" w:cs="Times New Roman"/>
          <w:sz w:val="24"/>
          <w:szCs w:val="24"/>
        </w:rPr>
        <w:t>, again counting both regular and summer terms</w:t>
      </w:r>
      <w:r w:rsidR="00076064" w:rsidRPr="00F63247">
        <w:rPr>
          <w:rFonts w:ascii="Times New Roman" w:hAnsi="Times New Roman" w:cs="Times New Roman"/>
          <w:sz w:val="24"/>
          <w:szCs w:val="24"/>
        </w:rPr>
        <w:t xml:space="preserve">.  The </w:t>
      </w:r>
      <w:r w:rsidR="00BD5BF3" w:rsidRPr="00F63247">
        <w:rPr>
          <w:rFonts w:ascii="Times New Roman" w:hAnsi="Times New Roman" w:cs="Times New Roman"/>
          <w:sz w:val="24"/>
          <w:szCs w:val="24"/>
        </w:rPr>
        <w:t xml:space="preserve">first measure is consistent with a common understanding of </w:t>
      </w:r>
      <w:r w:rsidR="00871660" w:rsidRPr="00F63247">
        <w:rPr>
          <w:rFonts w:ascii="Times New Roman" w:hAnsi="Times New Roman" w:cs="Times New Roman"/>
          <w:sz w:val="24"/>
          <w:szCs w:val="24"/>
        </w:rPr>
        <w:t>the</w:t>
      </w:r>
      <w:r w:rsidR="00BD5BF3" w:rsidRPr="00F63247">
        <w:rPr>
          <w:rFonts w:ascii="Times New Roman" w:hAnsi="Times New Roman" w:cs="Times New Roman"/>
          <w:sz w:val="24"/>
          <w:szCs w:val="24"/>
        </w:rPr>
        <w:t xml:space="preserve"> </w:t>
      </w:r>
      <w:r w:rsidR="00871660" w:rsidRPr="00F63247">
        <w:rPr>
          <w:rFonts w:ascii="Times New Roman" w:hAnsi="Times New Roman" w:cs="Times New Roman"/>
          <w:sz w:val="24"/>
          <w:szCs w:val="24"/>
        </w:rPr>
        <w:t xml:space="preserve">amount of </w:t>
      </w:r>
      <w:r w:rsidR="00BD5BF3" w:rsidRPr="00F63247">
        <w:rPr>
          <w:rFonts w:ascii="Times New Roman" w:hAnsi="Times New Roman" w:cs="Times New Roman"/>
          <w:sz w:val="24"/>
          <w:szCs w:val="24"/>
        </w:rPr>
        <w:t xml:space="preserve">time </w:t>
      </w:r>
      <w:r w:rsidR="00871660" w:rsidRPr="00F63247">
        <w:rPr>
          <w:rFonts w:ascii="Times New Roman" w:hAnsi="Times New Roman" w:cs="Times New Roman"/>
          <w:sz w:val="24"/>
          <w:szCs w:val="24"/>
        </w:rPr>
        <w:t xml:space="preserve">required </w:t>
      </w:r>
      <w:r w:rsidR="002F1633">
        <w:rPr>
          <w:rFonts w:ascii="Times New Roman" w:hAnsi="Times New Roman" w:cs="Times New Roman"/>
          <w:sz w:val="24"/>
          <w:szCs w:val="24"/>
        </w:rPr>
        <w:t>for</w:t>
      </w:r>
      <w:r w:rsidR="002F1633" w:rsidRPr="00F63247">
        <w:rPr>
          <w:rFonts w:ascii="Times New Roman" w:hAnsi="Times New Roman" w:cs="Times New Roman"/>
          <w:sz w:val="24"/>
          <w:szCs w:val="24"/>
        </w:rPr>
        <w:t xml:space="preserve"> </w:t>
      </w:r>
      <w:r w:rsidR="00871660" w:rsidRPr="00F63247">
        <w:rPr>
          <w:rFonts w:ascii="Times New Roman" w:hAnsi="Times New Roman" w:cs="Times New Roman"/>
          <w:sz w:val="24"/>
          <w:szCs w:val="24"/>
        </w:rPr>
        <w:t xml:space="preserve">a typical student </w:t>
      </w:r>
      <w:r w:rsidR="00BD5BF3" w:rsidRPr="00F63247">
        <w:rPr>
          <w:rFonts w:ascii="Times New Roman" w:hAnsi="Times New Roman" w:cs="Times New Roman"/>
          <w:sz w:val="24"/>
          <w:szCs w:val="24"/>
        </w:rPr>
        <w:t xml:space="preserve">to </w:t>
      </w:r>
      <w:r w:rsidR="00871660" w:rsidRPr="00F63247">
        <w:rPr>
          <w:rFonts w:ascii="Times New Roman" w:hAnsi="Times New Roman" w:cs="Times New Roman"/>
          <w:sz w:val="24"/>
          <w:szCs w:val="24"/>
        </w:rPr>
        <w:t xml:space="preserve">achieve </w:t>
      </w:r>
      <w:r w:rsidR="00BD5BF3" w:rsidRPr="00F63247">
        <w:rPr>
          <w:rFonts w:ascii="Times New Roman" w:hAnsi="Times New Roman" w:cs="Times New Roman"/>
          <w:sz w:val="24"/>
          <w:szCs w:val="24"/>
        </w:rPr>
        <w:t>transfer-level quantitative competency</w:t>
      </w:r>
      <w:r w:rsidR="00E275A2" w:rsidRPr="00F63247">
        <w:rPr>
          <w:rFonts w:ascii="Times New Roman" w:hAnsi="Times New Roman" w:cs="Times New Roman"/>
          <w:sz w:val="24"/>
          <w:szCs w:val="24"/>
        </w:rPr>
        <w:t>.  It also parallels time to achieve</w:t>
      </w:r>
      <w:r w:rsidR="00F63247" w:rsidRPr="0072729B">
        <w:rPr>
          <w:rFonts w:ascii="Times New Roman" w:hAnsi="Times New Roman" w:cs="Times New Roman"/>
          <w:sz w:val="24"/>
          <w:szCs w:val="24"/>
        </w:rPr>
        <w:t xml:space="preserve"> college-level competency as </w:t>
      </w:r>
      <w:r w:rsidR="00E275A2" w:rsidRPr="00F63247">
        <w:rPr>
          <w:rFonts w:ascii="Times New Roman" w:hAnsi="Times New Roman" w:cs="Times New Roman"/>
          <w:sz w:val="24"/>
          <w:szCs w:val="24"/>
        </w:rPr>
        <w:t xml:space="preserve">understood in </w:t>
      </w:r>
      <w:r w:rsidR="002F1633">
        <w:rPr>
          <w:rFonts w:ascii="Times New Roman" w:hAnsi="Times New Roman" w:cs="Times New Roman"/>
          <w:sz w:val="24"/>
          <w:szCs w:val="24"/>
        </w:rPr>
        <w:t xml:space="preserve">the </w:t>
      </w:r>
      <w:r w:rsidR="00E275A2" w:rsidRPr="00F63247">
        <w:rPr>
          <w:rFonts w:ascii="Times New Roman" w:hAnsi="Times New Roman" w:cs="Times New Roman"/>
          <w:sz w:val="24"/>
          <w:szCs w:val="24"/>
        </w:rPr>
        <w:t>student success</w:t>
      </w:r>
      <w:r w:rsidR="00F63247" w:rsidRPr="0072729B">
        <w:rPr>
          <w:rFonts w:ascii="Times New Roman" w:hAnsi="Times New Roman" w:cs="Times New Roman"/>
          <w:sz w:val="24"/>
          <w:szCs w:val="24"/>
        </w:rPr>
        <w:t xml:space="preserve"> funding formula</w:t>
      </w:r>
      <w:r w:rsidR="00BD5BF3" w:rsidRPr="00F63247">
        <w:rPr>
          <w:rFonts w:ascii="Times New Roman" w:hAnsi="Times New Roman" w:cs="Times New Roman"/>
          <w:sz w:val="24"/>
          <w:szCs w:val="24"/>
        </w:rPr>
        <w:t>.  The value of the second measure</w:t>
      </w:r>
      <w:r w:rsidR="00076064" w:rsidRPr="00F63247">
        <w:rPr>
          <w:rFonts w:ascii="Times New Roman" w:hAnsi="Times New Roman" w:cs="Times New Roman"/>
          <w:sz w:val="24"/>
          <w:szCs w:val="24"/>
        </w:rPr>
        <w:t xml:space="preserve"> is that it removes from consideration </w:t>
      </w:r>
      <w:r w:rsidR="00B1590F" w:rsidRPr="00F63247">
        <w:rPr>
          <w:rFonts w:ascii="Times New Roman" w:hAnsi="Times New Roman" w:cs="Times New Roman"/>
          <w:sz w:val="24"/>
          <w:szCs w:val="24"/>
        </w:rPr>
        <w:t xml:space="preserve">the </w:t>
      </w:r>
      <w:r w:rsidR="00076064" w:rsidRPr="00F63247">
        <w:rPr>
          <w:rFonts w:ascii="Times New Roman" w:hAnsi="Times New Roman" w:cs="Times New Roman"/>
          <w:sz w:val="24"/>
          <w:szCs w:val="24"/>
        </w:rPr>
        <w:t xml:space="preserve">average differences in delay of first math </w:t>
      </w:r>
      <w:r w:rsidR="00BD5BF3" w:rsidRPr="00F63247">
        <w:rPr>
          <w:rFonts w:ascii="Times New Roman" w:hAnsi="Times New Roman" w:cs="Times New Roman"/>
          <w:sz w:val="24"/>
          <w:szCs w:val="24"/>
        </w:rPr>
        <w:t xml:space="preserve">enrollment </w:t>
      </w:r>
      <w:r w:rsidR="00B1590F" w:rsidRPr="00F63247">
        <w:rPr>
          <w:rFonts w:ascii="Times New Roman" w:hAnsi="Times New Roman" w:cs="Times New Roman"/>
          <w:sz w:val="24"/>
          <w:szCs w:val="24"/>
        </w:rPr>
        <w:t xml:space="preserve">that were </w:t>
      </w:r>
      <w:r w:rsidR="00076064" w:rsidRPr="00F63247">
        <w:rPr>
          <w:rFonts w:ascii="Times New Roman" w:hAnsi="Times New Roman" w:cs="Times New Roman"/>
          <w:sz w:val="24"/>
          <w:szCs w:val="24"/>
        </w:rPr>
        <w:t xml:space="preserve">noted in Table 1.  </w:t>
      </w:r>
      <w:r w:rsidR="00E275A2" w:rsidRPr="00F63247">
        <w:rPr>
          <w:rFonts w:ascii="Times New Roman" w:hAnsi="Times New Roman" w:cs="Times New Roman"/>
          <w:sz w:val="24"/>
          <w:szCs w:val="24"/>
        </w:rPr>
        <w:t xml:space="preserve">Further, </w:t>
      </w:r>
      <w:r w:rsidR="003A6750" w:rsidRPr="0072729B">
        <w:rPr>
          <w:rFonts w:ascii="Times New Roman" w:hAnsi="Times New Roman" w:cs="Times New Roman"/>
          <w:sz w:val="24"/>
          <w:szCs w:val="24"/>
        </w:rPr>
        <w:t>it</w:t>
      </w:r>
      <w:r w:rsidR="00C84015" w:rsidRPr="00F63247">
        <w:rPr>
          <w:rFonts w:ascii="Times New Roman" w:hAnsi="Times New Roman" w:cs="Times New Roman"/>
          <w:sz w:val="24"/>
          <w:szCs w:val="24"/>
        </w:rPr>
        <w:t xml:space="preserve"> is </w:t>
      </w:r>
      <w:r w:rsidR="0051272A" w:rsidRPr="00F63247">
        <w:rPr>
          <w:rFonts w:ascii="Times New Roman" w:hAnsi="Times New Roman" w:cs="Times New Roman"/>
          <w:sz w:val="24"/>
          <w:szCs w:val="24"/>
        </w:rPr>
        <w:t xml:space="preserve">more </w:t>
      </w:r>
      <w:r w:rsidR="00C84015" w:rsidRPr="00F63247">
        <w:rPr>
          <w:rFonts w:ascii="Times New Roman" w:hAnsi="Times New Roman" w:cs="Times New Roman"/>
          <w:sz w:val="24"/>
          <w:szCs w:val="24"/>
        </w:rPr>
        <w:t xml:space="preserve">consistent with how time to transfer-level competency is measured </w:t>
      </w:r>
      <w:r w:rsidR="003A6750" w:rsidRPr="0072729B">
        <w:rPr>
          <w:rFonts w:ascii="Times New Roman" w:hAnsi="Times New Roman" w:cs="Times New Roman"/>
          <w:sz w:val="24"/>
          <w:szCs w:val="24"/>
        </w:rPr>
        <w:t>in</w:t>
      </w:r>
      <w:r w:rsidR="00C84015" w:rsidRPr="00F63247">
        <w:rPr>
          <w:rFonts w:ascii="Times New Roman" w:hAnsi="Times New Roman" w:cs="Times New Roman"/>
          <w:sz w:val="24"/>
          <w:szCs w:val="24"/>
        </w:rPr>
        <w:t xml:space="preserve"> the </w:t>
      </w:r>
      <w:r w:rsidR="003A6750" w:rsidRPr="0072729B">
        <w:rPr>
          <w:rFonts w:ascii="Times New Roman" w:hAnsi="Times New Roman" w:cs="Times New Roman"/>
          <w:sz w:val="24"/>
          <w:szCs w:val="24"/>
        </w:rPr>
        <w:t xml:space="preserve">implementation of </w:t>
      </w:r>
      <w:r w:rsidR="0051272A" w:rsidRPr="00F63247">
        <w:rPr>
          <w:rFonts w:ascii="Times New Roman" w:hAnsi="Times New Roman" w:cs="Times New Roman"/>
          <w:sz w:val="24"/>
          <w:szCs w:val="24"/>
        </w:rPr>
        <w:t>AB705</w:t>
      </w:r>
      <w:r w:rsidR="00C84015" w:rsidRPr="00F63247">
        <w:rPr>
          <w:rFonts w:ascii="Times New Roman" w:hAnsi="Times New Roman" w:cs="Times New Roman"/>
          <w:sz w:val="24"/>
          <w:szCs w:val="24"/>
        </w:rPr>
        <w:t>.</w:t>
      </w:r>
      <w:r w:rsidR="00C84015">
        <w:rPr>
          <w:rFonts w:ascii="Times New Roman" w:hAnsi="Times New Roman" w:cs="Times New Roman"/>
          <w:sz w:val="24"/>
          <w:szCs w:val="24"/>
        </w:rPr>
        <w:t xml:space="preserve"> </w:t>
      </w:r>
    </w:p>
    <w:p w14:paraId="25F45B87" w14:textId="77777777" w:rsidR="00076064" w:rsidRPr="00347697" w:rsidRDefault="00076064" w:rsidP="00A91091">
      <w:pPr>
        <w:spacing w:after="0" w:line="240" w:lineRule="auto"/>
        <w:rPr>
          <w:rFonts w:ascii="Times New Roman" w:hAnsi="Times New Roman" w:cs="Times New Roman"/>
          <w:sz w:val="24"/>
          <w:szCs w:val="24"/>
        </w:rPr>
      </w:pPr>
    </w:p>
    <w:p w14:paraId="53FB9A56" w14:textId="4307A7C4" w:rsidR="004412DF" w:rsidRDefault="00455747" w:rsidP="00A91091">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Among students who complete a transfer-level quantitative course, Math B65 students demonstrate transfer-level competency more quickly, on average, than do LRNC </w:t>
      </w:r>
      <w:r w:rsidR="00B95D49" w:rsidRPr="00347697">
        <w:rPr>
          <w:rFonts w:ascii="Times New Roman" w:hAnsi="Times New Roman" w:cs="Times New Roman"/>
          <w:sz w:val="24"/>
          <w:szCs w:val="24"/>
        </w:rPr>
        <w:t>B530</w:t>
      </w:r>
      <w:r w:rsidR="00B95D49" w:rsidRPr="00972882">
        <w:rPr>
          <w:rFonts w:ascii="Times New Roman" w:hAnsi="Times New Roman" w:cs="Times New Roman"/>
          <w:i/>
          <w:sz w:val="24"/>
          <w:szCs w:val="24"/>
        </w:rPr>
        <w:t>f</w:t>
      </w:r>
      <w:r w:rsidR="00B95D49" w:rsidRPr="00347697">
        <w:rPr>
          <w:rFonts w:ascii="Times New Roman" w:hAnsi="Times New Roman" w:cs="Times New Roman"/>
          <w:sz w:val="24"/>
          <w:szCs w:val="24"/>
        </w:rPr>
        <w:t xml:space="preserve"> </w:t>
      </w:r>
      <w:r w:rsidRPr="00347697">
        <w:rPr>
          <w:rFonts w:ascii="Times New Roman" w:hAnsi="Times New Roman" w:cs="Times New Roman"/>
          <w:sz w:val="24"/>
          <w:szCs w:val="24"/>
        </w:rPr>
        <w:t xml:space="preserve">students and Math B60 students.  This holds true even after </w:t>
      </w:r>
      <w:r w:rsidR="00F773D8" w:rsidRPr="00347697">
        <w:rPr>
          <w:rFonts w:ascii="Times New Roman" w:hAnsi="Times New Roman" w:cs="Times New Roman"/>
          <w:sz w:val="24"/>
          <w:szCs w:val="24"/>
        </w:rPr>
        <w:t xml:space="preserve">accounting for </w:t>
      </w:r>
      <w:r w:rsidR="009C4716" w:rsidRPr="00347697">
        <w:rPr>
          <w:rFonts w:ascii="Times New Roman" w:hAnsi="Times New Roman" w:cs="Times New Roman"/>
          <w:sz w:val="24"/>
          <w:szCs w:val="24"/>
        </w:rPr>
        <w:t>(</w:t>
      </w:r>
      <w:r w:rsidR="00F773D8" w:rsidRPr="00347697">
        <w:rPr>
          <w:rFonts w:ascii="Times New Roman" w:hAnsi="Times New Roman" w:cs="Times New Roman"/>
          <w:sz w:val="24"/>
          <w:szCs w:val="24"/>
        </w:rPr>
        <w:t>removing</w:t>
      </w:r>
      <w:r w:rsidR="009C4716" w:rsidRPr="00347697">
        <w:rPr>
          <w:rFonts w:ascii="Times New Roman" w:hAnsi="Times New Roman" w:cs="Times New Roman"/>
          <w:sz w:val="24"/>
          <w:szCs w:val="24"/>
        </w:rPr>
        <w:t>)</w:t>
      </w:r>
      <w:r w:rsidRPr="00347697">
        <w:rPr>
          <w:rFonts w:ascii="Times New Roman" w:hAnsi="Times New Roman" w:cs="Times New Roman"/>
          <w:sz w:val="24"/>
          <w:szCs w:val="24"/>
        </w:rPr>
        <w:t xml:space="preserve"> the greater average delay of first math </w:t>
      </w:r>
      <w:r w:rsidR="0046529B" w:rsidRPr="00347697">
        <w:rPr>
          <w:rFonts w:ascii="Times New Roman" w:hAnsi="Times New Roman" w:cs="Times New Roman"/>
          <w:sz w:val="24"/>
          <w:szCs w:val="24"/>
        </w:rPr>
        <w:t xml:space="preserve">enrollment </w:t>
      </w:r>
      <w:r w:rsidRPr="00347697">
        <w:rPr>
          <w:rFonts w:ascii="Times New Roman" w:hAnsi="Times New Roman" w:cs="Times New Roman"/>
          <w:sz w:val="24"/>
          <w:szCs w:val="24"/>
        </w:rPr>
        <w:t xml:space="preserve">found among </w:t>
      </w:r>
      <w:r w:rsidR="00F773D8" w:rsidRPr="00347697">
        <w:rPr>
          <w:rFonts w:ascii="Times New Roman" w:hAnsi="Times New Roman" w:cs="Times New Roman"/>
          <w:sz w:val="24"/>
          <w:szCs w:val="24"/>
        </w:rPr>
        <w:t xml:space="preserve">LRNC </w:t>
      </w:r>
      <w:r w:rsidR="00B95D49" w:rsidRPr="00347697">
        <w:rPr>
          <w:rFonts w:ascii="Times New Roman" w:hAnsi="Times New Roman" w:cs="Times New Roman"/>
          <w:sz w:val="24"/>
          <w:szCs w:val="24"/>
        </w:rPr>
        <w:t>B530</w:t>
      </w:r>
      <w:r w:rsidR="00B95D49" w:rsidRPr="00972882">
        <w:rPr>
          <w:rFonts w:ascii="Times New Roman" w:hAnsi="Times New Roman" w:cs="Times New Roman"/>
          <w:i/>
          <w:sz w:val="24"/>
          <w:szCs w:val="24"/>
        </w:rPr>
        <w:t>f</w:t>
      </w:r>
      <w:r w:rsidR="00B95D49" w:rsidRPr="00347697">
        <w:rPr>
          <w:rFonts w:ascii="Times New Roman" w:hAnsi="Times New Roman" w:cs="Times New Roman"/>
          <w:sz w:val="24"/>
          <w:szCs w:val="24"/>
        </w:rPr>
        <w:t xml:space="preserve"> </w:t>
      </w:r>
      <w:r w:rsidR="00F773D8" w:rsidRPr="00347697">
        <w:rPr>
          <w:rFonts w:ascii="Times New Roman" w:hAnsi="Times New Roman" w:cs="Times New Roman"/>
          <w:sz w:val="24"/>
          <w:szCs w:val="24"/>
        </w:rPr>
        <w:t xml:space="preserve">students </w:t>
      </w:r>
      <w:r w:rsidR="00CC16C6" w:rsidRPr="00347697">
        <w:rPr>
          <w:rFonts w:ascii="Times New Roman" w:hAnsi="Times New Roman" w:cs="Times New Roman"/>
          <w:sz w:val="24"/>
          <w:szCs w:val="24"/>
        </w:rPr>
        <w:t>(</w:t>
      </w:r>
      <w:r w:rsidR="00F773D8" w:rsidRPr="00347697">
        <w:rPr>
          <w:rFonts w:ascii="Times New Roman" w:hAnsi="Times New Roman" w:cs="Times New Roman"/>
          <w:sz w:val="24"/>
          <w:szCs w:val="24"/>
        </w:rPr>
        <w:t xml:space="preserve">see the </w:t>
      </w:r>
      <w:r w:rsidR="00C84015">
        <w:rPr>
          <w:rFonts w:ascii="Times New Roman" w:hAnsi="Times New Roman" w:cs="Times New Roman"/>
          <w:sz w:val="24"/>
          <w:szCs w:val="24"/>
        </w:rPr>
        <w:t>last</w:t>
      </w:r>
      <w:r w:rsidR="00C84015" w:rsidRPr="00347697">
        <w:rPr>
          <w:rFonts w:ascii="Times New Roman" w:hAnsi="Times New Roman" w:cs="Times New Roman"/>
          <w:sz w:val="24"/>
          <w:szCs w:val="24"/>
        </w:rPr>
        <w:t xml:space="preserve"> </w:t>
      </w:r>
      <w:r w:rsidR="00F773D8" w:rsidRPr="00347697">
        <w:rPr>
          <w:rFonts w:ascii="Times New Roman" w:hAnsi="Times New Roman" w:cs="Times New Roman"/>
          <w:sz w:val="24"/>
          <w:szCs w:val="24"/>
        </w:rPr>
        <w:t xml:space="preserve">column of figures in Table </w:t>
      </w:r>
      <w:r w:rsidR="00C403FA" w:rsidRPr="00347697">
        <w:rPr>
          <w:rFonts w:ascii="Times New Roman" w:hAnsi="Times New Roman" w:cs="Times New Roman"/>
          <w:sz w:val="24"/>
          <w:szCs w:val="24"/>
        </w:rPr>
        <w:t>3</w:t>
      </w:r>
      <w:r w:rsidR="00F773D8" w:rsidRPr="00347697">
        <w:rPr>
          <w:rFonts w:ascii="Times New Roman" w:hAnsi="Times New Roman" w:cs="Times New Roman"/>
          <w:sz w:val="24"/>
          <w:szCs w:val="24"/>
        </w:rPr>
        <w:t>)</w:t>
      </w:r>
      <w:r w:rsidR="00FA6A25" w:rsidRPr="00347697">
        <w:rPr>
          <w:rFonts w:ascii="Times New Roman" w:hAnsi="Times New Roman" w:cs="Times New Roman"/>
          <w:sz w:val="24"/>
          <w:szCs w:val="24"/>
        </w:rPr>
        <w:t xml:space="preserve">.  </w:t>
      </w:r>
      <w:r w:rsidR="00822D35" w:rsidRPr="00347697">
        <w:rPr>
          <w:rFonts w:ascii="Times New Roman" w:hAnsi="Times New Roman" w:cs="Times New Roman"/>
          <w:sz w:val="24"/>
          <w:szCs w:val="24"/>
        </w:rPr>
        <w:t xml:space="preserve">When counted from the term of first math enrollment, </w:t>
      </w:r>
      <w:r w:rsidR="00FA6A25" w:rsidRPr="00347697">
        <w:rPr>
          <w:rFonts w:ascii="Times New Roman" w:hAnsi="Times New Roman" w:cs="Times New Roman"/>
          <w:sz w:val="24"/>
          <w:szCs w:val="24"/>
        </w:rPr>
        <w:t xml:space="preserve">Math B65 students </w:t>
      </w:r>
      <w:r w:rsidR="00822D35" w:rsidRPr="00347697">
        <w:rPr>
          <w:rFonts w:ascii="Times New Roman" w:hAnsi="Times New Roman" w:cs="Times New Roman"/>
          <w:sz w:val="24"/>
          <w:szCs w:val="24"/>
        </w:rPr>
        <w:t>achieve</w:t>
      </w:r>
      <w:r w:rsidR="00FA6A25" w:rsidRPr="00347697">
        <w:rPr>
          <w:rFonts w:ascii="Times New Roman" w:hAnsi="Times New Roman" w:cs="Times New Roman"/>
          <w:sz w:val="24"/>
          <w:szCs w:val="24"/>
        </w:rPr>
        <w:t xml:space="preserve"> transfer-level competency one-</w:t>
      </w:r>
      <w:r w:rsidR="00C84015">
        <w:rPr>
          <w:rFonts w:ascii="Times New Roman" w:hAnsi="Times New Roman" w:cs="Times New Roman"/>
          <w:sz w:val="24"/>
          <w:szCs w:val="24"/>
        </w:rPr>
        <w:t>third</w:t>
      </w:r>
      <w:r w:rsidR="00C84015" w:rsidRPr="00347697">
        <w:rPr>
          <w:rFonts w:ascii="Times New Roman" w:hAnsi="Times New Roman" w:cs="Times New Roman"/>
          <w:sz w:val="24"/>
          <w:szCs w:val="24"/>
        </w:rPr>
        <w:t xml:space="preserve"> </w:t>
      </w:r>
      <w:r w:rsidR="00FA6A25" w:rsidRPr="00347697">
        <w:rPr>
          <w:rFonts w:ascii="Times New Roman" w:hAnsi="Times New Roman" w:cs="Times New Roman"/>
          <w:sz w:val="24"/>
          <w:szCs w:val="24"/>
        </w:rPr>
        <w:t xml:space="preserve">of one term earlier than do LRNC </w:t>
      </w:r>
      <w:r w:rsidR="00B95D49" w:rsidRPr="00347697">
        <w:rPr>
          <w:rFonts w:ascii="Times New Roman" w:hAnsi="Times New Roman" w:cs="Times New Roman"/>
          <w:sz w:val="24"/>
          <w:szCs w:val="24"/>
        </w:rPr>
        <w:t>B530</w:t>
      </w:r>
      <w:r w:rsidR="00B95D49" w:rsidRPr="00972882">
        <w:rPr>
          <w:rFonts w:ascii="Times New Roman" w:hAnsi="Times New Roman" w:cs="Times New Roman"/>
          <w:i/>
          <w:sz w:val="24"/>
          <w:szCs w:val="24"/>
        </w:rPr>
        <w:t>f</w:t>
      </w:r>
      <w:r w:rsidR="00B95D49" w:rsidRPr="00347697">
        <w:rPr>
          <w:rFonts w:ascii="Times New Roman" w:hAnsi="Times New Roman" w:cs="Times New Roman"/>
          <w:sz w:val="24"/>
          <w:szCs w:val="24"/>
        </w:rPr>
        <w:t xml:space="preserve"> </w:t>
      </w:r>
      <w:r w:rsidR="00C84015">
        <w:rPr>
          <w:rFonts w:ascii="Times New Roman" w:hAnsi="Times New Roman" w:cs="Times New Roman"/>
          <w:sz w:val="24"/>
          <w:szCs w:val="24"/>
        </w:rPr>
        <w:t xml:space="preserve"> students </w:t>
      </w:r>
      <w:r w:rsidR="00FA6A25" w:rsidRPr="00347697">
        <w:rPr>
          <w:rFonts w:ascii="Times New Roman" w:hAnsi="Times New Roman" w:cs="Times New Roman"/>
          <w:sz w:val="24"/>
          <w:szCs w:val="24"/>
        </w:rPr>
        <w:t xml:space="preserve">and </w:t>
      </w:r>
      <w:r w:rsidR="00C84015">
        <w:rPr>
          <w:rFonts w:ascii="Times New Roman" w:hAnsi="Times New Roman" w:cs="Times New Roman"/>
          <w:sz w:val="24"/>
          <w:szCs w:val="24"/>
        </w:rPr>
        <w:t xml:space="preserve">more than one and one-half terms </w:t>
      </w:r>
      <w:r w:rsidR="00FA6A25" w:rsidRPr="00347697">
        <w:rPr>
          <w:rFonts w:ascii="Times New Roman" w:hAnsi="Times New Roman" w:cs="Times New Roman"/>
          <w:sz w:val="24"/>
          <w:szCs w:val="24"/>
        </w:rPr>
        <w:t xml:space="preserve">earlier than do Math B60 students, on average.  </w:t>
      </w:r>
      <w:r w:rsidR="0021572F">
        <w:rPr>
          <w:rFonts w:ascii="Times New Roman" w:hAnsi="Times New Roman" w:cs="Times New Roman"/>
          <w:sz w:val="24"/>
          <w:szCs w:val="24"/>
        </w:rPr>
        <w:t>In turn</w:t>
      </w:r>
      <w:r w:rsidR="009C4716" w:rsidRPr="00347697">
        <w:rPr>
          <w:rFonts w:ascii="Times New Roman" w:hAnsi="Times New Roman" w:cs="Times New Roman"/>
          <w:sz w:val="24"/>
          <w:szCs w:val="24"/>
        </w:rPr>
        <w:t xml:space="preserve">, </w:t>
      </w:r>
      <w:r w:rsidR="00F773D8" w:rsidRPr="00347697">
        <w:rPr>
          <w:rFonts w:ascii="Times New Roman" w:hAnsi="Times New Roman" w:cs="Times New Roman"/>
          <w:sz w:val="24"/>
          <w:szCs w:val="24"/>
        </w:rPr>
        <w:t xml:space="preserve">LRNC </w:t>
      </w:r>
      <w:r w:rsidR="00B95D49" w:rsidRPr="00347697">
        <w:rPr>
          <w:rFonts w:ascii="Times New Roman" w:hAnsi="Times New Roman" w:cs="Times New Roman"/>
          <w:sz w:val="24"/>
          <w:szCs w:val="24"/>
        </w:rPr>
        <w:t>B530</w:t>
      </w:r>
      <w:r w:rsidR="00B95D49" w:rsidRPr="00972882">
        <w:rPr>
          <w:rFonts w:ascii="Times New Roman" w:hAnsi="Times New Roman" w:cs="Times New Roman"/>
          <w:i/>
          <w:sz w:val="24"/>
          <w:szCs w:val="24"/>
        </w:rPr>
        <w:t>f</w:t>
      </w:r>
      <w:r w:rsidR="00B95D49" w:rsidRPr="00347697">
        <w:rPr>
          <w:rFonts w:ascii="Times New Roman" w:hAnsi="Times New Roman" w:cs="Times New Roman"/>
          <w:sz w:val="24"/>
          <w:szCs w:val="24"/>
        </w:rPr>
        <w:t xml:space="preserve"> </w:t>
      </w:r>
      <w:r w:rsidR="00CC16C6" w:rsidRPr="00347697">
        <w:rPr>
          <w:rFonts w:ascii="Times New Roman" w:hAnsi="Times New Roman" w:cs="Times New Roman"/>
          <w:sz w:val="24"/>
          <w:szCs w:val="24"/>
        </w:rPr>
        <w:t xml:space="preserve">students </w:t>
      </w:r>
      <w:r w:rsidR="0046529B" w:rsidRPr="00347697">
        <w:rPr>
          <w:rFonts w:ascii="Times New Roman" w:hAnsi="Times New Roman" w:cs="Times New Roman"/>
          <w:sz w:val="24"/>
          <w:szCs w:val="24"/>
        </w:rPr>
        <w:t>achieve</w:t>
      </w:r>
      <w:r w:rsidR="009C4716" w:rsidRPr="00347697">
        <w:rPr>
          <w:rFonts w:ascii="Times New Roman" w:hAnsi="Times New Roman" w:cs="Times New Roman"/>
          <w:sz w:val="24"/>
          <w:szCs w:val="24"/>
        </w:rPr>
        <w:t xml:space="preserve"> </w:t>
      </w:r>
      <w:r w:rsidR="00F773D8" w:rsidRPr="00347697">
        <w:rPr>
          <w:rFonts w:ascii="Times New Roman" w:hAnsi="Times New Roman" w:cs="Times New Roman"/>
          <w:sz w:val="24"/>
          <w:szCs w:val="24"/>
        </w:rPr>
        <w:t xml:space="preserve">transfer-level competency </w:t>
      </w:r>
      <w:r w:rsidR="00CC16C6" w:rsidRPr="00347697">
        <w:rPr>
          <w:rFonts w:ascii="Times New Roman" w:hAnsi="Times New Roman" w:cs="Times New Roman"/>
          <w:sz w:val="24"/>
          <w:szCs w:val="24"/>
        </w:rPr>
        <w:t xml:space="preserve">more quickly than do </w:t>
      </w:r>
      <w:r w:rsidR="00F773D8" w:rsidRPr="00347697">
        <w:rPr>
          <w:rFonts w:ascii="Times New Roman" w:hAnsi="Times New Roman" w:cs="Times New Roman"/>
          <w:sz w:val="24"/>
          <w:szCs w:val="24"/>
        </w:rPr>
        <w:t>Math B60</w:t>
      </w:r>
      <w:r w:rsidR="00CC16C6" w:rsidRPr="00347697">
        <w:rPr>
          <w:rFonts w:ascii="Times New Roman" w:hAnsi="Times New Roman" w:cs="Times New Roman"/>
          <w:sz w:val="24"/>
          <w:szCs w:val="24"/>
        </w:rPr>
        <w:t xml:space="preserve"> students</w:t>
      </w:r>
      <w:r w:rsidR="00822D35" w:rsidRPr="00347697">
        <w:rPr>
          <w:rFonts w:ascii="Times New Roman" w:hAnsi="Times New Roman" w:cs="Times New Roman"/>
          <w:sz w:val="24"/>
          <w:szCs w:val="24"/>
        </w:rPr>
        <w:t xml:space="preserve">, and this holds true </w:t>
      </w:r>
      <w:r w:rsidR="00CC16C6" w:rsidRPr="00347697">
        <w:rPr>
          <w:rFonts w:ascii="Times New Roman" w:hAnsi="Times New Roman" w:cs="Times New Roman"/>
          <w:sz w:val="24"/>
          <w:szCs w:val="24"/>
        </w:rPr>
        <w:t>regardless of the greater average delay of first math</w:t>
      </w:r>
      <w:r w:rsidR="00822D35" w:rsidRPr="00347697">
        <w:rPr>
          <w:rFonts w:ascii="Times New Roman" w:hAnsi="Times New Roman" w:cs="Times New Roman"/>
          <w:sz w:val="24"/>
          <w:szCs w:val="24"/>
        </w:rPr>
        <w:t xml:space="preserve"> </w:t>
      </w:r>
      <w:r w:rsidR="0046529B" w:rsidRPr="00347697">
        <w:rPr>
          <w:rFonts w:ascii="Times New Roman" w:hAnsi="Times New Roman" w:cs="Times New Roman"/>
          <w:sz w:val="24"/>
          <w:szCs w:val="24"/>
        </w:rPr>
        <w:t xml:space="preserve">enrollment </w:t>
      </w:r>
      <w:r w:rsidR="00822D35" w:rsidRPr="00347697">
        <w:rPr>
          <w:rFonts w:ascii="Times New Roman" w:hAnsi="Times New Roman" w:cs="Times New Roman"/>
          <w:sz w:val="24"/>
          <w:szCs w:val="24"/>
        </w:rPr>
        <w:t>observed</w:t>
      </w:r>
      <w:r w:rsidR="00CC16C6" w:rsidRPr="00347697">
        <w:rPr>
          <w:rFonts w:ascii="Times New Roman" w:hAnsi="Times New Roman" w:cs="Times New Roman"/>
          <w:sz w:val="24"/>
          <w:szCs w:val="24"/>
        </w:rPr>
        <w:t xml:space="preserve"> among LRNC </w:t>
      </w:r>
      <w:r w:rsidR="00B95D49" w:rsidRPr="00347697">
        <w:rPr>
          <w:rFonts w:ascii="Times New Roman" w:hAnsi="Times New Roman" w:cs="Times New Roman"/>
          <w:sz w:val="24"/>
          <w:szCs w:val="24"/>
        </w:rPr>
        <w:t>B530</w:t>
      </w:r>
      <w:r w:rsidR="00B95D49" w:rsidRPr="00972882">
        <w:rPr>
          <w:rFonts w:ascii="Times New Roman" w:hAnsi="Times New Roman" w:cs="Times New Roman"/>
          <w:i/>
          <w:sz w:val="24"/>
          <w:szCs w:val="24"/>
        </w:rPr>
        <w:t>f</w:t>
      </w:r>
      <w:r w:rsidR="00B95D49" w:rsidRPr="00347697">
        <w:rPr>
          <w:rFonts w:ascii="Times New Roman" w:hAnsi="Times New Roman" w:cs="Times New Roman"/>
          <w:sz w:val="24"/>
          <w:szCs w:val="24"/>
        </w:rPr>
        <w:t xml:space="preserve"> </w:t>
      </w:r>
      <w:r w:rsidR="00CC16C6" w:rsidRPr="00347697">
        <w:rPr>
          <w:rFonts w:ascii="Times New Roman" w:hAnsi="Times New Roman" w:cs="Times New Roman"/>
          <w:sz w:val="24"/>
          <w:szCs w:val="24"/>
        </w:rPr>
        <w:t>students</w:t>
      </w:r>
      <w:r w:rsidR="00F773D8" w:rsidRPr="00347697">
        <w:rPr>
          <w:rFonts w:ascii="Times New Roman" w:hAnsi="Times New Roman" w:cs="Times New Roman"/>
          <w:sz w:val="24"/>
          <w:szCs w:val="24"/>
        </w:rPr>
        <w:t xml:space="preserve">.  </w:t>
      </w:r>
    </w:p>
    <w:p w14:paraId="21902D24" w14:textId="45F437F8" w:rsidR="003A6750" w:rsidRDefault="003A6750" w:rsidP="00A91091">
      <w:pPr>
        <w:spacing w:after="0" w:line="240" w:lineRule="auto"/>
        <w:rPr>
          <w:rFonts w:ascii="Times New Roman" w:hAnsi="Times New Roman" w:cs="Times New Roman"/>
          <w:sz w:val="24"/>
          <w:szCs w:val="24"/>
        </w:rPr>
      </w:pPr>
    </w:p>
    <w:p w14:paraId="45141051" w14:textId="7AF9E95B" w:rsidR="003A6750" w:rsidRPr="0051272A" w:rsidRDefault="003A6750" w:rsidP="0051272A">
      <w:pPr>
        <w:spacing w:after="0" w:line="240" w:lineRule="auto"/>
        <w:rPr>
          <w:rFonts w:ascii="Times New Roman" w:hAnsi="Times New Roman" w:cs="Times New Roman"/>
          <w:sz w:val="24"/>
          <w:szCs w:val="24"/>
        </w:rPr>
      </w:pPr>
      <w:r>
        <w:rPr>
          <w:rFonts w:ascii="Times New Roman" w:hAnsi="Times New Roman" w:cs="Times New Roman"/>
          <w:sz w:val="24"/>
          <w:szCs w:val="24"/>
        </w:rPr>
        <w:t>Importantly, only</w:t>
      </w:r>
      <w:r w:rsidR="0051272A">
        <w:rPr>
          <w:rFonts w:ascii="Times New Roman" w:hAnsi="Times New Roman" w:cs="Times New Roman"/>
          <w:sz w:val="24"/>
          <w:szCs w:val="24"/>
        </w:rPr>
        <w:t xml:space="preserve"> Math B65 and </w:t>
      </w:r>
      <w:r w:rsidR="0051272A" w:rsidRPr="00347697">
        <w:rPr>
          <w:rFonts w:ascii="Times New Roman" w:hAnsi="Times New Roman" w:cs="Times New Roman"/>
          <w:sz w:val="24"/>
          <w:szCs w:val="24"/>
        </w:rPr>
        <w:t>LRNC B530</w:t>
      </w:r>
      <w:r w:rsidR="0051272A" w:rsidRPr="00972882">
        <w:rPr>
          <w:rFonts w:ascii="Times New Roman" w:hAnsi="Times New Roman" w:cs="Times New Roman"/>
          <w:i/>
          <w:sz w:val="24"/>
          <w:szCs w:val="24"/>
        </w:rPr>
        <w:t>f</w:t>
      </w:r>
      <w:r w:rsidR="0051272A">
        <w:rPr>
          <w:rFonts w:ascii="Times New Roman" w:hAnsi="Times New Roman" w:cs="Times New Roman"/>
          <w:sz w:val="24"/>
          <w:szCs w:val="24"/>
        </w:rPr>
        <w:t xml:space="preserve"> have average times to transfer-level competency that are less than the time specified in the implementation of AB705. </w:t>
      </w:r>
      <w:r w:rsidR="002F1633">
        <w:rPr>
          <w:rFonts w:ascii="Times New Roman" w:hAnsi="Times New Roman" w:cs="Times New Roman"/>
          <w:sz w:val="24"/>
          <w:szCs w:val="24"/>
        </w:rPr>
        <w:t xml:space="preserve"> </w:t>
      </w:r>
      <w:r w:rsidR="0051272A">
        <w:rPr>
          <w:rFonts w:ascii="Times New Roman" w:hAnsi="Times New Roman" w:cs="Times New Roman"/>
          <w:sz w:val="24"/>
          <w:szCs w:val="24"/>
        </w:rPr>
        <w:t xml:space="preserve">The reader will note </w:t>
      </w:r>
      <w:r w:rsidR="002F1633">
        <w:rPr>
          <w:rFonts w:ascii="Times New Roman" w:hAnsi="Times New Roman" w:cs="Times New Roman"/>
          <w:sz w:val="24"/>
          <w:szCs w:val="24"/>
        </w:rPr>
        <w:t>that</w:t>
      </w:r>
      <w:r w:rsidR="0051272A">
        <w:rPr>
          <w:rFonts w:ascii="Times New Roman" w:hAnsi="Times New Roman" w:cs="Times New Roman"/>
          <w:sz w:val="24"/>
          <w:szCs w:val="24"/>
        </w:rPr>
        <w:t xml:space="preserve"> an average of </w:t>
      </w:r>
      <w:r w:rsidR="00107454">
        <w:rPr>
          <w:rFonts w:ascii="Times New Roman" w:hAnsi="Times New Roman" w:cs="Times New Roman"/>
          <w:sz w:val="24"/>
          <w:szCs w:val="24"/>
        </w:rPr>
        <w:t>three</w:t>
      </w:r>
      <w:r w:rsidR="0051272A">
        <w:rPr>
          <w:rFonts w:ascii="Times New Roman" w:hAnsi="Times New Roman" w:cs="Times New Roman"/>
          <w:sz w:val="24"/>
          <w:szCs w:val="24"/>
        </w:rPr>
        <w:t xml:space="preserve"> terms from first attempted math course is equivalent to the </w:t>
      </w:r>
      <w:r w:rsidR="00107454">
        <w:rPr>
          <w:rFonts w:ascii="Times New Roman" w:hAnsi="Times New Roman" w:cs="Times New Roman"/>
          <w:sz w:val="24"/>
          <w:szCs w:val="24"/>
        </w:rPr>
        <w:t>two</w:t>
      </w:r>
      <w:r w:rsidR="0051272A">
        <w:rPr>
          <w:rFonts w:ascii="Times New Roman" w:hAnsi="Times New Roman" w:cs="Times New Roman"/>
          <w:sz w:val="24"/>
          <w:szCs w:val="24"/>
        </w:rPr>
        <w:t xml:space="preserve"> </w:t>
      </w:r>
      <w:r w:rsidR="0051272A" w:rsidRPr="0072729B">
        <w:rPr>
          <w:rFonts w:ascii="Times New Roman" w:hAnsi="Times New Roman" w:cs="Times New Roman"/>
          <w:i/>
          <w:sz w:val="24"/>
          <w:szCs w:val="24"/>
        </w:rPr>
        <w:t>regular</w:t>
      </w:r>
      <w:r w:rsidR="0051272A">
        <w:rPr>
          <w:rFonts w:ascii="Times New Roman" w:hAnsi="Times New Roman" w:cs="Times New Roman"/>
          <w:sz w:val="24"/>
          <w:szCs w:val="24"/>
        </w:rPr>
        <w:t xml:space="preserve"> terms </w:t>
      </w:r>
      <w:r w:rsidR="0051272A">
        <w:rPr>
          <w:rFonts w:ascii="Times New Roman" w:hAnsi="Times New Roman" w:cs="Times New Roman"/>
          <w:sz w:val="24"/>
          <w:szCs w:val="24"/>
        </w:rPr>
        <w:lastRenderedPageBreak/>
        <w:t xml:space="preserve">specified in the implementation of AB705 because the </w:t>
      </w:r>
      <w:r w:rsidR="00107454">
        <w:rPr>
          <w:rFonts w:ascii="Times New Roman" w:hAnsi="Times New Roman" w:cs="Times New Roman"/>
          <w:sz w:val="24"/>
          <w:szCs w:val="24"/>
        </w:rPr>
        <w:t>analysis</w:t>
      </w:r>
      <w:r w:rsidR="0051272A">
        <w:rPr>
          <w:rFonts w:ascii="Times New Roman" w:hAnsi="Times New Roman" w:cs="Times New Roman"/>
          <w:sz w:val="24"/>
          <w:szCs w:val="24"/>
        </w:rPr>
        <w:t xml:space="preserve"> reported here counts summer terms.</w:t>
      </w:r>
    </w:p>
    <w:p w14:paraId="5C31255F" w14:textId="38809F52" w:rsidR="00AA4C08" w:rsidRPr="00347697" w:rsidRDefault="00AA4C08" w:rsidP="00DF7695">
      <w:pPr>
        <w:spacing w:after="0" w:line="240" w:lineRule="auto"/>
        <w:rPr>
          <w:rFonts w:ascii="Times New Roman" w:hAnsi="Times New Roman" w:cs="Times New Roman"/>
          <w:sz w:val="24"/>
          <w:szCs w:val="24"/>
        </w:rPr>
      </w:pPr>
    </w:p>
    <w:p w14:paraId="64739BA8" w14:textId="522FCE87" w:rsidR="008F5DC5" w:rsidRPr="00347697" w:rsidRDefault="00C13116" w:rsidP="00DF7695">
      <w:pPr>
        <w:spacing w:after="0" w:line="240" w:lineRule="auto"/>
        <w:rPr>
          <w:rFonts w:ascii="Times New Roman" w:hAnsi="Times New Roman" w:cs="Times New Roman"/>
          <w:b/>
          <w:sz w:val="24"/>
          <w:szCs w:val="24"/>
        </w:rPr>
      </w:pPr>
      <w:r w:rsidRPr="00845244">
        <w:rPr>
          <w:rFonts w:ascii="Times New Roman" w:hAnsi="Times New Roman" w:cs="Times New Roman"/>
          <w:b/>
          <w:sz w:val="24"/>
          <w:szCs w:val="24"/>
        </w:rPr>
        <w:t>5</w:t>
      </w:r>
      <w:r w:rsidR="004F61FA" w:rsidRPr="00C82A2B">
        <w:rPr>
          <w:rFonts w:ascii="Times New Roman" w:hAnsi="Times New Roman" w:cs="Times New Roman"/>
          <w:b/>
          <w:sz w:val="24"/>
          <w:szCs w:val="24"/>
        </w:rPr>
        <w:t>.</w:t>
      </w:r>
      <w:r w:rsidR="00C43974" w:rsidRPr="00C82A2B">
        <w:rPr>
          <w:rFonts w:ascii="Times New Roman" w:hAnsi="Times New Roman" w:cs="Times New Roman"/>
          <w:b/>
          <w:sz w:val="24"/>
          <w:szCs w:val="24"/>
        </w:rPr>
        <w:t>3</w:t>
      </w:r>
      <w:r w:rsidR="00E654EE" w:rsidRPr="00C82A2B">
        <w:rPr>
          <w:rFonts w:ascii="Times New Roman" w:hAnsi="Times New Roman" w:cs="Times New Roman"/>
          <w:b/>
          <w:sz w:val="24"/>
          <w:szCs w:val="24"/>
        </w:rPr>
        <w:t xml:space="preserve"> </w:t>
      </w:r>
      <w:r w:rsidR="008D12D3" w:rsidRPr="00C82A2B">
        <w:rPr>
          <w:rFonts w:ascii="Times New Roman" w:hAnsi="Times New Roman" w:cs="Times New Roman"/>
          <w:b/>
          <w:sz w:val="24"/>
          <w:szCs w:val="24"/>
        </w:rPr>
        <w:t>Operationalizing</w:t>
      </w:r>
      <w:r w:rsidR="009F160B" w:rsidRPr="00C82A2B">
        <w:rPr>
          <w:rFonts w:ascii="Times New Roman" w:hAnsi="Times New Roman" w:cs="Times New Roman"/>
          <w:b/>
          <w:sz w:val="24"/>
          <w:szCs w:val="24"/>
        </w:rPr>
        <w:t xml:space="preserve"> Math Pathways</w:t>
      </w:r>
    </w:p>
    <w:p w14:paraId="4A4F7EF1" w14:textId="280B89D4" w:rsidR="008D12D3" w:rsidRPr="00347697" w:rsidRDefault="008D12D3" w:rsidP="00DA4AEC">
      <w:pPr>
        <w:spacing w:after="0" w:line="240" w:lineRule="auto"/>
        <w:rPr>
          <w:rFonts w:ascii="Times New Roman" w:hAnsi="Times New Roman" w:cs="Times New Roman"/>
          <w:i/>
          <w:sz w:val="24"/>
          <w:szCs w:val="24"/>
        </w:rPr>
      </w:pPr>
    </w:p>
    <w:p w14:paraId="78677328" w14:textId="79D7E3F9" w:rsidR="00EC76C9" w:rsidRPr="00347697" w:rsidRDefault="00EC76C9" w:rsidP="001B63A6">
      <w:pPr>
        <w:spacing w:after="0" w:line="240" w:lineRule="auto"/>
        <w:rPr>
          <w:rFonts w:ascii="Times New Roman" w:hAnsi="Times New Roman" w:cs="Times New Roman"/>
          <w:sz w:val="24"/>
          <w:szCs w:val="24"/>
          <w:u w:val="single"/>
        </w:rPr>
      </w:pPr>
      <w:r w:rsidRPr="00347697">
        <w:rPr>
          <w:rFonts w:ascii="Times New Roman" w:hAnsi="Times New Roman" w:cs="Times New Roman"/>
          <w:sz w:val="24"/>
          <w:szCs w:val="24"/>
          <w:u w:val="single"/>
        </w:rPr>
        <w:t>Questions</w:t>
      </w:r>
    </w:p>
    <w:p w14:paraId="33B9CC1B" w14:textId="77777777" w:rsidR="00EC76C9" w:rsidRPr="00347697" w:rsidRDefault="00EC76C9" w:rsidP="001B63A6">
      <w:pPr>
        <w:spacing w:after="0" w:line="240" w:lineRule="auto"/>
        <w:rPr>
          <w:rFonts w:ascii="Times New Roman" w:hAnsi="Times New Roman" w:cs="Times New Roman"/>
          <w:sz w:val="24"/>
          <w:szCs w:val="24"/>
        </w:rPr>
      </w:pPr>
    </w:p>
    <w:p w14:paraId="2C0E7C59" w14:textId="4EFD3BC0" w:rsidR="00C0433E" w:rsidRPr="00347697" w:rsidRDefault="001B63A6" w:rsidP="001B63A6">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The analysis in the </w:t>
      </w:r>
      <w:r w:rsidR="00C0433E" w:rsidRPr="00347697">
        <w:rPr>
          <w:rFonts w:ascii="Times New Roman" w:hAnsi="Times New Roman" w:cs="Times New Roman"/>
          <w:sz w:val="24"/>
          <w:szCs w:val="24"/>
        </w:rPr>
        <w:t>previous section</w:t>
      </w:r>
      <w:r w:rsidRPr="00347697">
        <w:rPr>
          <w:rFonts w:ascii="Times New Roman" w:hAnsi="Times New Roman" w:cs="Times New Roman"/>
          <w:sz w:val="24"/>
          <w:szCs w:val="24"/>
        </w:rPr>
        <w:t xml:space="preserve"> demonstrated </w:t>
      </w:r>
      <w:r w:rsidR="00D032AA" w:rsidRPr="00347697">
        <w:rPr>
          <w:rFonts w:ascii="Times New Roman" w:hAnsi="Times New Roman" w:cs="Times New Roman"/>
          <w:sz w:val="24"/>
          <w:szCs w:val="24"/>
        </w:rPr>
        <w:t xml:space="preserve">marked </w:t>
      </w:r>
      <w:r w:rsidRPr="00347697">
        <w:rPr>
          <w:rFonts w:ascii="Times New Roman" w:hAnsi="Times New Roman" w:cs="Times New Roman"/>
          <w:sz w:val="24"/>
          <w:szCs w:val="24"/>
        </w:rPr>
        <w:t xml:space="preserve">differences </w:t>
      </w:r>
      <w:r w:rsidR="00C0433E" w:rsidRPr="00347697">
        <w:rPr>
          <w:rFonts w:ascii="Times New Roman" w:hAnsi="Times New Roman" w:cs="Times New Roman"/>
          <w:sz w:val="24"/>
          <w:szCs w:val="24"/>
        </w:rPr>
        <w:t xml:space="preserve">by first developmental </w:t>
      </w:r>
      <w:r w:rsidR="00D032AA" w:rsidRPr="00347697">
        <w:rPr>
          <w:rFonts w:ascii="Times New Roman" w:hAnsi="Times New Roman" w:cs="Times New Roman"/>
          <w:sz w:val="24"/>
          <w:szCs w:val="24"/>
        </w:rPr>
        <w:t xml:space="preserve">math </w:t>
      </w:r>
      <w:r w:rsidR="00C0433E" w:rsidRPr="00347697">
        <w:rPr>
          <w:rFonts w:ascii="Times New Roman" w:hAnsi="Times New Roman" w:cs="Times New Roman"/>
          <w:sz w:val="24"/>
          <w:szCs w:val="24"/>
        </w:rPr>
        <w:t xml:space="preserve">course in </w:t>
      </w:r>
      <w:r w:rsidR="001D2B18" w:rsidRPr="00347697">
        <w:rPr>
          <w:rFonts w:ascii="Times New Roman" w:hAnsi="Times New Roman" w:cs="Times New Roman"/>
          <w:sz w:val="24"/>
          <w:szCs w:val="24"/>
        </w:rPr>
        <w:t xml:space="preserve">the </w:t>
      </w:r>
      <w:r w:rsidR="00C0433E" w:rsidRPr="00347697">
        <w:rPr>
          <w:rFonts w:ascii="Times New Roman" w:hAnsi="Times New Roman" w:cs="Times New Roman"/>
          <w:sz w:val="24"/>
          <w:szCs w:val="24"/>
        </w:rPr>
        <w:t>rate at which students complete their first math course successfully on the first attempt</w:t>
      </w:r>
      <w:r w:rsidR="001D2B18" w:rsidRPr="00347697">
        <w:rPr>
          <w:rFonts w:ascii="Times New Roman" w:hAnsi="Times New Roman" w:cs="Times New Roman"/>
          <w:sz w:val="24"/>
          <w:szCs w:val="24"/>
        </w:rPr>
        <w:t xml:space="preserve"> and the rate at which students </w:t>
      </w:r>
      <w:r w:rsidR="00D032AA" w:rsidRPr="00347697">
        <w:rPr>
          <w:rFonts w:ascii="Times New Roman" w:hAnsi="Times New Roman" w:cs="Times New Roman"/>
          <w:sz w:val="24"/>
          <w:szCs w:val="24"/>
        </w:rPr>
        <w:t xml:space="preserve">ultimately achieve </w:t>
      </w:r>
      <w:r w:rsidR="001D2B18" w:rsidRPr="00347697">
        <w:rPr>
          <w:rFonts w:ascii="Times New Roman" w:hAnsi="Times New Roman" w:cs="Times New Roman"/>
          <w:sz w:val="24"/>
          <w:szCs w:val="24"/>
        </w:rPr>
        <w:t xml:space="preserve">various levels of quantitative competency.  Prior research demonstrates a strong relationship between </w:t>
      </w:r>
      <w:r w:rsidR="00C0433E" w:rsidRPr="00347697">
        <w:rPr>
          <w:rFonts w:ascii="Times New Roman" w:hAnsi="Times New Roman" w:cs="Times New Roman"/>
          <w:sz w:val="24"/>
          <w:szCs w:val="24"/>
        </w:rPr>
        <w:t>students</w:t>
      </w:r>
      <w:r w:rsidR="001D2B18" w:rsidRPr="00347697">
        <w:rPr>
          <w:rFonts w:ascii="Times New Roman" w:hAnsi="Times New Roman" w:cs="Times New Roman"/>
          <w:sz w:val="24"/>
          <w:szCs w:val="24"/>
        </w:rPr>
        <w:t>’</w:t>
      </w:r>
      <w:r w:rsidR="00C0433E" w:rsidRPr="00347697">
        <w:rPr>
          <w:rFonts w:ascii="Times New Roman" w:hAnsi="Times New Roman" w:cs="Times New Roman"/>
          <w:sz w:val="24"/>
          <w:szCs w:val="24"/>
        </w:rPr>
        <w:t xml:space="preserve"> success (or not) in </w:t>
      </w:r>
      <w:r w:rsidR="001D2B18" w:rsidRPr="00347697">
        <w:rPr>
          <w:rFonts w:ascii="Times New Roman" w:hAnsi="Times New Roman" w:cs="Times New Roman"/>
          <w:sz w:val="24"/>
          <w:szCs w:val="24"/>
        </w:rPr>
        <w:t xml:space="preserve">their </w:t>
      </w:r>
      <w:r w:rsidR="00C0433E" w:rsidRPr="00347697">
        <w:rPr>
          <w:rFonts w:ascii="Times New Roman" w:hAnsi="Times New Roman" w:cs="Times New Roman"/>
          <w:sz w:val="24"/>
          <w:szCs w:val="24"/>
        </w:rPr>
        <w:t xml:space="preserve">first math course </w:t>
      </w:r>
      <w:r w:rsidR="001D2B18" w:rsidRPr="00347697">
        <w:rPr>
          <w:rFonts w:ascii="Times New Roman" w:hAnsi="Times New Roman" w:cs="Times New Roman"/>
          <w:sz w:val="24"/>
          <w:szCs w:val="24"/>
        </w:rPr>
        <w:t xml:space="preserve">and </w:t>
      </w:r>
      <w:r w:rsidR="00C0433E" w:rsidRPr="00347697">
        <w:rPr>
          <w:rFonts w:ascii="Times New Roman" w:hAnsi="Times New Roman" w:cs="Times New Roman"/>
          <w:sz w:val="24"/>
          <w:szCs w:val="24"/>
        </w:rPr>
        <w:t xml:space="preserve">whether </w:t>
      </w:r>
      <w:r w:rsidR="001D2B18" w:rsidRPr="00347697">
        <w:rPr>
          <w:rFonts w:ascii="Times New Roman" w:hAnsi="Times New Roman" w:cs="Times New Roman"/>
          <w:sz w:val="24"/>
          <w:szCs w:val="24"/>
        </w:rPr>
        <w:t xml:space="preserve">they </w:t>
      </w:r>
      <w:r w:rsidR="00385C0E" w:rsidRPr="00347697">
        <w:rPr>
          <w:rFonts w:ascii="Times New Roman" w:hAnsi="Times New Roman" w:cs="Times New Roman"/>
          <w:sz w:val="24"/>
          <w:szCs w:val="24"/>
        </w:rPr>
        <w:t xml:space="preserve">eventually </w:t>
      </w:r>
      <w:r w:rsidR="001D2B18" w:rsidRPr="00347697">
        <w:rPr>
          <w:rFonts w:ascii="Times New Roman" w:hAnsi="Times New Roman" w:cs="Times New Roman"/>
          <w:sz w:val="24"/>
          <w:szCs w:val="24"/>
        </w:rPr>
        <w:t xml:space="preserve">achieve </w:t>
      </w:r>
      <w:r w:rsidR="00385C0E" w:rsidRPr="00347697">
        <w:rPr>
          <w:rFonts w:ascii="Times New Roman" w:hAnsi="Times New Roman" w:cs="Times New Roman"/>
          <w:sz w:val="24"/>
          <w:szCs w:val="24"/>
        </w:rPr>
        <w:t xml:space="preserve">transfer-level </w:t>
      </w:r>
      <w:r w:rsidR="001D2B18" w:rsidRPr="00347697">
        <w:rPr>
          <w:rFonts w:ascii="Times New Roman" w:hAnsi="Times New Roman" w:cs="Times New Roman"/>
          <w:sz w:val="24"/>
          <w:szCs w:val="24"/>
        </w:rPr>
        <w:t>quantitative</w:t>
      </w:r>
      <w:r w:rsidR="001D2B18">
        <w:rPr>
          <w:rFonts w:ascii="Times New Roman" w:hAnsi="Times New Roman" w:cs="Times New Roman"/>
          <w:sz w:val="24"/>
          <w:szCs w:val="24"/>
        </w:rPr>
        <w:t xml:space="preserve"> competency (</w:t>
      </w:r>
      <w:r w:rsidR="00F179F6">
        <w:rPr>
          <w:rFonts w:ascii="Times New Roman" w:hAnsi="Times New Roman" w:cs="Times New Roman"/>
          <w:sz w:val="24"/>
          <w:szCs w:val="24"/>
        </w:rPr>
        <w:t>Bahr, 2010</w:t>
      </w:r>
      <w:r w:rsidR="001D2B18">
        <w:rPr>
          <w:rFonts w:ascii="Times New Roman" w:hAnsi="Times New Roman" w:cs="Times New Roman"/>
          <w:sz w:val="24"/>
          <w:szCs w:val="24"/>
        </w:rPr>
        <w:t xml:space="preserve">).  This relationship </w:t>
      </w:r>
      <w:r w:rsidR="00C0433E" w:rsidRPr="00B6192F">
        <w:rPr>
          <w:rFonts w:ascii="Times New Roman" w:hAnsi="Times New Roman" w:cs="Times New Roman"/>
          <w:sz w:val="24"/>
          <w:szCs w:val="24"/>
        </w:rPr>
        <w:t>can be understood as a series of decisions</w:t>
      </w:r>
      <w:r w:rsidR="009A3BFA">
        <w:rPr>
          <w:rFonts w:ascii="Times New Roman" w:hAnsi="Times New Roman" w:cs="Times New Roman"/>
          <w:sz w:val="24"/>
          <w:szCs w:val="24"/>
        </w:rPr>
        <w:t xml:space="preserve"> that students make</w:t>
      </w:r>
      <w:r w:rsidR="00C0433E" w:rsidRPr="00B6192F">
        <w:rPr>
          <w:rFonts w:ascii="Times New Roman" w:hAnsi="Times New Roman" w:cs="Times New Roman"/>
          <w:sz w:val="24"/>
          <w:szCs w:val="24"/>
        </w:rPr>
        <w:t xml:space="preserve"> to </w:t>
      </w:r>
      <w:r w:rsidR="00C0433E" w:rsidRPr="00347697">
        <w:rPr>
          <w:rFonts w:ascii="Times New Roman" w:hAnsi="Times New Roman" w:cs="Times New Roman"/>
          <w:sz w:val="24"/>
          <w:szCs w:val="24"/>
        </w:rPr>
        <w:t xml:space="preserve">continue </w:t>
      </w:r>
      <w:r w:rsidR="00385C0E" w:rsidRPr="00347697">
        <w:rPr>
          <w:rFonts w:ascii="Times New Roman" w:hAnsi="Times New Roman" w:cs="Times New Roman"/>
          <w:sz w:val="24"/>
          <w:szCs w:val="24"/>
        </w:rPr>
        <w:t xml:space="preserve">(or not) </w:t>
      </w:r>
      <w:r w:rsidR="00C0433E" w:rsidRPr="00347697">
        <w:rPr>
          <w:rFonts w:ascii="Times New Roman" w:hAnsi="Times New Roman" w:cs="Times New Roman"/>
          <w:sz w:val="24"/>
          <w:szCs w:val="24"/>
        </w:rPr>
        <w:t xml:space="preserve">in math beyond the first math course, whether advancing to </w:t>
      </w:r>
      <w:r w:rsidR="00385C0E" w:rsidRPr="00347697">
        <w:rPr>
          <w:rFonts w:ascii="Times New Roman" w:hAnsi="Times New Roman" w:cs="Times New Roman"/>
          <w:sz w:val="24"/>
          <w:szCs w:val="24"/>
        </w:rPr>
        <w:t xml:space="preserve">a </w:t>
      </w:r>
      <w:r w:rsidR="00C0433E" w:rsidRPr="00347697">
        <w:rPr>
          <w:rFonts w:ascii="Times New Roman" w:hAnsi="Times New Roman" w:cs="Times New Roman"/>
          <w:sz w:val="24"/>
          <w:szCs w:val="24"/>
        </w:rPr>
        <w:t xml:space="preserve">second math course or reattempting the first math course if necessary, and then </w:t>
      </w:r>
      <w:r w:rsidR="00385C0E" w:rsidRPr="00347697">
        <w:rPr>
          <w:rFonts w:ascii="Times New Roman" w:hAnsi="Times New Roman" w:cs="Times New Roman"/>
          <w:sz w:val="24"/>
          <w:szCs w:val="24"/>
        </w:rPr>
        <w:t>to continue (or not)</w:t>
      </w:r>
      <w:r w:rsidR="00C0433E" w:rsidRPr="00347697">
        <w:rPr>
          <w:rFonts w:ascii="Times New Roman" w:hAnsi="Times New Roman" w:cs="Times New Roman"/>
          <w:sz w:val="24"/>
          <w:szCs w:val="24"/>
        </w:rPr>
        <w:t xml:space="preserve"> from </w:t>
      </w:r>
      <w:r w:rsidR="00E74242" w:rsidRPr="00347697">
        <w:rPr>
          <w:rFonts w:ascii="Times New Roman" w:hAnsi="Times New Roman" w:cs="Times New Roman"/>
          <w:sz w:val="24"/>
          <w:szCs w:val="24"/>
        </w:rPr>
        <w:t xml:space="preserve">the </w:t>
      </w:r>
      <w:r w:rsidR="00C0433E" w:rsidRPr="00347697">
        <w:rPr>
          <w:rFonts w:ascii="Times New Roman" w:hAnsi="Times New Roman" w:cs="Times New Roman"/>
          <w:sz w:val="24"/>
          <w:szCs w:val="24"/>
        </w:rPr>
        <w:t xml:space="preserve">second </w:t>
      </w:r>
      <w:r w:rsidR="00E74242" w:rsidRPr="00347697">
        <w:rPr>
          <w:rFonts w:ascii="Times New Roman" w:hAnsi="Times New Roman" w:cs="Times New Roman"/>
          <w:sz w:val="24"/>
          <w:szCs w:val="24"/>
        </w:rPr>
        <w:t xml:space="preserve">math course </w:t>
      </w:r>
      <w:r w:rsidR="00C0433E" w:rsidRPr="00347697">
        <w:rPr>
          <w:rFonts w:ascii="Times New Roman" w:hAnsi="Times New Roman" w:cs="Times New Roman"/>
          <w:sz w:val="24"/>
          <w:szCs w:val="24"/>
        </w:rPr>
        <w:t xml:space="preserve">to a third, and so on. </w:t>
      </w:r>
    </w:p>
    <w:p w14:paraId="21BF4B63" w14:textId="022761FE" w:rsidR="00C0433E" w:rsidRPr="00347697" w:rsidRDefault="00C0433E" w:rsidP="00DA4AEC">
      <w:pPr>
        <w:spacing w:after="0" w:line="240" w:lineRule="auto"/>
        <w:rPr>
          <w:rFonts w:ascii="Times New Roman" w:hAnsi="Times New Roman" w:cs="Times New Roman"/>
          <w:sz w:val="24"/>
          <w:szCs w:val="24"/>
        </w:rPr>
      </w:pPr>
    </w:p>
    <w:p w14:paraId="6CB2D357" w14:textId="1657657C" w:rsidR="00EC76C9" w:rsidRPr="00347697" w:rsidRDefault="00F21757" w:rsidP="00EC76C9">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This section poses two questions.  </w:t>
      </w:r>
      <w:r w:rsidRPr="00347697">
        <w:rPr>
          <w:rFonts w:ascii="Times New Roman" w:hAnsi="Times New Roman" w:cs="Times New Roman"/>
          <w:i/>
          <w:sz w:val="24"/>
          <w:szCs w:val="24"/>
        </w:rPr>
        <w:t>Focusing exclusively on transfer-seeking students</w:t>
      </w:r>
      <w:r w:rsidRPr="00347697">
        <w:rPr>
          <w:rFonts w:ascii="Times New Roman" w:hAnsi="Times New Roman" w:cs="Times New Roman"/>
          <w:sz w:val="24"/>
          <w:szCs w:val="24"/>
        </w:rPr>
        <w:t>, and t</w:t>
      </w:r>
      <w:r w:rsidR="00075141" w:rsidRPr="00347697">
        <w:rPr>
          <w:rFonts w:ascii="Times New Roman" w:hAnsi="Times New Roman" w:cs="Times New Roman"/>
          <w:sz w:val="24"/>
          <w:szCs w:val="24"/>
        </w:rPr>
        <w:t>aking into account students’ particular first math course and their outcome (successful versus unsuccessful) in their first attempt of that first math course:</w:t>
      </w:r>
    </w:p>
    <w:p w14:paraId="2F804D75" w14:textId="7B7D3D32" w:rsidR="00AA4642" w:rsidRPr="00347697" w:rsidRDefault="00AA4642" w:rsidP="00EF6CD7">
      <w:pPr>
        <w:pStyle w:val="ListParagraph"/>
        <w:numPr>
          <w:ilvl w:val="0"/>
          <w:numId w:val="1"/>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How likely are students to attempt a second math course, including repeating the first math course if necessary? </w:t>
      </w:r>
    </w:p>
    <w:p w14:paraId="68285D84" w14:textId="07BFE613" w:rsidR="00AA4642" w:rsidRPr="00347697" w:rsidRDefault="00E52AD2" w:rsidP="00EF6CD7">
      <w:pPr>
        <w:pStyle w:val="ListParagraph"/>
        <w:numPr>
          <w:ilvl w:val="0"/>
          <w:numId w:val="1"/>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Among students who attempt a second math course, w</w:t>
      </w:r>
      <w:r w:rsidR="00AA4642" w:rsidRPr="00347697">
        <w:rPr>
          <w:rFonts w:ascii="Times New Roman" w:hAnsi="Times New Roman" w:cs="Times New Roman"/>
          <w:sz w:val="24"/>
          <w:szCs w:val="24"/>
        </w:rPr>
        <w:t>hat are the most common second courses?</w:t>
      </w:r>
    </w:p>
    <w:p w14:paraId="709F22AB" w14:textId="77777777" w:rsidR="00AA4642" w:rsidRPr="00347697" w:rsidRDefault="00AA4642" w:rsidP="00F21757">
      <w:pPr>
        <w:spacing w:after="0" w:line="240" w:lineRule="auto"/>
        <w:rPr>
          <w:rFonts w:ascii="Times New Roman" w:hAnsi="Times New Roman" w:cs="Times New Roman"/>
          <w:sz w:val="24"/>
          <w:szCs w:val="24"/>
        </w:rPr>
      </w:pPr>
    </w:p>
    <w:p w14:paraId="18B9BB71" w14:textId="109040AF" w:rsidR="00E2792F" w:rsidRPr="00347697" w:rsidRDefault="006C670C" w:rsidP="00347697">
      <w:pPr>
        <w:spacing w:after="0" w:line="240" w:lineRule="auto"/>
        <w:rPr>
          <w:rFonts w:ascii="Times New Roman" w:hAnsi="Times New Roman" w:cs="Times New Roman"/>
          <w:sz w:val="24"/>
          <w:szCs w:val="24"/>
        </w:rPr>
      </w:pPr>
      <w:r w:rsidRPr="001722C6">
        <w:rPr>
          <w:rFonts w:ascii="Times New Roman" w:hAnsi="Times New Roman" w:cs="Times New Roman"/>
          <w:sz w:val="24"/>
          <w:szCs w:val="24"/>
        </w:rPr>
        <w:t xml:space="preserve">Table 4 provides the distribution of students’ second attempted math course, if any, by first math course </w:t>
      </w:r>
      <w:r w:rsidR="001722C6">
        <w:rPr>
          <w:rFonts w:ascii="Times New Roman" w:hAnsi="Times New Roman" w:cs="Times New Roman"/>
          <w:sz w:val="24"/>
          <w:szCs w:val="24"/>
        </w:rPr>
        <w:t xml:space="preserve">and outcome in the first attempt of </w:t>
      </w:r>
      <w:r w:rsidR="00C82A2B">
        <w:rPr>
          <w:rFonts w:ascii="Times New Roman" w:hAnsi="Times New Roman" w:cs="Times New Roman"/>
          <w:sz w:val="24"/>
          <w:szCs w:val="24"/>
        </w:rPr>
        <w:t>their</w:t>
      </w:r>
      <w:r w:rsidR="001722C6">
        <w:rPr>
          <w:rFonts w:ascii="Times New Roman" w:hAnsi="Times New Roman" w:cs="Times New Roman"/>
          <w:sz w:val="24"/>
          <w:szCs w:val="24"/>
        </w:rPr>
        <w:t xml:space="preserve"> first math course, whether a successful </w:t>
      </w:r>
      <w:r w:rsidR="00C30400">
        <w:rPr>
          <w:rFonts w:ascii="Times New Roman" w:hAnsi="Times New Roman" w:cs="Times New Roman"/>
          <w:sz w:val="24"/>
          <w:szCs w:val="24"/>
        </w:rPr>
        <w:t xml:space="preserve">outcome </w:t>
      </w:r>
      <w:r w:rsidR="001722C6">
        <w:rPr>
          <w:rFonts w:ascii="Times New Roman" w:hAnsi="Times New Roman" w:cs="Times New Roman"/>
          <w:sz w:val="24"/>
          <w:szCs w:val="24"/>
        </w:rPr>
        <w:t>(</w:t>
      </w:r>
      <w:r w:rsidR="000146CD">
        <w:rPr>
          <w:rFonts w:ascii="Times New Roman" w:hAnsi="Times New Roman" w:cs="Times New Roman"/>
          <w:sz w:val="24"/>
          <w:szCs w:val="24"/>
        </w:rPr>
        <w:t>grade of “C” or better or a grade of “Pass”</w:t>
      </w:r>
      <w:r w:rsidR="001722C6">
        <w:rPr>
          <w:rFonts w:ascii="Times New Roman" w:hAnsi="Times New Roman" w:cs="Times New Roman"/>
          <w:sz w:val="24"/>
          <w:szCs w:val="24"/>
        </w:rPr>
        <w:t>) or an unsuccessful outcome</w:t>
      </w:r>
      <w:r w:rsidR="00C30400">
        <w:rPr>
          <w:rFonts w:ascii="Times New Roman" w:hAnsi="Times New Roman" w:cs="Times New Roman"/>
          <w:sz w:val="24"/>
          <w:szCs w:val="24"/>
        </w:rPr>
        <w:t xml:space="preserve"> (</w:t>
      </w:r>
      <w:r w:rsidR="000146CD">
        <w:rPr>
          <w:rFonts w:ascii="Times New Roman" w:hAnsi="Times New Roman" w:cs="Times New Roman"/>
          <w:sz w:val="24"/>
          <w:szCs w:val="24"/>
        </w:rPr>
        <w:t>grades of “D”  or below, grades of “No Pass”, and withdrawals</w:t>
      </w:r>
      <w:r w:rsidR="00C30400">
        <w:rPr>
          <w:rFonts w:ascii="Times New Roman" w:hAnsi="Times New Roman" w:cs="Times New Roman"/>
          <w:sz w:val="24"/>
          <w:szCs w:val="24"/>
        </w:rPr>
        <w:t>)</w:t>
      </w:r>
      <w:r w:rsidRPr="001722C6">
        <w:rPr>
          <w:rFonts w:ascii="Times New Roman" w:hAnsi="Times New Roman" w:cs="Times New Roman"/>
          <w:sz w:val="24"/>
          <w:szCs w:val="24"/>
        </w:rPr>
        <w:t xml:space="preserve">.  </w:t>
      </w:r>
      <w:r w:rsidRPr="0072729B">
        <w:rPr>
          <w:rFonts w:ascii="Times New Roman" w:hAnsi="Times New Roman" w:cs="Times New Roman"/>
          <w:sz w:val="24"/>
          <w:szCs w:val="24"/>
        </w:rPr>
        <w:t xml:space="preserve">Note that Table 4 </w:t>
      </w:r>
      <w:r w:rsidR="001722C6">
        <w:rPr>
          <w:rFonts w:ascii="Times New Roman" w:hAnsi="Times New Roman" w:cs="Times New Roman"/>
          <w:sz w:val="24"/>
          <w:szCs w:val="24"/>
        </w:rPr>
        <w:t xml:space="preserve">is </w:t>
      </w:r>
      <w:r w:rsidRPr="0072729B">
        <w:rPr>
          <w:rFonts w:ascii="Times New Roman" w:hAnsi="Times New Roman" w:cs="Times New Roman"/>
          <w:sz w:val="24"/>
          <w:szCs w:val="24"/>
        </w:rPr>
        <w:t xml:space="preserve">limited to students who indicated a goal of transfer to a four-year institution, with or without </w:t>
      </w:r>
      <w:r w:rsidR="00C77385">
        <w:rPr>
          <w:rFonts w:ascii="Times New Roman" w:hAnsi="Times New Roman" w:cs="Times New Roman"/>
          <w:sz w:val="24"/>
          <w:szCs w:val="24"/>
        </w:rPr>
        <w:t xml:space="preserve">completing </w:t>
      </w:r>
      <w:r w:rsidRPr="0072729B">
        <w:rPr>
          <w:rFonts w:ascii="Times New Roman" w:hAnsi="Times New Roman" w:cs="Times New Roman"/>
          <w:sz w:val="24"/>
          <w:szCs w:val="24"/>
        </w:rPr>
        <w:t>an intermediate postsecondary credential</w:t>
      </w:r>
      <w:r w:rsidRPr="001722C6">
        <w:rPr>
          <w:rFonts w:ascii="Times New Roman" w:hAnsi="Times New Roman" w:cs="Times New Roman"/>
          <w:sz w:val="24"/>
          <w:szCs w:val="24"/>
        </w:rPr>
        <w:t xml:space="preserve">.  </w:t>
      </w:r>
      <w:r w:rsidR="00D63899" w:rsidRPr="001722C6">
        <w:rPr>
          <w:rFonts w:ascii="Times New Roman" w:hAnsi="Times New Roman" w:cs="Times New Roman"/>
          <w:sz w:val="24"/>
          <w:szCs w:val="24"/>
        </w:rPr>
        <w:t>Further</w:t>
      </w:r>
      <w:r w:rsidR="00647255" w:rsidRPr="001722C6">
        <w:rPr>
          <w:rFonts w:ascii="Times New Roman" w:hAnsi="Times New Roman" w:cs="Times New Roman"/>
          <w:sz w:val="24"/>
          <w:szCs w:val="24"/>
        </w:rPr>
        <w:t>more</w:t>
      </w:r>
      <w:r w:rsidR="00D63899" w:rsidRPr="001722C6">
        <w:rPr>
          <w:rFonts w:ascii="Times New Roman" w:hAnsi="Times New Roman" w:cs="Times New Roman"/>
          <w:sz w:val="24"/>
          <w:szCs w:val="24"/>
        </w:rPr>
        <w:t>, note that comparatively rare combinations of first and second math courses were collapsed together</w:t>
      </w:r>
      <w:r w:rsidR="00B12B85" w:rsidRPr="001722C6">
        <w:rPr>
          <w:rFonts w:ascii="Times New Roman" w:hAnsi="Times New Roman" w:cs="Times New Roman"/>
          <w:sz w:val="24"/>
          <w:szCs w:val="24"/>
        </w:rPr>
        <w:t xml:space="preserve"> into a category named </w:t>
      </w:r>
      <w:r w:rsidR="001722C6">
        <w:rPr>
          <w:rFonts w:ascii="Times New Roman" w:hAnsi="Times New Roman" w:cs="Times New Roman"/>
          <w:i/>
          <w:sz w:val="24"/>
          <w:szCs w:val="24"/>
        </w:rPr>
        <w:t>Other</w:t>
      </w:r>
      <w:r w:rsidR="00D63899" w:rsidRPr="001722C6">
        <w:rPr>
          <w:rFonts w:ascii="Times New Roman" w:hAnsi="Times New Roman" w:cs="Times New Roman"/>
          <w:sz w:val="24"/>
          <w:szCs w:val="24"/>
        </w:rPr>
        <w:t xml:space="preserve">.  </w:t>
      </w:r>
      <w:r w:rsidR="00B12B85" w:rsidRPr="001722C6">
        <w:rPr>
          <w:rFonts w:ascii="Times New Roman" w:hAnsi="Times New Roman" w:cs="Times New Roman"/>
          <w:sz w:val="24"/>
          <w:szCs w:val="24"/>
        </w:rPr>
        <w:t>A rare combination was defined as follows:  g</w:t>
      </w:r>
      <w:r w:rsidR="000C6BDA" w:rsidRPr="001722C6">
        <w:rPr>
          <w:rFonts w:ascii="Times New Roman" w:hAnsi="Times New Roman" w:cs="Times New Roman"/>
          <w:sz w:val="24"/>
          <w:szCs w:val="24"/>
        </w:rPr>
        <w:t xml:space="preserve">iven a group of students </w:t>
      </w:r>
      <w:r w:rsidR="00E47986" w:rsidRPr="001722C6">
        <w:rPr>
          <w:rFonts w:ascii="Times New Roman" w:hAnsi="Times New Roman" w:cs="Times New Roman"/>
          <w:sz w:val="24"/>
          <w:szCs w:val="24"/>
        </w:rPr>
        <w:t>(</w:t>
      </w:r>
      <w:r w:rsidR="00E47986" w:rsidRPr="001722C6">
        <w:rPr>
          <w:rFonts w:ascii="Times New Roman" w:hAnsi="Times New Roman" w:cs="Times New Roman"/>
          <w:i/>
          <w:sz w:val="24"/>
          <w:szCs w:val="24"/>
        </w:rPr>
        <w:t>G</w:t>
      </w:r>
      <w:r w:rsidR="00E47986" w:rsidRPr="001722C6">
        <w:rPr>
          <w:rFonts w:ascii="Times New Roman" w:hAnsi="Times New Roman" w:cs="Times New Roman"/>
          <w:sz w:val="24"/>
          <w:szCs w:val="24"/>
        </w:rPr>
        <w:t xml:space="preserve">) </w:t>
      </w:r>
      <w:r w:rsidR="000C6BDA" w:rsidRPr="001722C6">
        <w:rPr>
          <w:rFonts w:ascii="Times New Roman" w:hAnsi="Times New Roman" w:cs="Times New Roman"/>
          <w:sz w:val="24"/>
          <w:szCs w:val="24"/>
        </w:rPr>
        <w:t xml:space="preserve">who share a particular first math course </w:t>
      </w:r>
      <w:r w:rsidR="00643525" w:rsidRPr="00347697">
        <w:rPr>
          <w:rFonts w:ascii="Times New Roman" w:hAnsi="Times New Roman" w:cs="Times New Roman"/>
          <w:sz w:val="24"/>
          <w:szCs w:val="24"/>
        </w:rPr>
        <w:t>(</w:t>
      </w:r>
      <w:r w:rsidR="00643525" w:rsidRPr="0072729B">
        <w:rPr>
          <w:rFonts w:ascii="Times New Roman" w:hAnsi="Times New Roman" w:cs="Times New Roman"/>
          <w:i/>
          <w:sz w:val="24"/>
          <w:szCs w:val="24"/>
        </w:rPr>
        <w:t>X</w:t>
      </w:r>
      <w:r w:rsidR="00643525" w:rsidRPr="00347697">
        <w:rPr>
          <w:rFonts w:ascii="Times New Roman" w:hAnsi="Times New Roman" w:cs="Times New Roman"/>
          <w:sz w:val="24"/>
          <w:szCs w:val="24"/>
        </w:rPr>
        <w:t xml:space="preserve">) </w:t>
      </w:r>
      <w:r w:rsidR="000C6BDA" w:rsidRPr="001722C6">
        <w:rPr>
          <w:rFonts w:ascii="Times New Roman" w:hAnsi="Times New Roman" w:cs="Times New Roman"/>
          <w:sz w:val="24"/>
          <w:szCs w:val="24"/>
        </w:rPr>
        <w:t xml:space="preserve">and a particular outcome </w:t>
      </w:r>
      <w:r w:rsidR="00643525" w:rsidRPr="00347697">
        <w:rPr>
          <w:rFonts w:ascii="Times New Roman" w:hAnsi="Times New Roman" w:cs="Times New Roman"/>
          <w:sz w:val="24"/>
          <w:szCs w:val="24"/>
        </w:rPr>
        <w:t>(</w:t>
      </w:r>
      <w:r w:rsidR="00643525" w:rsidRPr="0072729B">
        <w:rPr>
          <w:rFonts w:ascii="Times New Roman" w:hAnsi="Times New Roman" w:cs="Times New Roman"/>
          <w:i/>
          <w:sz w:val="24"/>
          <w:szCs w:val="24"/>
        </w:rPr>
        <w:t>Y</w:t>
      </w:r>
      <w:r w:rsidR="00643525" w:rsidRPr="00347697">
        <w:rPr>
          <w:rFonts w:ascii="Times New Roman" w:hAnsi="Times New Roman" w:cs="Times New Roman"/>
          <w:sz w:val="24"/>
          <w:szCs w:val="24"/>
        </w:rPr>
        <w:t xml:space="preserve">) </w:t>
      </w:r>
      <w:r w:rsidR="000C6BDA" w:rsidRPr="001722C6">
        <w:rPr>
          <w:rFonts w:ascii="Times New Roman" w:hAnsi="Times New Roman" w:cs="Times New Roman"/>
          <w:sz w:val="24"/>
          <w:szCs w:val="24"/>
        </w:rPr>
        <w:t>in the first attempt of that first math course</w:t>
      </w:r>
      <w:r w:rsidR="00E47986" w:rsidRPr="001722C6">
        <w:rPr>
          <w:rFonts w:ascii="Times New Roman" w:hAnsi="Times New Roman" w:cs="Times New Roman"/>
          <w:sz w:val="24"/>
          <w:szCs w:val="24"/>
        </w:rPr>
        <w:t>, s</w:t>
      </w:r>
      <w:r w:rsidR="00E2792F" w:rsidRPr="001722C6">
        <w:rPr>
          <w:rFonts w:ascii="Times New Roman" w:hAnsi="Times New Roman" w:cs="Times New Roman"/>
          <w:sz w:val="24"/>
          <w:szCs w:val="24"/>
        </w:rPr>
        <w:t xml:space="preserve">econd math courses </w:t>
      </w:r>
      <w:r w:rsidR="00315CF2">
        <w:rPr>
          <w:rFonts w:ascii="Times New Roman" w:hAnsi="Times New Roman" w:cs="Times New Roman"/>
          <w:sz w:val="24"/>
          <w:szCs w:val="24"/>
        </w:rPr>
        <w:t>(</w:t>
      </w:r>
      <w:r w:rsidR="00315CF2" w:rsidRPr="0072729B">
        <w:rPr>
          <w:rFonts w:ascii="Times New Roman" w:hAnsi="Times New Roman" w:cs="Times New Roman"/>
          <w:i/>
          <w:sz w:val="24"/>
          <w:szCs w:val="24"/>
        </w:rPr>
        <w:t>Z</w:t>
      </w:r>
      <w:r w:rsidR="00315CF2">
        <w:rPr>
          <w:rFonts w:ascii="Times New Roman" w:hAnsi="Times New Roman" w:cs="Times New Roman"/>
          <w:sz w:val="24"/>
          <w:szCs w:val="24"/>
        </w:rPr>
        <w:t xml:space="preserve">) </w:t>
      </w:r>
      <w:r w:rsidR="00E2792F" w:rsidRPr="001722C6">
        <w:rPr>
          <w:rFonts w:ascii="Times New Roman" w:hAnsi="Times New Roman" w:cs="Times New Roman"/>
          <w:sz w:val="24"/>
          <w:szCs w:val="24"/>
        </w:rPr>
        <w:t xml:space="preserve">attempted by fewer than 30 of the students in group </w:t>
      </w:r>
      <w:r w:rsidR="00E2792F" w:rsidRPr="001722C6">
        <w:rPr>
          <w:rFonts w:ascii="Times New Roman" w:hAnsi="Times New Roman" w:cs="Times New Roman"/>
          <w:i/>
          <w:sz w:val="24"/>
          <w:szCs w:val="24"/>
        </w:rPr>
        <w:t>G</w:t>
      </w:r>
      <w:r w:rsidR="00E2792F" w:rsidRPr="001722C6">
        <w:rPr>
          <w:rFonts w:ascii="Times New Roman" w:hAnsi="Times New Roman" w:cs="Times New Roman"/>
          <w:sz w:val="24"/>
          <w:szCs w:val="24"/>
        </w:rPr>
        <w:t xml:space="preserve"> were </w:t>
      </w:r>
      <w:r w:rsidR="00B12B85" w:rsidRPr="001722C6">
        <w:rPr>
          <w:rFonts w:ascii="Times New Roman" w:hAnsi="Times New Roman" w:cs="Times New Roman"/>
          <w:sz w:val="24"/>
          <w:szCs w:val="24"/>
        </w:rPr>
        <w:t xml:space="preserve">deemed to be rare and </w:t>
      </w:r>
      <w:r w:rsidR="00E2792F" w:rsidRPr="001722C6">
        <w:rPr>
          <w:rFonts w:ascii="Times New Roman" w:hAnsi="Times New Roman" w:cs="Times New Roman"/>
          <w:sz w:val="24"/>
          <w:szCs w:val="24"/>
        </w:rPr>
        <w:t xml:space="preserve">collapsed </w:t>
      </w:r>
      <w:r w:rsidR="00B12B85" w:rsidRPr="001722C6">
        <w:rPr>
          <w:rFonts w:ascii="Times New Roman" w:hAnsi="Times New Roman" w:cs="Times New Roman"/>
          <w:sz w:val="24"/>
          <w:szCs w:val="24"/>
        </w:rPr>
        <w:t xml:space="preserve">together </w:t>
      </w:r>
      <w:r w:rsidR="00E2792F" w:rsidRPr="001722C6">
        <w:rPr>
          <w:rFonts w:ascii="Times New Roman" w:hAnsi="Times New Roman" w:cs="Times New Roman"/>
          <w:sz w:val="24"/>
          <w:szCs w:val="24"/>
        </w:rPr>
        <w:t xml:space="preserve">into a single </w:t>
      </w:r>
      <w:r w:rsidR="00C77385" w:rsidRPr="0072729B">
        <w:rPr>
          <w:rFonts w:ascii="Times New Roman" w:hAnsi="Times New Roman" w:cs="Times New Roman"/>
          <w:i/>
          <w:sz w:val="24"/>
          <w:szCs w:val="24"/>
        </w:rPr>
        <w:t>Other</w:t>
      </w:r>
      <w:r w:rsidR="00C77385">
        <w:rPr>
          <w:rFonts w:ascii="Times New Roman" w:hAnsi="Times New Roman" w:cs="Times New Roman"/>
          <w:sz w:val="24"/>
          <w:szCs w:val="24"/>
        </w:rPr>
        <w:t xml:space="preserve"> </w:t>
      </w:r>
      <w:r w:rsidR="00E2792F" w:rsidRPr="001722C6">
        <w:rPr>
          <w:rFonts w:ascii="Times New Roman" w:hAnsi="Times New Roman" w:cs="Times New Roman"/>
          <w:sz w:val="24"/>
          <w:szCs w:val="24"/>
        </w:rPr>
        <w:t>category</w:t>
      </w:r>
      <w:r w:rsidR="00702DAE" w:rsidRPr="001722C6">
        <w:rPr>
          <w:rFonts w:ascii="Times New Roman" w:hAnsi="Times New Roman" w:cs="Times New Roman"/>
          <w:sz w:val="24"/>
          <w:szCs w:val="24"/>
        </w:rPr>
        <w:t>.</w:t>
      </w:r>
      <w:r w:rsidR="00702DAE" w:rsidRPr="00347697">
        <w:rPr>
          <w:rFonts w:ascii="Times New Roman" w:hAnsi="Times New Roman" w:cs="Times New Roman"/>
          <w:sz w:val="24"/>
          <w:szCs w:val="24"/>
        </w:rPr>
        <w:t xml:space="preserve">  </w:t>
      </w:r>
      <w:r w:rsidR="00643525">
        <w:rPr>
          <w:rFonts w:ascii="Times New Roman" w:hAnsi="Times New Roman" w:cs="Times New Roman"/>
          <w:sz w:val="24"/>
          <w:szCs w:val="24"/>
        </w:rPr>
        <w:t xml:space="preserve">The one exception </w:t>
      </w:r>
      <w:r w:rsidR="00C30400">
        <w:rPr>
          <w:rFonts w:ascii="Times New Roman" w:hAnsi="Times New Roman" w:cs="Times New Roman"/>
          <w:sz w:val="24"/>
          <w:szCs w:val="24"/>
        </w:rPr>
        <w:t>is</w:t>
      </w:r>
      <w:r w:rsidR="00315CF2">
        <w:rPr>
          <w:rFonts w:ascii="Times New Roman" w:hAnsi="Times New Roman" w:cs="Times New Roman"/>
          <w:sz w:val="24"/>
          <w:szCs w:val="24"/>
        </w:rPr>
        <w:t xml:space="preserve"> instances in which the </w:t>
      </w:r>
      <w:r w:rsidR="00C30400">
        <w:rPr>
          <w:rFonts w:ascii="Times New Roman" w:hAnsi="Times New Roman" w:cs="Times New Roman"/>
          <w:sz w:val="24"/>
          <w:szCs w:val="24"/>
        </w:rPr>
        <w:t>percentage</w:t>
      </w:r>
      <w:r w:rsidR="00315CF2">
        <w:rPr>
          <w:rFonts w:ascii="Times New Roman" w:hAnsi="Times New Roman" w:cs="Times New Roman"/>
          <w:sz w:val="24"/>
          <w:szCs w:val="24"/>
        </w:rPr>
        <w:t xml:space="preserve"> of </w:t>
      </w:r>
      <w:r w:rsidR="00315CF2" w:rsidRPr="0072729B">
        <w:rPr>
          <w:rFonts w:ascii="Times New Roman" w:hAnsi="Times New Roman" w:cs="Times New Roman"/>
          <w:i/>
          <w:sz w:val="24"/>
          <w:szCs w:val="24"/>
        </w:rPr>
        <w:t>G</w:t>
      </w:r>
      <w:r w:rsidR="00315CF2">
        <w:rPr>
          <w:rFonts w:ascii="Times New Roman" w:hAnsi="Times New Roman" w:cs="Times New Roman"/>
          <w:sz w:val="24"/>
          <w:szCs w:val="24"/>
        </w:rPr>
        <w:t xml:space="preserve"> students who attempted second course </w:t>
      </w:r>
      <w:r w:rsidR="00315CF2" w:rsidRPr="0072729B">
        <w:rPr>
          <w:rFonts w:ascii="Times New Roman" w:hAnsi="Times New Roman" w:cs="Times New Roman"/>
          <w:i/>
          <w:sz w:val="24"/>
          <w:szCs w:val="24"/>
        </w:rPr>
        <w:t>Z</w:t>
      </w:r>
      <w:r w:rsidR="00315CF2">
        <w:rPr>
          <w:rFonts w:ascii="Times New Roman" w:hAnsi="Times New Roman" w:cs="Times New Roman"/>
          <w:sz w:val="24"/>
          <w:szCs w:val="24"/>
        </w:rPr>
        <w:t xml:space="preserve"> </w:t>
      </w:r>
      <w:r w:rsidR="006D5812">
        <w:rPr>
          <w:rFonts w:ascii="Times New Roman" w:hAnsi="Times New Roman" w:cs="Times New Roman"/>
          <w:sz w:val="24"/>
          <w:szCs w:val="24"/>
        </w:rPr>
        <w:t xml:space="preserve">was equal to or greater than </w:t>
      </w:r>
      <w:r w:rsidR="00C30400">
        <w:rPr>
          <w:rFonts w:ascii="Times New Roman" w:hAnsi="Times New Roman" w:cs="Times New Roman"/>
          <w:sz w:val="24"/>
          <w:szCs w:val="24"/>
        </w:rPr>
        <w:t>20%</w:t>
      </w:r>
      <w:r w:rsidR="006D5812">
        <w:rPr>
          <w:rFonts w:ascii="Times New Roman" w:hAnsi="Times New Roman" w:cs="Times New Roman"/>
          <w:sz w:val="24"/>
          <w:szCs w:val="24"/>
        </w:rPr>
        <w:t xml:space="preserve">, in which case the second course was deemed rare and collapsed into the </w:t>
      </w:r>
      <w:r w:rsidR="006D5812" w:rsidRPr="0072729B">
        <w:rPr>
          <w:rFonts w:ascii="Times New Roman" w:hAnsi="Times New Roman" w:cs="Times New Roman"/>
          <w:i/>
          <w:sz w:val="24"/>
          <w:szCs w:val="24"/>
        </w:rPr>
        <w:t>Other</w:t>
      </w:r>
      <w:r w:rsidR="006D5812">
        <w:rPr>
          <w:rFonts w:ascii="Times New Roman" w:hAnsi="Times New Roman" w:cs="Times New Roman"/>
          <w:sz w:val="24"/>
          <w:szCs w:val="24"/>
        </w:rPr>
        <w:t xml:space="preserve"> category only if the number of </w:t>
      </w:r>
      <w:r w:rsidR="006D5812" w:rsidRPr="0072729B">
        <w:rPr>
          <w:rFonts w:ascii="Times New Roman" w:hAnsi="Times New Roman" w:cs="Times New Roman"/>
          <w:i/>
          <w:sz w:val="24"/>
          <w:szCs w:val="24"/>
        </w:rPr>
        <w:t>G</w:t>
      </w:r>
      <w:r w:rsidR="006D5812">
        <w:rPr>
          <w:rFonts w:ascii="Times New Roman" w:hAnsi="Times New Roman" w:cs="Times New Roman"/>
          <w:sz w:val="24"/>
          <w:szCs w:val="24"/>
        </w:rPr>
        <w:t xml:space="preserve"> students attempting the course was fewer than 15.</w:t>
      </w:r>
    </w:p>
    <w:p w14:paraId="6919DCE6" w14:textId="77777777" w:rsidR="00E47986" w:rsidRPr="00347697" w:rsidRDefault="00E47986" w:rsidP="00347697">
      <w:pPr>
        <w:spacing w:after="0" w:line="240" w:lineRule="auto"/>
        <w:rPr>
          <w:rFonts w:ascii="Times New Roman" w:hAnsi="Times New Roman" w:cs="Times New Roman"/>
          <w:sz w:val="24"/>
          <w:szCs w:val="24"/>
        </w:rPr>
      </w:pPr>
    </w:p>
    <w:p w14:paraId="1676A0A4" w14:textId="646FBA83" w:rsidR="00E47986" w:rsidRPr="00347697" w:rsidRDefault="00592F0B" w:rsidP="00347697">
      <w:pPr>
        <w:spacing w:after="0" w:line="240" w:lineRule="auto"/>
        <w:rPr>
          <w:rFonts w:ascii="Times New Roman" w:hAnsi="Times New Roman" w:cs="Times New Roman"/>
          <w:sz w:val="24"/>
          <w:szCs w:val="24"/>
          <w:u w:val="single"/>
        </w:rPr>
      </w:pPr>
      <w:r w:rsidRPr="00A35DAD">
        <w:rPr>
          <w:rFonts w:ascii="Times New Roman" w:hAnsi="Times New Roman" w:cs="Times New Roman"/>
          <w:sz w:val="24"/>
          <w:szCs w:val="24"/>
          <w:u w:val="single"/>
        </w:rPr>
        <w:t xml:space="preserve">Defining </w:t>
      </w:r>
      <w:r w:rsidR="002A5CA7" w:rsidRPr="00A35DAD">
        <w:rPr>
          <w:rFonts w:ascii="Times New Roman" w:hAnsi="Times New Roman" w:cs="Times New Roman"/>
          <w:sz w:val="24"/>
          <w:szCs w:val="24"/>
          <w:u w:val="single"/>
        </w:rPr>
        <w:t xml:space="preserve">Common </w:t>
      </w:r>
      <w:r w:rsidRPr="00A35DAD">
        <w:rPr>
          <w:rFonts w:ascii="Times New Roman" w:hAnsi="Times New Roman" w:cs="Times New Roman"/>
          <w:sz w:val="24"/>
          <w:szCs w:val="24"/>
          <w:u w:val="single"/>
        </w:rPr>
        <w:t>Math Pathways</w:t>
      </w:r>
    </w:p>
    <w:p w14:paraId="203C444A" w14:textId="77777777" w:rsidR="00E47986" w:rsidRPr="00347697" w:rsidRDefault="00E47986" w:rsidP="00347697">
      <w:pPr>
        <w:spacing w:after="0" w:line="240" w:lineRule="auto"/>
        <w:rPr>
          <w:rFonts w:ascii="Times New Roman" w:hAnsi="Times New Roman" w:cs="Times New Roman"/>
          <w:sz w:val="24"/>
          <w:szCs w:val="24"/>
        </w:rPr>
      </w:pPr>
    </w:p>
    <w:p w14:paraId="30C85351" w14:textId="52617B47" w:rsidR="00B02798" w:rsidRPr="00347697" w:rsidRDefault="00B02798" w:rsidP="00347697">
      <w:pPr>
        <w:spacing w:after="0" w:line="240" w:lineRule="auto"/>
        <w:rPr>
          <w:rFonts w:ascii="Times New Roman" w:hAnsi="Times New Roman" w:cs="Times New Roman"/>
          <w:sz w:val="24"/>
          <w:szCs w:val="24"/>
        </w:rPr>
      </w:pPr>
      <w:r w:rsidRPr="003B38A0">
        <w:rPr>
          <w:rFonts w:ascii="Times New Roman" w:hAnsi="Times New Roman" w:cs="Times New Roman"/>
          <w:sz w:val="24"/>
          <w:szCs w:val="24"/>
        </w:rPr>
        <w:t xml:space="preserve">Of the transfer-seeking students who entered BC’s math curriculum through a math course that is among </w:t>
      </w:r>
      <w:r w:rsidR="0061741F" w:rsidRPr="003B38A0">
        <w:rPr>
          <w:rFonts w:ascii="Times New Roman" w:hAnsi="Times New Roman" w:cs="Times New Roman"/>
          <w:sz w:val="24"/>
          <w:szCs w:val="24"/>
        </w:rPr>
        <w:t>the</w:t>
      </w:r>
      <w:r w:rsidRPr="003B38A0">
        <w:rPr>
          <w:rFonts w:ascii="Times New Roman" w:hAnsi="Times New Roman" w:cs="Times New Roman"/>
          <w:sz w:val="24"/>
          <w:szCs w:val="24"/>
        </w:rPr>
        <w:t xml:space="preserve"> current developmental offerings and who had valid information on key variables of interest </w:t>
      </w:r>
      <w:r w:rsidR="0061741F" w:rsidRPr="003B38A0">
        <w:rPr>
          <w:rFonts w:ascii="Times New Roman" w:hAnsi="Times New Roman" w:cs="Times New Roman"/>
          <w:sz w:val="24"/>
          <w:szCs w:val="24"/>
        </w:rPr>
        <w:t xml:space="preserve">in this study </w:t>
      </w:r>
      <w:r w:rsidRPr="003B38A0">
        <w:rPr>
          <w:rFonts w:ascii="Times New Roman" w:hAnsi="Times New Roman" w:cs="Times New Roman"/>
          <w:sz w:val="24"/>
          <w:szCs w:val="24"/>
        </w:rPr>
        <w:t xml:space="preserve">(discussed earlier), </w:t>
      </w:r>
      <w:r w:rsidR="00B54D61" w:rsidRPr="0072729B">
        <w:rPr>
          <w:rFonts w:ascii="Times New Roman" w:hAnsi="Times New Roman" w:cs="Times New Roman"/>
          <w:sz w:val="24"/>
          <w:szCs w:val="24"/>
        </w:rPr>
        <w:t>57</w:t>
      </w:r>
      <w:r w:rsidRPr="003B38A0">
        <w:rPr>
          <w:rFonts w:ascii="Times New Roman" w:hAnsi="Times New Roman" w:cs="Times New Roman"/>
          <w:sz w:val="24"/>
          <w:szCs w:val="24"/>
        </w:rPr>
        <w:t>% completed their first math course successfully on the first attempt</w:t>
      </w:r>
      <w:r w:rsidR="0061741F" w:rsidRPr="003B38A0">
        <w:rPr>
          <w:rFonts w:ascii="Times New Roman" w:hAnsi="Times New Roman" w:cs="Times New Roman"/>
          <w:sz w:val="24"/>
          <w:szCs w:val="24"/>
        </w:rPr>
        <w:t xml:space="preserve">, and </w:t>
      </w:r>
      <w:r w:rsidR="003B38A0" w:rsidRPr="0072729B">
        <w:rPr>
          <w:rFonts w:ascii="Times New Roman" w:hAnsi="Times New Roman" w:cs="Times New Roman"/>
          <w:sz w:val="24"/>
          <w:szCs w:val="24"/>
        </w:rPr>
        <w:t>60</w:t>
      </w:r>
      <w:r w:rsidR="0061741F" w:rsidRPr="003B38A0">
        <w:rPr>
          <w:rFonts w:ascii="Times New Roman" w:hAnsi="Times New Roman" w:cs="Times New Roman"/>
          <w:sz w:val="24"/>
          <w:szCs w:val="24"/>
        </w:rPr>
        <w:t xml:space="preserve">% attempted a second math course (including repeating the first course if </w:t>
      </w:r>
      <w:r w:rsidR="0061741F" w:rsidRPr="003B38A0">
        <w:rPr>
          <w:rFonts w:ascii="Times New Roman" w:hAnsi="Times New Roman" w:cs="Times New Roman"/>
          <w:sz w:val="24"/>
          <w:szCs w:val="24"/>
        </w:rPr>
        <w:lastRenderedPageBreak/>
        <w:t xml:space="preserve">necessary).  </w:t>
      </w:r>
      <w:r w:rsidR="00506442" w:rsidRPr="003B38A0">
        <w:rPr>
          <w:rFonts w:ascii="Times New Roman" w:hAnsi="Times New Roman" w:cs="Times New Roman"/>
          <w:sz w:val="24"/>
          <w:szCs w:val="24"/>
        </w:rPr>
        <w:t>Of</w:t>
      </w:r>
      <w:r w:rsidR="0061741F" w:rsidRPr="003B38A0">
        <w:rPr>
          <w:rFonts w:ascii="Times New Roman" w:hAnsi="Times New Roman" w:cs="Times New Roman"/>
          <w:sz w:val="24"/>
          <w:szCs w:val="24"/>
        </w:rPr>
        <w:t xml:space="preserve"> </w:t>
      </w:r>
      <w:r w:rsidR="00506442" w:rsidRPr="003B38A0">
        <w:rPr>
          <w:rFonts w:ascii="Times New Roman" w:hAnsi="Times New Roman" w:cs="Times New Roman"/>
          <w:sz w:val="24"/>
          <w:szCs w:val="24"/>
        </w:rPr>
        <w:t xml:space="preserve">the </w:t>
      </w:r>
      <w:r w:rsidR="0061741F" w:rsidRPr="003B38A0">
        <w:rPr>
          <w:rFonts w:ascii="Times New Roman" w:hAnsi="Times New Roman" w:cs="Times New Roman"/>
          <w:sz w:val="24"/>
          <w:szCs w:val="24"/>
        </w:rPr>
        <w:t xml:space="preserve">students who were </w:t>
      </w:r>
      <w:r w:rsidR="0061741F" w:rsidRPr="003B38A0">
        <w:rPr>
          <w:rFonts w:ascii="Times New Roman" w:hAnsi="Times New Roman" w:cs="Times New Roman"/>
          <w:i/>
          <w:sz w:val="24"/>
          <w:szCs w:val="24"/>
        </w:rPr>
        <w:t>successful</w:t>
      </w:r>
      <w:r w:rsidR="0061741F" w:rsidRPr="003B38A0">
        <w:rPr>
          <w:rFonts w:ascii="Times New Roman" w:hAnsi="Times New Roman" w:cs="Times New Roman"/>
          <w:sz w:val="24"/>
          <w:szCs w:val="24"/>
        </w:rPr>
        <w:t xml:space="preserve"> in the first attempt of their first math course, </w:t>
      </w:r>
      <w:r w:rsidR="003B38A0" w:rsidRPr="0072729B">
        <w:rPr>
          <w:rFonts w:ascii="Times New Roman" w:hAnsi="Times New Roman" w:cs="Times New Roman"/>
          <w:sz w:val="24"/>
          <w:szCs w:val="24"/>
        </w:rPr>
        <w:t>76</w:t>
      </w:r>
      <w:r w:rsidR="0061741F" w:rsidRPr="003B38A0">
        <w:rPr>
          <w:rFonts w:ascii="Times New Roman" w:hAnsi="Times New Roman" w:cs="Times New Roman"/>
          <w:sz w:val="24"/>
          <w:szCs w:val="24"/>
        </w:rPr>
        <w:t>% attempted a second math course</w:t>
      </w:r>
      <w:r w:rsidR="00506442" w:rsidRPr="003B38A0">
        <w:rPr>
          <w:rFonts w:ascii="Times New Roman" w:hAnsi="Times New Roman" w:cs="Times New Roman"/>
          <w:sz w:val="24"/>
          <w:szCs w:val="24"/>
        </w:rPr>
        <w:t>.  In contrast</w:t>
      </w:r>
      <w:r w:rsidR="0061741F" w:rsidRPr="003B38A0">
        <w:rPr>
          <w:rFonts w:ascii="Times New Roman" w:hAnsi="Times New Roman" w:cs="Times New Roman"/>
          <w:sz w:val="24"/>
          <w:szCs w:val="24"/>
        </w:rPr>
        <w:t>,</w:t>
      </w:r>
      <w:r w:rsidR="00506442" w:rsidRPr="003B38A0">
        <w:rPr>
          <w:rFonts w:ascii="Times New Roman" w:hAnsi="Times New Roman" w:cs="Times New Roman"/>
          <w:sz w:val="24"/>
          <w:szCs w:val="24"/>
        </w:rPr>
        <w:t xml:space="preserve"> </w:t>
      </w:r>
      <w:r w:rsidR="003B38A0" w:rsidRPr="0072729B">
        <w:rPr>
          <w:rFonts w:ascii="Times New Roman" w:hAnsi="Times New Roman" w:cs="Times New Roman"/>
          <w:sz w:val="24"/>
          <w:szCs w:val="24"/>
        </w:rPr>
        <w:t>39</w:t>
      </w:r>
      <w:r w:rsidR="0061741F" w:rsidRPr="003B38A0">
        <w:rPr>
          <w:rFonts w:ascii="Times New Roman" w:hAnsi="Times New Roman" w:cs="Times New Roman"/>
          <w:sz w:val="24"/>
          <w:szCs w:val="24"/>
        </w:rPr>
        <w:t xml:space="preserve">% of students who were </w:t>
      </w:r>
      <w:r w:rsidR="00B12B85" w:rsidRPr="003B38A0">
        <w:rPr>
          <w:rFonts w:ascii="Times New Roman" w:hAnsi="Times New Roman" w:cs="Times New Roman"/>
          <w:i/>
          <w:sz w:val="24"/>
          <w:szCs w:val="24"/>
        </w:rPr>
        <w:t>un</w:t>
      </w:r>
      <w:r w:rsidR="0061741F" w:rsidRPr="003B38A0">
        <w:rPr>
          <w:rFonts w:ascii="Times New Roman" w:hAnsi="Times New Roman" w:cs="Times New Roman"/>
          <w:i/>
          <w:sz w:val="24"/>
          <w:szCs w:val="24"/>
        </w:rPr>
        <w:t>successful</w:t>
      </w:r>
      <w:r w:rsidR="0061741F" w:rsidRPr="003B38A0">
        <w:rPr>
          <w:rFonts w:ascii="Times New Roman" w:hAnsi="Times New Roman" w:cs="Times New Roman"/>
          <w:sz w:val="24"/>
          <w:szCs w:val="24"/>
        </w:rPr>
        <w:t xml:space="preserve"> in their </w:t>
      </w:r>
      <w:r w:rsidR="0055588B" w:rsidRPr="003B38A0">
        <w:rPr>
          <w:rFonts w:ascii="Times New Roman" w:hAnsi="Times New Roman" w:cs="Times New Roman"/>
          <w:sz w:val="24"/>
          <w:szCs w:val="24"/>
        </w:rPr>
        <w:t xml:space="preserve">first </w:t>
      </w:r>
      <w:r w:rsidR="0061741F" w:rsidRPr="003B38A0">
        <w:rPr>
          <w:rFonts w:ascii="Times New Roman" w:hAnsi="Times New Roman" w:cs="Times New Roman"/>
          <w:sz w:val="24"/>
          <w:szCs w:val="24"/>
        </w:rPr>
        <w:t>attempt of their first math course attempted a second math course (including repeating the first course).</w:t>
      </w:r>
    </w:p>
    <w:p w14:paraId="43149177" w14:textId="77777777" w:rsidR="00E47986" w:rsidRPr="00347697" w:rsidRDefault="00E47986" w:rsidP="00347697">
      <w:pPr>
        <w:spacing w:after="0" w:line="240" w:lineRule="auto"/>
        <w:rPr>
          <w:rFonts w:ascii="Times New Roman" w:hAnsi="Times New Roman" w:cs="Times New Roman"/>
          <w:sz w:val="24"/>
          <w:szCs w:val="24"/>
        </w:rPr>
      </w:pPr>
    </w:p>
    <w:p w14:paraId="3DDAC0AC" w14:textId="7053B165" w:rsidR="00437B0C" w:rsidRPr="00347697" w:rsidRDefault="001619D5"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Table 4</w:t>
      </w:r>
      <w:r w:rsidR="00523FB6" w:rsidRPr="00347697">
        <w:rPr>
          <w:rFonts w:ascii="Times New Roman" w:hAnsi="Times New Roman" w:cs="Times New Roman"/>
          <w:sz w:val="24"/>
          <w:szCs w:val="24"/>
        </w:rPr>
        <w:t xml:space="preserve"> provide</w:t>
      </w:r>
      <w:r w:rsidR="001722C6">
        <w:rPr>
          <w:rFonts w:ascii="Times New Roman" w:hAnsi="Times New Roman" w:cs="Times New Roman"/>
          <w:sz w:val="24"/>
          <w:szCs w:val="24"/>
        </w:rPr>
        <w:t>s</w:t>
      </w:r>
      <w:r w:rsidRPr="00347697">
        <w:rPr>
          <w:rFonts w:ascii="Times New Roman" w:hAnsi="Times New Roman" w:cs="Times New Roman"/>
          <w:sz w:val="24"/>
          <w:szCs w:val="24"/>
        </w:rPr>
        <w:t xml:space="preserve"> the information necessary to define a series of </w:t>
      </w:r>
      <w:r w:rsidR="002A5CA7">
        <w:rPr>
          <w:rFonts w:ascii="Times New Roman" w:hAnsi="Times New Roman" w:cs="Times New Roman"/>
          <w:sz w:val="24"/>
          <w:szCs w:val="24"/>
        </w:rPr>
        <w:t xml:space="preserve">common </w:t>
      </w:r>
      <w:r w:rsidRPr="00347697">
        <w:rPr>
          <w:rFonts w:ascii="Times New Roman" w:hAnsi="Times New Roman" w:cs="Times New Roman"/>
          <w:sz w:val="24"/>
          <w:szCs w:val="24"/>
        </w:rPr>
        <w:t>math pathways</w:t>
      </w:r>
      <w:r w:rsidR="00F16395" w:rsidRPr="00347697">
        <w:rPr>
          <w:rFonts w:ascii="Times New Roman" w:hAnsi="Times New Roman" w:cs="Times New Roman"/>
          <w:sz w:val="24"/>
          <w:szCs w:val="24"/>
        </w:rPr>
        <w:t>,</w:t>
      </w:r>
      <w:r w:rsidRPr="00347697">
        <w:rPr>
          <w:rFonts w:ascii="Times New Roman" w:hAnsi="Times New Roman" w:cs="Times New Roman"/>
          <w:sz w:val="24"/>
          <w:szCs w:val="24"/>
        </w:rPr>
        <w:t xml:space="preserve"> </w:t>
      </w:r>
      <w:r w:rsidR="002A10D7" w:rsidRPr="00347697">
        <w:rPr>
          <w:rFonts w:ascii="Times New Roman" w:hAnsi="Times New Roman" w:cs="Times New Roman"/>
          <w:sz w:val="24"/>
          <w:szCs w:val="24"/>
        </w:rPr>
        <w:t xml:space="preserve">combining information about first </w:t>
      </w:r>
      <w:r w:rsidR="00DB39B0" w:rsidRPr="00347697">
        <w:rPr>
          <w:rFonts w:ascii="Times New Roman" w:hAnsi="Times New Roman" w:cs="Times New Roman"/>
          <w:sz w:val="24"/>
          <w:szCs w:val="24"/>
        </w:rPr>
        <w:t xml:space="preserve">math </w:t>
      </w:r>
      <w:r w:rsidR="002A10D7" w:rsidRPr="00347697">
        <w:rPr>
          <w:rFonts w:ascii="Times New Roman" w:hAnsi="Times New Roman" w:cs="Times New Roman"/>
          <w:sz w:val="24"/>
          <w:szCs w:val="24"/>
        </w:rPr>
        <w:t xml:space="preserve">course attempted, the outcome in this first math course, and second math course attempted.  In turn, defining such pathways will aid efforts to understand students’ navigation of the developmental math curriculum and achievement of </w:t>
      </w:r>
      <w:r w:rsidR="000179F1">
        <w:rPr>
          <w:rFonts w:ascii="Times New Roman" w:hAnsi="Times New Roman" w:cs="Times New Roman"/>
          <w:sz w:val="24"/>
          <w:szCs w:val="24"/>
        </w:rPr>
        <w:t>college</w:t>
      </w:r>
      <w:r w:rsidR="002A10D7" w:rsidRPr="00347697">
        <w:rPr>
          <w:rFonts w:ascii="Times New Roman" w:hAnsi="Times New Roman" w:cs="Times New Roman"/>
          <w:sz w:val="24"/>
          <w:szCs w:val="24"/>
        </w:rPr>
        <w:t xml:space="preserve">-level </w:t>
      </w:r>
      <w:r w:rsidR="00437B0C" w:rsidRPr="00347697">
        <w:rPr>
          <w:rFonts w:ascii="Times New Roman" w:hAnsi="Times New Roman" w:cs="Times New Roman"/>
          <w:sz w:val="24"/>
          <w:szCs w:val="24"/>
        </w:rPr>
        <w:t xml:space="preserve">quantitative </w:t>
      </w:r>
      <w:r w:rsidR="002A10D7" w:rsidRPr="00347697">
        <w:rPr>
          <w:rFonts w:ascii="Times New Roman" w:hAnsi="Times New Roman" w:cs="Times New Roman"/>
          <w:sz w:val="24"/>
          <w:szCs w:val="24"/>
        </w:rPr>
        <w:t xml:space="preserve">competency.  </w:t>
      </w:r>
      <w:r w:rsidR="00C30400" w:rsidRPr="00347697">
        <w:rPr>
          <w:rFonts w:ascii="Times New Roman" w:hAnsi="Times New Roman" w:cs="Times New Roman"/>
          <w:sz w:val="24"/>
          <w:szCs w:val="24"/>
        </w:rPr>
        <w:t>Not</w:t>
      </w:r>
      <w:r w:rsidR="00C30400">
        <w:rPr>
          <w:rFonts w:ascii="Times New Roman" w:hAnsi="Times New Roman" w:cs="Times New Roman"/>
          <w:sz w:val="24"/>
          <w:szCs w:val="24"/>
        </w:rPr>
        <w:t>e that</w:t>
      </w:r>
      <w:r w:rsidR="00C30400" w:rsidRPr="00347697">
        <w:rPr>
          <w:rFonts w:ascii="Times New Roman" w:hAnsi="Times New Roman" w:cs="Times New Roman"/>
          <w:sz w:val="24"/>
          <w:szCs w:val="24"/>
        </w:rPr>
        <w:t xml:space="preserve"> </w:t>
      </w:r>
      <w:r w:rsidR="00C30400">
        <w:rPr>
          <w:rFonts w:ascii="Times New Roman" w:hAnsi="Times New Roman" w:cs="Times New Roman"/>
          <w:sz w:val="24"/>
          <w:szCs w:val="24"/>
        </w:rPr>
        <w:t xml:space="preserve">not </w:t>
      </w:r>
      <w:r w:rsidR="00C30400" w:rsidRPr="00347697">
        <w:rPr>
          <w:rFonts w:ascii="Times New Roman" w:hAnsi="Times New Roman" w:cs="Times New Roman"/>
          <w:sz w:val="24"/>
          <w:szCs w:val="24"/>
        </w:rPr>
        <w:t xml:space="preserve">attempting a second math course is counted and reported as a potential choice of students in </w:t>
      </w:r>
      <w:r w:rsidR="000179F1">
        <w:rPr>
          <w:rFonts w:ascii="Times New Roman" w:hAnsi="Times New Roman" w:cs="Times New Roman"/>
          <w:sz w:val="24"/>
          <w:szCs w:val="24"/>
        </w:rPr>
        <w:t xml:space="preserve">a </w:t>
      </w:r>
      <w:r w:rsidR="00C30400" w:rsidRPr="001722C6">
        <w:rPr>
          <w:rFonts w:ascii="Times New Roman" w:hAnsi="Times New Roman" w:cs="Times New Roman"/>
          <w:sz w:val="24"/>
          <w:szCs w:val="24"/>
        </w:rPr>
        <w:t>given group (</w:t>
      </w:r>
      <w:r w:rsidR="00C30400" w:rsidRPr="001722C6">
        <w:rPr>
          <w:rFonts w:ascii="Times New Roman" w:hAnsi="Times New Roman" w:cs="Times New Roman"/>
          <w:i/>
          <w:sz w:val="24"/>
          <w:szCs w:val="24"/>
        </w:rPr>
        <w:t>G</w:t>
      </w:r>
      <w:r w:rsidR="00C30400" w:rsidRPr="001722C6">
        <w:rPr>
          <w:rFonts w:ascii="Times New Roman" w:hAnsi="Times New Roman" w:cs="Times New Roman"/>
          <w:sz w:val="24"/>
          <w:szCs w:val="24"/>
        </w:rPr>
        <w:t xml:space="preserve">) who share a particular first math course </w:t>
      </w:r>
      <w:r w:rsidR="00C30400" w:rsidRPr="00347697">
        <w:rPr>
          <w:rFonts w:ascii="Times New Roman" w:hAnsi="Times New Roman" w:cs="Times New Roman"/>
          <w:sz w:val="24"/>
          <w:szCs w:val="24"/>
        </w:rPr>
        <w:t>(</w:t>
      </w:r>
      <w:r w:rsidR="00C30400" w:rsidRPr="00CC47B4">
        <w:rPr>
          <w:rFonts w:ascii="Times New Roman" w:hAnsi="Times New Roman" w:cs="Times New Roman"/>
          <w:i/>
          <w:sz w:val="24"/>
          <w:szCs w:val="24"/>
        </w:rPr>
        <w:t>X</w:t>
      </w:r>
      <w:r w:rsidR="00C30400" w:rsidRPr="00347697">
        <w:rPr>
          <w:rFonts w:ascii="Times New Roman" w:hAnsi="Times New Roman" w:cs="Times New Roman"/>
          <w:sz w:val="24"/>
          <w:szCs w:val="24"/>
        </w:rPr>
        <w:t xml:space="preserve">) </w:t>
      </w:r>
      <w:r w:rsidR="00C30400" w:rsidRPr="001722C6">
        <w:rPr>
          <w:rFonts w:ascii="Times New Roman" w:hAnsi="Times New Roman" w:cs="Times New Roman"/>
          <w:sz w:val="24"/>
          <w:szCs w:val="24"/>
        </w:rPr>
        <w:t xml:space="preserve">and a particular outcome </w:t>
      </w:r>
      <w:r w:rsidR="00C30400" w:rsidRPr="00347697">
        <w:rPr>
          <w:rFonts w:ascii="Times New Roman" w:hAnsi="Times New Roman" w:cs="Times New Roman"/>
          <w:sz w:val="24"/>
          <w:szCs w:val="24"/>
        </w:rPr>
        <w:t>(</w:t>
      </w:r>
      <w:r w:rsidR="00C30400" w:rsidRPr="00CC47B4">
        <w:rPr>
          <w:rFonts w:ascii="Times New Roman" w:hAnsi="Times New Roman" w:cs="Times New Roman"/>
          <w:i/>
          <w:sz w:val="24"/>
          <w:szCs w:val="24"/>
        </w:rPr>
        <w:t>Y</w:t>
      </w:r>
      <w:r w:rsidR="00C30400" w:rsidRPr="00347697">
        <w:rPr>
          <w:rFonts w:ascii="Times New Roman" w:hAnsi="Times New Roman" w:cs="Times New Roman"/>
          <w:sz w:val="24"/>
          <w:szCs w:val="24"/>
        </w:rPr>
        <w:t xml:space="preserve">) </w:t>
      </w:r>
      <w:r w:rsidR="00C30400" w:rsidRPr="001722C6">
        <w:rPr>
          <w:rFonts w:ascii="Times New Roman" w:hAnsi="Times New Roman" w:cs="Times New Roman"/>
          <w:sz w:val="24"/>
          <w:szCs w:val="24"/>
        </w:rPr>
        <w:t xml:space="preserve">in the first attempt of that first math course, </w:t>
      </w:r>
      <w:r w:rsidR="00C30400" w:rsidRPr="00347697">
        <w:rPr>
          <w:rFonts w:ascii="Times New Roman" w:hAnsi="Times New Roman" w:cs="Times New Roman"/>
          <w:sz w:val="24"/>
          <w:szCs w:val="24"/>
        </w:rPr>
        <w:t xml:space="preserve">but it is not included among the pathways defined here regardless of the number or fraction of </w:t>
      </w:r>
      <w:r w:rsidR="00C30400" w:rsidRPr="00347697">
        <w:rPr>
          <w:rFonts w:ascii="Times New Roman" w:hAnsi="Times New Roman" w:cs="Times New Roman"/>
          <w:i/>
          <w:sz w:val="24"/>
          <w:szCs w:val="24"/>
        </w:rPr>
        <w:t>G</w:t>
      </w:r>
      <w:r w:rsidR="00C30400" w:rsidRPr="00347697">
        <w:rPr>
          <w:rFonts w:ascii="Times New Roman" w:hAnsi="Times New Roman" w:cs="Times New Roman"/>
          <w:sz w:val="24"/>
          <w:szCs w:val="24"/>
        </w:rPr>
        <w:t xml:space="preserve"> students who elected this choice.  Likewise, second math courses that are collapsed into the </w:t>
      </w:r>
      <w:r w:rsidR="00C30400">
        <w:rPr>
          <w:rFonts w:ascii="Times New Roman" w:hAnsi="Times New Roman" w:cs="Times New Roman"/>
          <w:i/>
          <w:sz w:val="24"/>
          <w:szCs w:val="24"/>
        </w:rPr>
        <w:t>Other</w:t>
      </w:r>
      <w:r w:rsidR="00C30400" w:rsidRPr="00347697">
        <w:rPr>
          <w:rFonts w:ascii="Times New Roman" w:hAnsi="Times New Roman" w:cs="Times New Roman"/>
          <w:sz w:val="24"/>
          <w:szCs w:val="24"/>
        </w:rPr>
        <w:t xml:space="preserve"> category are counted and reported in </w:t>
      </w:r>
      <w:r w:rsidR="00C30400">
        <w:rPr>
          <w:rFonts w:ascii="Times New Roman" w:hAnsi="Times New Roman" w:cs="Times New Roman"/>
          <w:sz w:val="24"/>
          <w:szCs w:val="24"/>
        </w:rPr>
        <w:t>Table</w:t>
      </w:r>
      <w:r w:rsidR="00C30400" w:rsidRPr="00347697">
        <w:rPr>
          <w:rFonts w:ascii="Times New Roman" w:hAnsi="Times New Roman" w:cs="Times New Roman"/>
          <w:sz w:val="24"/>
          <w:szCs w:val="24"/>
        </w:rPr>
        <w:t xml:space="preserve"> 4 but not included among the pathways as defined here.</w:t>
      </w:r>
    </w:p>
    <w:p w14:paraId="061CCDE9" w14:textId="77777777" w:rsidR="00437B0C" w:rsidRPr="00347697" w:rsidRDefault="00437B0C" w:rsidP="00347697">
      <w:pPr>
        <w:spacing w:after="0" w:line="240" w:lineRule="auto"/>
        <w:rPr>
          <w:rFonts w:ascii="Times New Roman" w:hAnsi="Times New Roman" w:cs="Times New Roman"/>
          <w:sz w:val="24"/>
          <w:szCs w:val="24"/>
        </w:rPr>
      </w:pPr>
    </w:p>
    <w:p w14:paraId="4DDCAD5A" w14:textId="6D1591C4" w:rsidR="00640433" w:rsidRPr="00347697" w:rsidRDefault="0064339B" w:rsidP="00347697">
      <w:pPr>
        <w:spacing w:after="0" w:line="240" w:lineRule="auto"/>
        <w:rPr>
          <w:rFonts w:ascii="Times New Roman" w:hAnsi="Times New Roman" w:cs="Times New Roman"/>
          <w:sz w:val="24"/>
          <w:szCs w:val="24"/>
        </w:rPr>
      </w:pPr>
      <w:r>
        <w:rPr>
          <w:rFonts w:ascii="Times New Roman" w:hAnsi="Times New Roman" w:cs="Times New Roman"/>
          <w:sz w:val="24"/>
          <w:szCs w:val="24"/>
        </w:rPr>
        <w:t>Eleven</w:t>
      </w:r>
      <w:r w:rsidRPr="00347697">
        <w:rPr>
          <w:rFonts w:ascii="Times New Roman" w:hAnsi="Times New Roman" w:cs="Times New Roman"/>
          <w:sz w:val="24"/>
          <w:szCs w:val="24"/>
        </w:rPr>
        <w:t xml:space="preserve"> </w:t>
      </w:r>
      <w:r w:rsidR="000179F1">
        <w:rPr>
          <w:rFonts w:ascii="Times New Roman" w:hAnsi="Times New Roman" w:cs="Times New Roman"/>
          <w:sz w:val="24"/>
          <w:szCs w:val="24"/>
        </w:rPr>
        <w:t xml:space="preserve">common </w:t>
      </w:r>
      <w:r w:rsidR="00EA08B9" w:rsidRPr="00347697">
        <w:rPr>
          <w:rFonts w:ascii="Times New Roman" w:hAnsi="Times New Roman" w:cs="Times New Roman"/>
          <w:sz w:val="24"/>
          <w:szCs w:val="24"/>
        </w:rPr>
        <w:t xml:space="preserve">math </w:t>
      </w:r>
      <w:r w:rsidR="006F7D36" w:rsidRPr="00347697">
        <w:rPr>
          <w:rFonts w:ascii="Times New Roman" w:hAnsi="Times New Roman" w:cs="Times New Roman"/>
          <w:sz w:val="24"/>
          <w:szCs w:val="24"/>
        </w:rPr>
        <w:t>pathways were identified.</w:t>
      </w:r>
      <w:r w:rsidR="00970186" w:rsidRPr="00347697">
        <w:rPr>
          <w:rFonts w:ascii="Times New Roman" w:hAnsi="Times New Roman" w:cs="Times New Roman"/>
          <w:sz w:val="24"/>
          <w:szCs w:val="24"/>
        </w:rPr>
        <w:t xml:space="preserve">  </w:t>
      </w:r>
      <w:r w:rsidR="00640433" w:rsidRPr="00347697">
        <w:rPr>
          <w:rFonts w:ascii="Times New Roman" w:hAnsi="Times New Roman" w:cs="Times New Roman"/>
          <w:sz w:val="24"/>
          <w:szCs w:val="24"/>
        </w:rPr>
        <w:t xml:space="preserve">Together, the </w:t>
      </w:r>
      <w:r>
        <w:rPr>
          <w:rFonts w:ascii="Times New Roman" w:hAnsi="Times New Roman" w:cs="Times New Roman"/>
          <w:sz w:val="24"/>
          <w:szCs w:val="24"/>
        </w:rPr>
        <w:t>eleven</w:t>
      </w:r>
      <w:r w:rsidRPr="00347697">
        <w:rPr>
          <w:rFonts w:ascii="Times New Roman" w:hAnsi="Times New Roman" w:cs="Times New Roman"/>
          <w:sz w:val="24"/>
          <w:szCs w:val="24"/>
        </w:rPr>
        <w:t xml:space="preserve"> </w:t>
      </w:r>
      <w:r w:rsidR="00640433" w:rsidRPr="00347697">
        <w:rPr>
          <w:rFonts w:ascii="Times New Roman" w:hAnsi="Times New Roman" w:cs="Times New Roman"/>
          <w:sz w:val="24"/>
          <w:szCs w:val="24"/>
        </w:rPr>
        <w:t xml:space="preserve">pathways account for </w:t>
      </w:r>
      <w:r>
        <w:rPr>
          <w:rFonts w:ascii="Times New Roman" w:hAnsi="Times New Roman" w:cs="Times New Roman"/>
          <w:sz w:val="24"/>
          <w:szCs w:val="24"/>
        </w:rPr>
        <w:t>1,370</w:t>
      </w:r>
      <w:r w:rsidR="00640433" w:rsidRPr="00347697">
        <w:rPr>
          <w:rFonts w:ascii="Times New Roman" w:hAnsi="Times New Roman" w:cs="Times New Roman"/>
          <w:sz w:val="24"/>
          <w:szCs w:val="24"/>
        </w:rPr>
        <w:t xml:space="preserve"> students, which is </w:t>
      </w:r>
      <w:r w:rsidR="00B54D61" w:rsidRPr="00B54D61">
        <w:rPr>
          <w:rFonts w:ascii="Times New Roman" w:hAnsi="Times New Roman" w:cs="Times New Roman"/>
          <w:sz w:val="24"/>
          <w:szCs w:val="24"/>
        </w:rPr>
        <w:t>53</w:t>
      </w:r>
      <w:r w:rsidR="00640433" w:rsidRPr="00347697">
        <w:rPr>
          <w:rFonts w:ascii="Times New Roman" w:hAnsi="Times New Roman" w:cs="Times New Roman"/>
          <w:sz w:val="24"/>
          <w:szCs w:val="24"/>
        </w:rPr>
        <w:t xml:space="preserve">% of the </w:t>
      </w:r>
      <w:r>
        <w:rPr>
          <w:rFonts w:ascii="Times New Roman" w:hAnsi="Times New Roman" w:cs="Times New Roman"/>
          <w:sz w:val="24"/>
          <w:szCs w:val="24"/>
        </w:rPr>
        <w:t>2,602</w:t>
      </w:r>
      <w:r w:rsidR="00640433" w:rsidRPr="00347697">
        <w:rPr>
          <w:rFonts w:ascii="Times New Roman" w:hAnsi="Times New Roman" w:cs="Times New Roman"/>
          <w:sz w:val="24"/>
          <w:szCs w:val="24"/>
        </w:rPr>
        <w:t xml:space="preserve"> transfer-seeking students </w:t>
      </w:r>
      <w:r w:rsidR="00852AD9" w:rsidRPr="00347697">
        <w:rPr>
          <w:rFonts w:ascii="Times New Roman" w:hAnsi="Times New Roman" w:cs="Times New Roman"/>
          <w:sz w:val="24"/>
          <w:szCs w:val="24"/>
        </w:rPr>
        <w:t>included in Table 4</w:t>
      </w:r>
      <w:r w:rsidR="00914062" w:rsidRPr="00347697">
        <w:rPr>
          <w:rFonts w:ascii="Times New Roman" w:hAnsi="Times New Roman" w:cs="Times New Roman"/>
          <w:sz w:val="24"/>
          <w:szCs w:val="24"/>
        </w:rPr>
        <w:t xml:space="preserve">.  However, it is </w:t>
      </w:r>
      <w:r w:rsidR="00B54D61" w:rsidRPr="00B54D61">
        <w:rPr>
          <w:rFonts w:ascii="Times New Roman" w:hAnsi="Times New Roman" w:cs="Times New Roman"/>
          <w:sz w:val="24"/>
          <w:szCs w:val="24"/>
        </w:rPr>
        <w:t>87</w:t>
      </w:r>
      <w:r w:rsidR="00D83DF2" w:rsidRPr="00347697">
        <w:rPr>
          <w:rFonts w:ascii="Times New Roman" w:hAnsi="Times New Roman" w:cs="Times New Roman"/>
          <w:sz w:val="24"/>
          <w:szCs w:val="24"/>
        </w:rPr>
        <w:t xml:space="preserve">% of the </w:t>
      </w:r>
      <w:r w:rsidR="00E04AB5" w:rsidRPr="00347697">
        <w:rPr>
          <w:rFonts w:ascii="Times New Roman" w:hAnsi="Times New Roman" w:cs="Times New Roman"/>
          <w:sz w:val="24"/>
          <w:szCs w:val="24"/>
        </w:rPr>
        <w:t xml:space="preserve">subset of </w:t>
      </w:r>
      <w:r>
        <w:rPr>
          <w:rFonts w:ascii="Times New Roman" w:hAnsi="Times New Roman" w:cs="Times New Roman"/>
          <w:sz w:val="24"/>
          <w:szCs w:val="24"/>
        </w:rPr>
        <w:t xml:space="preserve">1,566 </w:t>
      </w:r>
      <w:r w:rsidR="00D83DF2" w:rsidRPr="00347697">
        <w:rPr>
          <w:rFonts w:ascii="Times New Roman" w:hAnsi="Times New Roman" w:cs="Times New Roman"/>
          <w:sz w:val="24"/>
          <w:szCs w:val="24"/>
        </w:rPr>
        <w:t xml:space="preserve">students </w:t>
      </w:r>
      <w:r w:rsidR="00914062" w:rsidRPr="00347697">
        <w:rPr>
          <w:rFonts w:ascii="Times New Roman" w:hAnsi="Times New Roman" w:cs="Times New Roman"/>
          <w:sz w:val="24"/>
          <w:szCs w:val="24"/>
        </w:rPr>
        <w:t xml:space="preserve">in Table 4 </w:t>
      </w:r>
      <w:r w:rsidR="00640433" w:rsidRPr="00347697">
        <w:rPr>
          <w:rFonts w:ascii="Times New Roman" w:hAnsi="Times New Roman" w:cs="Times New Roman"/>
          <w:i/>
          <w:sz w:val="24"/>
          <w:szCs w:val="24"/>
        </w:rPr>
        <w:t>who attempted any second math course</w:t>
      </w:r>
      <w:r w:rsidR="00D97373" w:rsidRPr="00347697">
        <w:rPr>
          <w:rFonts w:ascii="Times New Roman" w:hAnsi="Times New Roman" w:cs="Times New Roman"/>
          <w:sz w:val="24"/>
          <w:szCs w:val="24"/>
        </w:rPr>
        <w:t>, including repeating the first course</w:t>
      </w:r>
      <w:r w:rsidR="00640433" w:rsidRPr="00347697">
        <w:rPr>
          <w:rFonts w:ascii="Times New Roman" w:hAnsi="Times New Roman" w:cs="Times New Roman"/>
          <w:sz w:val="24"/>
          <w:szCs w:val="24"/>
        </w:rPr>
        <w:t>.</w:t>
      </w:r>
    </w:p>
    <w:p w14:paraId="25F3329C" w14:textId="77777777" w:rsidR="00640433" w:rsidRPr="00347697" w:rsidRDefault="00640433" w:rsidP="00347697">
      <w:pPr>
        <w:spacing w:after="0" w:line="240" w:lineRule="auto"/>
        <w:rPr>
          <w:rFonts w:ascii="Times New Roman" w:hAnsi="Times New Roman" w:cs="Times New Roman"/>
          <w:sz w:val="24"/>
          <w:szCs w:val="24"/>
        </w:rPr>
      </w:pPr>
    </w:p>
    <w:p w14:paraId="781720AD" w14:textId="11EE5B00" w:rsidR="00FE5300" w:rsidRPr="00347697" w:rsidRDefault="0064339B" w:rsidP="00347697">
      <w:pPr>
        <w:spacing w:after="0" w:line="240" w:lineRule="auto"/>
        <w:rPr>
          <w:rFonts w:ascii="Times New Roman" w:hAnsi="Times New Roman" w:cs="Times New Roman"/>
          <w:sz w:val="24"/>
          <w:szCs w:val="24"/>
        </w:rPr>
      </w:pPr>
      <w:r>
        <w:rPr>
          <w:rFonts w:ascii="Times New Roman" w:hAnsi="Times New Roman" w:cs="Times New Roman"/>
          <w:sz w:val="24"/>
          <w:szCs w:val="24"/>
        </w:rPr>
        <w:t>Eight</w:t>
      </w:r>
      <w:r w:rsidRPr="00347697">
        <w:rPr>
          <w:rFonts w:ascii="Times New Roman" w:hAnsi="Times New Roman" w:cs="Times New Roman"/>
          <w:sz w:val="24"/>
          <w:szCs w:val="24"/>
        </w:rPr>
        <w:t xml:space="preserve"> </w:t>
      </w:r>
      <w:r w:rsidR="00FE5300" w:rsidRPr="00347697">
        <w:rPr>
          <w:rFonts w:ascii="Times New Roman" w:hAnsi="Times New Roman" w:cs="Times New Roman"/>
          <w:sz w:val="24"/>
          <w:szCs w:val="24"/>
        </w:rPr>
        <w:t xml:space="preserve">of </w:t>
      </w:r>
      <w:r w:rsidR="00D234CE" w:rsidRPr="00347697">
        <w:rPr>
          <w:rFonts w:ascii="Times New Roman" w:hAnsi="Times New Roman" w:cs="Times New Roman"/>
          <w:sz w:val="24"/>
          <w:szCs w:val="24"/>
        </w:rPr>
        <w:t xml:space="preserve">the </w:t>
      </w:r>
      <w:r w:rsidR="00EA08B9" w:rsidRPr="00347697">
        <w:rPr>
          <w:rFonts w:ascii="Times New Roman" w:hAnsi="Times New Roman" w:cs="Times New Roman"/>
          <w:sz w:val="24"/>
          <w:szCs w:val="24"/>
        </w:rPr>
        <w:t>math</w:t>
      </w:r>
      <w:r w:rsidR="006F7D36" w:rsidRPr="00347697">
        <w:rPr>
          <w:rFonts w:ascii="Times New Roman" w:hAnsi="Times New Roman" w:cs="Times New Roman"/>
          <w:sz w:val="24"/>
          <w:szCs w:val="24"/>
        </w:rPr>
        <w:t xml:space="preserve"> pathways </w:t>
      </w:r>
      <w:r w:rsidR="00FE5300" w:rsidRPr="00347697">
        <w:rPr>
          <w:rFonts w:ascii="Times New Roman" w:hAnsi="Times New Roman" w:cs="Times New Roman"/>
          <w:sz w:val="24"/>
          <w:szCs w:val="24"/>
        </w:rPr>
        <w:t>pertain to students who successfully completed their first math course on the first attempt.</w:t>
      </w:r>
      <w:r w:rsidR="00F06235" w:rsidRPr="00347697">
        <w:rPr>
          <w:rFonts w:ascii="Times New Roman" w:hAnsi="Times New Roman" w:cs="Times New Roman"/>
          <w:sz w:val="24"/>
          <w:szCs w:val="24"/>
        </w:rPr>
        <w:t xml:space="preserve">  These </w:t>
      </w:r>
      <w:r>
        <w:rPr>
          <w:rFonts w:ascii="Times New Roman" w:hAnsi="Times New Roman" w:cs="Times New Roman"/>
          <w:sz w:val="24"/>
          <w:szCs w:val="24"/>
        </w:rPr>
        <w:t>eight</w:t>
      </w:r>
      <w:r w:rsidRPr="00347697">
        <w:rPr>
          <w:rFonts w:ascii="Times New Roman" w:hAnsi="Times New Roman" w:cs="Times New Roman"/>
          <w:sz w:val="24"/>
          <w:szCs w:val="24"/>
        </w:rPr>
        <w:t xml:space="preserve"> </w:t>
      </w:r>
      <w:r w:rsidR="00F06235" w:rsidRPr="00347697">
        <w:rPr>
          <w:rFonts w:ascii="Times New Roman" w:hAnsi="Times New Roman" w:cs="Times New Roman"/>
          <w:sz w:val="24"/>
          <w:szCs w:val="24"/>
        </w:rPr>
        <w:t>pathways account for</w:t>
      </w:r>
      <w:r w:rsidR="00AE6F74" w:rsidRPr="00347697">
        <w:rPr>
          <w:rFonts w:ascii="Times New Roman" w:hAnsi="Times New Roman" w:cs="Times New Roman"/>
          <w:sz w:val="24"/>
          <w:szCs w:val="24"/>
        </w:rPr>
        <w:t xml:space="preserve"> </w:t>
      </w:r>
      <w:r>
        <w:rPr>
          <w:rFonts w:ascii="Times New Roman" w:hAnsi="Times New Roman" w:cs="Times New Roman"/>
          <w:sz w:val="24"/>
          <w:szCs w:val="24"/>
        </w:rPr>
        <w:t>1,038</w:t>
      </w:r>
      <w:r w:rsidR="00AE6F74" w:rsidRPr="00347697">
        <w:rPr>
          <w:rFonts w:ascii="Times New Roman" w:hAnsi="Times New Roman" w:cs="Times New Roman"/>
          <w:sz w:val="24"/>
          <w:szCs w:val="24"/>
        </w:rPr>
        <w:t xml:space="preserve"> students</w:t>
      </w:r>
      <w:r w:rsidR="00914062" w:rsidRPr="00347697">
        <w:rPr>
          <w:rFonts w:ascii="Times New Roman" w:hAnsi="Times New Roman" w:cs="Times New Roman"/>
          <w:sz w:val="24"/>
          <w:szCs w:val="24"/>
        </w:rPr>
        <w:t xml:space="preserve">: </w:t>
      </w:r>
      <w:r w:rsidR="00B54D61" w:rsidRPr="00B54D61">
        <w:rPr>
          <w:rFonts w:ascii="Times New Roman" w:hAnsi="Times New Roman" w:cs="Times New Roman"/>
          <w:sz w:val="24"/>
          <w:szCs w:val="24"/>
        </w:rPr>
        <w:t>70</w:t>
      </w:r>
      <w:r w:rsidR="00AE6F74" w:rsidRPr="00347697">
        <w:rPr>
          <w:rFonts w:ascii="Times New Roman" w:hAnsi="Times New Roman" w:cs="Times New Roman"/>
          <w:sz w:val="24"/>
          <w:szCs w:val="24"/>
        </w:rPr>
        <w:t xml:space="preserve">% of the </w:t>
      </w:r>
      <w:r>
        <w:rPr>
          <w:rFonts w:ascii="Times New Roman" w:hAnsi="Times New Roman" w:cs="Times New Roman"/>
          <w:sz w:val="24"/>
          <w:szCs w:val="24"/>
        </w:rPr>
        <w:t>1,474</w:t>
      </w:r>
      <w:r w:rsidR="00AE6F74" w:rsidRPr="00347697">
        <w:rPr>
          <w:rFonts w:ascii="Times New Roman" w:hAnsi="Times New Roman" w:cs="Times New Roman"/>
          <w:sz w:val="24"/>
          <w:szCs w:val="24"/>
        </w:rPr>
        <w:t xml:space="preserve"> students who were successful in their first math course, </w:t>
      </w:r>
      <w:r w:rsidR="00D05D5D">
        <w:rPr>
          <w:rFonts w:ascii="Times New Roman" w:hAnsi="Times New Roman" w:cs="Times New Roman"/>
          <w:sz w:val="24"/>
          <w:szCs w:val="24"/>
        </w:rPr>
        <w:t>but</w:t>
      </w:r>
      <w:r w:rsidR="00D05D5D" w:rsidRPr="00347697">
        <w:rPr>
          <w:rFonts w:ascii="Times New Roman" w:hAnsi="Times New Roman" w:cs="Times New Roman"/>
          <w:sz w:val="24"/>
          <w:szCs w:val="24"/>
        </w:rPr>
        <w:t xml:space="preserve"> </w:t>
      </w:r>
      <w:r w:rsidR="00B54D61" w:rsidRPr="00B54D61">
        <w:rPr>
          <w:rFonts w:ascii="Times New Roman" w:hAnsi="Times New Roman" w:cs="Times New Roman"/>
          <w:sz w:val="24"/>
          <w:szCs w:val="24"/>
        </w:rPr>
        <w:t>92</w:t>
      </w:r>
      <w:r w:rsidR="00AE6F74" w:rsidRPr="00347697">
        <w:rPr>
          <w:rFonts w:ascii="Times New Roman" w:hAnsi="Times New Roman" w:cs="Times New Roman"/>
          <w:sz w:val="24"/>
          <w:szCs w:val="24"/>
        </w:rPr>
        <w:t>% of</w:t>
      </w:r>
      <w:r w:rsidR="00EA08B9" w:rsidRPr="00347697">
        <w:rPr>
          <w:rFonts w:ascii="Times New Roman" w:hAnsi="Times New Roman" w:cs="Times New Roman"/>
          <w:sz w:val="24"/>
          <w:szCs w:val="24"/>
        </w:rPr>
        <w:t xml:space="preserve"> the</w:t>
      </w:r>
      <w:r w:rsidR="00AE6F74" w:rsidRPr="00347697">
        <w:rPr>
          <w:rFonts w:ascii="Times New Roman" w:hAnsi="Times New Roman" w:cs="Times New Roman"/>
          <w:sz w:val="24"/>
          <w:szCs w:val="24"/>
        </w:rPr>
        <w:t xml:space="preserve"> </w:t>
      </w:r>
      <w:r w:rsidR="00E04AB5" w:rsidRPr="00347697">
        <w:rPr>
          <w:rFonts w:ascii="Times New Roman" w:hAnsi="Times New Roman" w:cs="Times New Roman"/>
          <w:sz w:val="24"/>
          <w:szCs w:val="24"/>
        </w:rPr>
        <w:t xml:space="preserve">subset of </w:t>
      </w:r>
      <w:r>
        <w:rPr>
          <w:rFonts w:ascii="Times New Roman" w:hAnsi="Times New Roman" w:cs="Times New Roman"/>
          <w:sz w:val="24"/>
          <w:szCs w:val="24"/>
        </w:rPr>
        <w:t xml:space="preserve">1,127 </w:t>
      </w:r>
      <w:r w:rsidR="00AE6F74" w:rsidRPr="00347697">
        <w:rPr>
          <w:rFonts w:ascii="Times New Roman" w:hAnsi="Times New Roman" w:cs="Times New Roman"/>
          <w:sz w:val="24"/>
          <w:szCs w:val="24"/>
        </w:rPr>
        <w:t xml:space="preserve">students who were successful in their first math course </w:t>
      </w:r>
      <w:r w:rsidR="00AE6F74" w:rsidRPr="00347697">
        <w:rPr>
          <w:rFonts w:ascii="Times New Roman" w:hAnsi="Times New Roman" w:cs="Times New Roman"/>
          <w:i/>
          <w:sz w:val="24"/>
          <w:szCs w:val="24"/>
        </w:rPr>
        <w:t>and</w:t>
      </w:r>
      <w:r w:rsidR="00AE6F74" w:rsidRPr="00347697">
        <w:rPr>
          <w:rFonts w:ascii="Times New Roman" w:hAnsi="Times New Roman" w:cs="Times New Roman"/>
          <w:sz w:val="24"/>
          <w:szCs w:val="24"/>
        </w:rPr>
        <w:t xml:space="preserve"> attempted any second math course.</w:t>
      </w:r>
    </w:p>
    <w:p w14:paraId="61B5E955" w14:textId="77777777" w:rsidR="00D27103" w:rsidRPr="00347697" w:rsidRDefault="00D27103" w:rsidP="00347697">
      <w:pPr>
        <w:spacing w:after="0" w:line="240" w:lineRule="auto"/>
        <w:rPr>
          <w:rFonts w:ascii="Times New Roman" w:hAnsi="Times New Roman" w:cs="Times New Roman"/>
          <w:sz w:val="24"/>
          <w:szCs w:val="24"/>
        </w:rPr>
      </w:pPr>
    </w:p>
    <w:p w14:paraId="63C6054E" w14:textId="2BD913E7" w:rsidR="00F06235" w:rsidRDefault="00F06235" w:rsidP="0072729B">
      <w:pPr>
        <w:spacing w:after="0"/>
        <w:rPr>
          <w:rFonts w:ascii="Times New Roman" w:hAnsi="Times New Roman" w:cs="Times New Roman"/>
          <w:sz w:val="24"/>
          <w:szCs w:val="24"/>
        </w:rPr>
      </w:pPr>
      <w:r w:rsidRPr="00347697">
        <w:rPr>
          <w:rFonts w:ascii="Times New Roman" w:hAnsi="Times New Roman" w:cs="Times New Roman"/>
          <w:sz w:val="24"/>
          <w:szCs w:val="24"/>
        </w:rPr>
        <w:t xml:space="preserve">The remaining </w:t>
      </w:r>
      <w:r w:rsidR="0064339B">
        <w:rPr>
          <w:rFonts w:ascii="Times New Roman" w:hAnsi="Times New Roman" w:cs="Times New Roman"/>
          <w:sz w:val="24"/>
          <w:szCs w:val="24"/>
        </w:rPr>
        <w:t>three</w:t>
      </w:r>
      <w:r w:rsidR="0064339B" w:rsidRPr="00347697">
        <w:rPr>
          <w:rFonts w:ascii="Times New Roman" w:hAnsi="Times New Roman" w:cs="Times New Roman"/>
          <w:sz w:val="24"/>
          <w:szCs w:val="24"/>
        </w:rPr>
        <w:t xml:space="preserve"> </w:t>
      </w:r>
      <w:r w:rsidRPr="00347697">
        <w:rPr>
          <w:rFonts w:ascii="Times New Roman" w:hAnsi="Times New Roman" w:cs="Times New Roman"/>
          <w:sz w:val="24"/>
          <w:szCs w:val="24"/>
        </w:rPr>
        <w:t>pathways pertain to students who were unsuccessful in the first attempt of their first math course.  These pathways account for</w:t>
      </w:r>
      <w:r w:rsidR="00882473" w:rsidRPr="00347697">
        <w:rPr>
          <w:rFonts w:ascii="Times New Roman" w:hAnsi="Times New Roman" w:cs="Times New Roman"/>
          <w:sz w:val="24"/>
          <w:szCs w:val="24"/>
        </w:rPr>
        <w:t xml:space="preserve"> </w:t>
      </w:r>
      <w:r w:rsidR="0064339B">
        <w:rPr>
          <w:rFonts w:ascii="Times New Roman" w:hAnsi="Times New Roman" w:cs="Times New Roman"/>
          <w:sz w:val="24"/>
          <w:szCs w:val="24"/>
        </w:rPr>
        <w:t>332</w:t>
      </w:r>
      <w:r w:rsidR="00882473" w:rsidRPr="00347697">
        <w:rPr>
          <w:rFonts w:ascii="Times New Roman" w:hAnsi="Times New Roman" w:cs="Times New Roman"/>
          <w:sz w:val="24"/>
          <w:szCs w:val="24"/>
        </w:rPr>
        <w:t xml:space="preserve"> students</w:t>
      </w:r>
      <w:r w:rsidR="00D97373" w:rsidRPr="00347697">
        <w:rPr>
          <w:rFonts w:ascii="Times New Roman" w:hAnsi="Times New Roman" w:cs="Times New Roman"/>
          <w:sz w:val="24"/>
          <w:szCs w:val="24"/>
        </w:rPr>
        <w:t xml:space="preserve">:  </w:t>
      </w:r>
      <w:r w:rsidR="00B54D61" w:rsidRPr="00B54D61">
        <w:rPr>
          <w:rFonts w:ascii="Times New Roman" w:hAnsi="Times New Roman" w:cs="Times New Roman"/>
          <w:sz w:val="24"/>
          <w:szCs w:val="24"/>
        </w:rPr>
        <w:t>29</w:t>
      </w:r>
      <w:r w:rsidR="0038249B" w:rsidRPr="00347697">
        <w:rPr>
          <w:rFonts w:ascii="Times New Roman" w:hAnsi="Times New Roman" w:cs="Times New Roman"/>
          <w:sz w:val="24"/>
          <w:szCs w:val="24"/>
        </w:rPr>
        <w:t xml:space="preserve">% of the </w:t>
      </w:r>
      <w:r w:rsidR="0064339B">
        <w:rPr>
          <w:rFonts w:ascii="Times New Roman" w:hAnsi="Times New Roman" w:cs="Times New Roman"/>
          <w:sz w:val="24"/>
          <w:szCs w:val="24"/>
        </w:rPr>
        <w:t>1,128</w:t>
      </w:r>
      <w:r w:rsidR="0038249B" w:rsidRPr="00347697">
        <w:rPr>
          <w:rFonts w:ascii="Times New Roman" w:hAnsi="Times New Roman" w:cs="Times New Roman"/>
          <w:sz w:val="24"/>
          <w:szCs w:val="24"/>
        </w:rPr>
        <w:t xml:space="preserve"> students who were unsuccessful in their first math course, </w:t>
      </w:r>
      <w:r w:rsidR="00D05D5D">
        <w:rPr>
          <w:rFonts w:ascii="Times New Roman" w:hAnsi="Times New Roman" w:cs="Times New Roman"/>
          <w:sz w:val="24"/>
          <w:szCs w:val="24"/>
        </w:rPr>
        <w:t>but</w:t>
      </w:r>
      <w:r w:rsidR="00D05D5D" w:rsidRPr="00347697">
        <w:rPr>
          <w:rFonts w:ascii="Times New Roman" w:hAnsi="Times New Roman" w:cs="Times New Roman"/>
          <w:sz w:val="24"/>
          <w:szCs w:val="24"/>
        </w:rPr>
        <w:t xml:space="preserve"> </w:t>
      </w:r>
      <w:r w:rsidR="00B54D61" w:rsidRPr="003B38A0">
        <w:rPr>
          <w:rFonts w:ascii="Times New Roman" w:hAnsi="Times New Roman" w:cs="Times New Roman"/>
          <w:sz w:val="24"/>
          <w:szCs w:val="24"/>
        </w:rPr>
        <w:t>76</w:t>
      </w:r>
      <w:r w:rsidR="0038249B" w:rsidRPr="00347697">
        <w:rPr>
          <w:rFonts w:ascii="Times New Roman" w:hAnsi="Times New Roman" w:cs="Times New Roman"/>
          <w:sz w:val="24"/>
          <w:szCs w:val="24"/>
        </w:rPr>
        <w:t xml:space="preserve">% of </w:t>
      </w:r>
      <w:r w:rsidR="00AA1207" w:rsidRPr="00347697">
        <w:rPr>
          <w:rFonts w:ascii="Times New Roman" w:hAnsi="Times New Roman" w:cs="Times New Roman"/>
          <w:sz w:val="24"/>
          <w:szCs w:val="24"/>
        </w:rPr>
        <w:t xml:space="preserve">the </w:t>
      </w:r>
      <w:r w:rsidR="00E04AB5" w:rsidRPr="00347697">
        <w:rPr>
          <w:rFonts w:ascii="Times New Roman" w:hAnsi="Times New Roman" w:cs="Times New Roman"/>
          <w:sz w:val="24"/>
          <w:szCs w:val="24"/>
        </w:rPr>
        <w:t xml:space="preserve">subset of </w:t>
      </w:r>
      <w:r w:rsidR="0064339B">
        <w:rPr>
          <w:rFonts w:ascii="Times New Roman" w:hAnsi="Times New Roman" w:cs="Times New Roman"/>
          <w:sz w:val="24"/>
          <w:szCs w:val="24"/>
        </w:rPr>
        <w:t>439</w:t>
      </w:r>
      <w:r w:rsidR="00AE6F74" w:rsidRPr="00347697">
        <w:rPr>
          <w:rFonts w:ascii="Times New Roman" w:hAnsi="Times New Roman" w:cs="Times New Roman"/>
          <w:sz w:val="24"/>
          <w:szCs w:val="24"/>
        </w:rPr>
        <w:t xml:space="preserve"> </w:t>
      </w:r>
      <w:r w:rsidR="0038249B" w:rsidRPr="00347697">
        <w:rPr>
          <w:rFonts w:ascii="Times New Roman" w:hAnsi="Times New Roman" w:cs="Times New Roman"/>
          <w:sz w:val="24"/>
          <w:szCs w:val="24"/>
        </w:rPr>
        <w:t xml:space="preserve">students who were unsuccessful in their first math course </w:t>
      </w:r>
      <w:r w:rsidR="0038249B" w:rsidRPr="00347697">
        <w:rPr>
          <w:rFonts w:ascii="Times New Roman" w:hAnsi="Times New Roman" w:cs="Times New Roman"/>
          <w:i/>
          <w:sz w:val="24"/>
          <w:szCs w:val="24"/>
        </w:rPr>
        <w:t>and</w:t>
      </w:r>
      <w:r w:rsidR="0038249B" w:rsidRPr="00347697">
        <w:rPr>
          <w:rFonts w:ascii="Times New Roman" w:hAnsi="Times New Roman" w:cs="Times New Roman"/>
          <w:sz w:val="24"/>
          <w:szCs w:val="24"/>
        </w:rPr>
        <w:t xml:space="preserve"> attempted any second math course (</w:t>
      </w:r>
      <w:r w:rsidR="00914062" w:rsidRPr="00347697">
        <w:rPr>
          <w:rFonts w:ascii="Times New Roman" w:hAnsi="Times New Roman" w:cs="Times New Roman"/>
          <w:sz w:val="24"/>
          <w:szCs w:val="24"/>
        </w:rPr>
        <w:t xml:space="preserve">counting as a possible “second course” the </w:t>
      </w:r>
      <w:r w:rsidR="0038249B" w:rsidRPr="00347697">
        <w:rPr>
          <w:rFonts w:ascii="Times New Roman" w:hAnsi="Times New Roman" w:cs="Times New Roman"/>
          <w:sz w:val="24"/>
          <w:szCs w:val="24"/>
        </w:rPr>
        <w:t xml:space="preserve">repeating </w:t>
      </w:r>
      <w:r w:rsidR="00914062" w:rsidRPr="00347697">
        <w:rPr>
          <w:rFonts w:ascii="Times New Roman" w:hAnsi="Times New Roman" w:cs="Times New Roman"/>
          <w:sz w:val="24"/>
          <w:szCs w:val="24"/>
        </w:rPr>
        <w:t xml:space="preserve">of </w:t>
      </w:r>
      <w:r w:rsidR="0038249B" w:rsidRPr="00347697">
        <w:rPr>
          <w:rFonts w:ascii="Times New Roman" w:hAnsi="Times New Roman" w:cs="Times New Roman"/>
          <w:sz w:val="24"/>
          <w:szCs w:val="24"/>
        </w:rPr>
        <w:t>the first math cours</w:t>
      </w:r>
      <w:r w:rsidR="0072419B" w:rsidRPr="00347697">
        <w:rPr>
          <w:rFonts w:ascii="Times New Roman" w:hAnsi="Times New Roman" w:cs="Times New Roman"/>
          <w:sz w:val="24"/>
          <w:szCs w:val="24"/>
        </w:rPr>
        <w:t>e</w:t>
      </w:r>
      <w:r w:rsidR="0038249B" w:rsidRPr="00347697">
        <w:rPr>
          <w:rFonts w:ascii="Times New Roman" w:hAnsi="Times New Roman" w:cs="Times New Roman"/>
          <w:sz w:val="24"/>
          <w:szCs w:val="24"/>
        </w:rPr>
        <w:t xml:space="preserve">).  </w:t>
      </w:r>
    </w:p>
    <w:p w14:paraId="54CD6579" w14:textId="77777777" w:rsidR="00435388" w:rsidRPr="00347697" w:rsidRDefault="00435388" w:rsidP="0072729B">
      <w:pPr>
        <w:spacing w:after="0"/>
        <w:rPr>
          <w:rFonts w:ascii="Times New Roman" w:hAnsi="Times New Roman" w:cs="Times New Roman"/>
          <w:sz w:val="24"/>
          <w:szCs w:val="24"/>
        </w:rPr>
      </w:pPr>
    </w:p>
    <w:p w14:paraId="210EEBB8" w14:textId="23503615" w:rsidR="00592F0B" w:rsidRPr="00347697" w:rsidRDefault="00E04AB5" w:rsidP="00592F0B">
      <w:pPr>
        <w:spacing w:after="0" w:line="240" w:lineRule="auto"/>
        <w:rPr>
          <w:rFonts w:ascii="Times New Roman" w:hAnsi="Times New Roman" w:cs="Times New Roman"/>
          <w:sz w:val="24"/>
          <w:szCs w:val="24"/>
          <w:u w:val="single"/>
        </w:rPr>
      </w:pPr>
      <w:r w:rsidRPr="00D94F68">
        <w:rPr>
          <w:rFonts w:ascii="Times New Roman" w:hAnsi="Times New Roman" w:cs="Times New Roman"/>
          <w:sz w:val="24"/>
          <w:szCs w:val="24"/>
          <w:u w:val="single"/>
        </w:rPr>
        <w:t>Students who Succeed</w:t>
      </w:r>
      <w:r w:rsidR="00592F0B" w:rsidRPr="00D94F68">
        <w:rPr>
          <w:rFonts w:ascii="Times New Roman" w:hAnsi="Times New Roman" w:cs="Times New Roman"/>
          <w:sz w:val="24"/>
          <w:szCs w:val="24"/>
          <w:u w:val="single"/>
        </w:rPr>
        <w:t xml:space="preserve"> in their First Math Course</w:t>
      </w:r>
    </w:p>
    <w:p w14:paraId="30A41037" w14:textId="77777777" w:rsidR="00592F0B" w:rsidRPr="00347697" w:rsidRDefault="00592F0B" w:rsidP="00347697">
      <w:pPr>
        <w:spacing w:after="0" w:line="240" w:lineRule="auto"/>
        <w:rPr>
          <w:rFonts w:ascii="Times New Roman" w:hAnsi="Times New Roman" w:cs="Times New Roman"/>
          <w:sz w:val="24"/>
          <w:szCs w:val="24"/>
        </w:rPr>
      </w:pPr>
    </w:p>
    <w:p w14:paraId="38CEDD9C" w14:textId="0053385B" w:rsidR="00424684" w:rsidRPr="00347697" w:rsidRDefault="00EE4FFC"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Among students who </w:t>
      </w:r>
      <w:r w:rsidR="00E04AB5" w:rsidRPr="00347697">
        <w:rPr>
          <w:rFonts w:ascii="Times New Roman" w:hAnsi="Times New Roman" w:cs="Times New Roman"/>
          <w:sz w:val="24"/>
          <w:szCs w:val="24"/>
        </w:rPr>
        <w:t xml:space="preserve">are </w:t>
      </w:r>
      <w:r w:rsidRPr="00347697">
        <w:rPr>
          <w:rFonts w:ascii="Times New Roman" w:hAnsi="Times New Roman" w:cs="Times New Roman"/>
          <w:i/>
          <w:sz w:val="24"/>
          <w:szCs w:val="24"/>
        </w:rPr>
        <w:t>successful</w:t>
      </w:r>
      <w:r w:rsidRPr="00347697">
        <w:rPr>
          <w:rFonts w:ascii="Times New Roman" w:hAnsi="Times New Roman" w:cs="Times New Roman"/>
          <w:sz w:val="24"/>
          <w:szCs w:val="24"/>
        </w:rPr>
        <w:t xml:space="preserve"> in </w:t>
      </w:r>
      <w:r w:rsidR="006938BE" w:rsidRPr="00347697">
        <w:rPr>
          <w:rFonts w:ascii="Times New Roman" w:hAnsi="Times New Roman" w:cs="Times New Roman"/>
          <w:sz w:val="24"/>
          <w:szCs w:val="24"/>
        </w:rPr>
        <w:t xml:space="preserve">the </w:t>
      </w:r>
      <w:r w:rsidRPr="00347697">
        <w:rPr>
          <w:rFonts w:ascii="Times New Roman" w:hAnsi="Times New Roman" w:cs="Times New Roman"/>
          <w:sz w:val="24"/>
          <w:szCs w:val="24"/>
        </w:rPr>
        <w:t>first attempt of their first math course</w:t>
      </w:r>
      <w:r w:rsidR="00874B34" w:rsidRPr="00347697">
        <w:rPr>
          <w:rFonts w:ascii="Times New Roman" w:hAnsi="Times New Roman" w:cs="Times New Roman"/>
          <w:sz w:val="24"/>
          <w:szCs w:val="24"/>
        </w:rPr>
        <w:t>, st</w:t>
      </w:r>
      <w:r w:rsidRPr="00347697">
        <w:rPr>
          <w:rFonts w:ascii="Times New Roman" w:hAnsi="Times New Roman" w:cs="Times New Roman"/>
          <w:sz w:val="24"/>
          <w:szCs w:val="24"/>
        </w:rPr>
        <w:t xml:space="preserve">udents who </w:t>
      </w:r>
      <w:r w:rsidR="00E04AB5" w:rsidRPr="00347697">
        <w:rPr>
          <w:rFonts w:ascii="Times New Roman" w:hAnsi="Times New Roman" w:cs="Times New Roman"/>
          <w:sz w:val="24"/>
          <w:szCs w:val="24"/>
        </w:rPr>
        <w:t>enter</w:t>
      </w:r>
      <w:r w:rsidR="00874B34" w:rsidRPr="00347697">
        <w:rPr>
          <w:rFonts w:ascii="Times New Roman" w:hAnsi="Times New Roman" w:cs="Times New Roman"/>
          <w:sz w:val="24"/>
          <w:szCs w:val="24"/>
        </w:rPr>
        <w:t xml:space="preserve"> the math curriculum through </w:t>
      </w:r>
      <w:r w:rsidR="00D94F68">
        <w:rPr>
          <w:rFonts w:ascii="Times New Roman" w:hAnsi="Times New Roman" w:cs="Times New Roman"/>
          <w:sz w:val="24"/>
          <w:szCs w:val="24"/>
        </w:rPr>
        <w:t>the first half of</w:t>
      </w:r>
      <w:r w:rsidR="00D94F68" w:rsidRPr="00347697">
        <w:rPr>
          <w:rFonts w:ascii="Times New Roman" w:hAnsi="Times New Roman" w:cs="Times New Roman"/>
          <w:sz w:val="24"/>
          <w:szCs w:val="24"/>
        </w:rPr>
        <w:t xml:space="preserve"> </w:t>
      </w:r>
      <w:r w:rsidR="00D94F68">
        <w:rPr>
          <w:rFonts w:ascii="Times New Roman" w:hAnsi="Times New Roman" w:cs="Times New Roman"/>
          <w:sz w:val="24"/>
          <w:szCs w:val="24"/>
        </w:rPr>
        <w:t xml:space="preserve">LRNC </w:t>
      </w:r>
      <w:r w:rsidRPr="00347697">
        <w:rPr>
          <w:rFonts w:ascii="Times New Roman" w:hAnsi="Times New Roman" w:cs="Times New Roman"/>
          <w:sz w:val="24"/>
          <w:szCs w:val="24"/>
        </w:rPr>
        <w:t>B</w:t>
      </w:r>
      <w:r w:rsidR="00AA1207" w:rsidRPr="00347697">
        <w:rPr>
          <w:rFonts w:ascii="Times New Roman" w:hAnsi="Times New Roman" w:cs="Times New Roman"/>
          <w:sz w:val="24"/>
          <w:szCs w:val="24"/>
        </w:rPr>
        <w:t>5</w:t>
      </w:r>
      <w:r w:rsidRPr="00347697">
        <w:rPr>
          <w:rFonts w:ascii="Times New Roman" w:hAnsi="Times New Roman" w:cs="Times New Roman"/>
          <w:sz w:val="24"/>
          <w:szCs w:val="24"/>
        </w:rPr>
        <w:t xml:space="preserve">30 </w:t>
      </w:r>
      <w:r w:rsidR="00D94F68">
        <w:rPr>
          <w:rFonts w:ascii="Times New Roman" w:hAnsi="Times New Roman" w:cs="Times New Roman"/>
          <w:sz w:val="24"/>
          <w:szCs w:val="24"/>
        </w:rPr>
        <w:t>(</w:t>
      </w:r>
      <w:r w:rsidR="00D94F68" w:rsidRPr="00347697">
        <w:rPr>
          <w:rFonts w:ascii="Times New Roman" w:hAnsi="Times New Roman" w:cs="Times New Roman"/>
          <w:sz w:val="24"/>
          <w:szCs w:val="24"/>
        </w:rPr>
        <w:t>LRNC B530</w:t>
      </w:r>
      <w:r w:rsidR="00D94F68">
        <w:rPr>
          <w:rFonts w:ascii="Times New Roman" w:hAnsi="Times New Roman" w:cs="Times New Roman"/>
          <w:i/>
          <w:sz w:val="24"/>
          <w:szCs w:val="24"/>
        </w:rPr>
        <w:t>f</w:t>
      </w:r>
      <w:r w:rsidR="00D94F68">
        <w:rPr>
          <w:rFonts w:ascii="Times New Roman" w:hAnsi="Times New Roman" w:cs="Times New Roman"/>
          <w:sz w:val="24"/>
          <w:szCs w:val="24"/>
        </w:rPr>
        <w:t xml:space="preserve">) </w:t>
      </w:r>
      <w:r w:rsidR="00E04AB5" w:rsidRPr="00347697">
        <w:rPr>
          <w:rFonts w:ascii="Times New Roman" w:hAnsi="Times New Roman" w:cs="Times New Roman"/>
          <w:sz w:val="24"/>
          <w:szCs w:val="24"/>
        </w:rPr>
        <w:t xml:space="preserve">are </w:t>
      </w:r>
      <w:r w:rsidR="0091535D" w:rsidRPr="00347697">
        <w:rPr>
          <w:rFonts w:ascii="Times New Roman" w:hAnsi="Times New Roman" w:cs="Times New Roman"/>
          <w:sz w:val="24"/>
          <w:szCs w:val="24"/>
        </w:rPr>
        <w:t xml:space="preserve">the </w:t>
      </w:r>
      <w:r w:rsidRPr="00347697">
        <w:rPr>
          <w:rFonts w:ascii="Times New Roman" w:hAnsi="Times New Roman" w:cs="Times New Roman"/>
          <w:sz w:val="24"/>
          <w:szCs w:val="24"/>
        </w:rPr>
        <w:t xml:space="preserve">most likely to continue </w:t>
      </w:r>
      <w:r w:rsidR="0091535D" w:rsidRPr="00347697">
        <w:rPr>
          <w:rFonts w:ascii="Times New Roman" w:hAnsi="Times New Roman" w:cs="Times New Roman"/>
          <w:sz w:val="24"/>
          <w:szCs w:val="24"/>
        </w:rPr>
        <w:t>in</w:t>
      </w:r>
      <w:r w:rsidRPr="00347697">
        <w:rPr>
          <w:rFonts w:ascii="Times New Roman" w:hAnsi="Times New Roman" w:cs="Times New Roman"/>
          <w:sz w:val="24"/>
          <w:szCs w:val="24"/>
        </w:rPr>
        <w:t>to a second course</w:t>
      </w:r>
      <w:r w:rsidR="00424684" w:rsidRPr="00347697">
        <w:rPr>
          <w:rFonts w:ascii="Times New Roman" w:hAnsi="Times New Roman" w:cs="Times New Roman"/>
          <w:sz w:val="24"/>
          <w:szCs w:val="24"/>
        </w:rPr>
        <w:t>, with 100% of them doing so</w:t>
      </w:r>
      <w:r w:rsidRPr="00347697">
        <w:rPr>
          <w:rFonts w:ascii="Times New Roman" w:hAnsi="Times New Roman" w:cs="Times New Roman"/>
          <w:sz w:val="24"/>
          <w:szCs w:val="24"/>
        </w:rPr>
        <w:t xml:space="preserve">.  </w:t>
      </w:r>
      <w:r w:rsidR="00A74CE5">
        <w:rPr>
          <w:rFonts w:ascii="Times New Roman" w:hAnsi="Times New Roman" w:cs="Times New Roman"/>
          <w:sz w:val="24"/>
          <w:szCs w:val="24"/>
        </w:rPr>
        <w:t>Nearly all</w:t>
      </w:r>
      <w:r w:rsidRPr="00347697">
        <w:rPr>
          <w:rFonts w:ascii="Times New Roman" w:hAnsi="Times New Roman" w:cs="Times New Roman"/>
          <w:sz w:val="24"/>
          <w:szCs w:val="24"/>
        </w:rPr>
        <w:t xml:space="preserve"> (</w:t>
      </w:r>
      <w:r w:rsidR="00424684" w:rsidRPr="00347697">
        <w:rPr>
          <w:rFonts w:ascii="Times New Roman" w:hAnsi="Times New Roman" w:cs="Times New Roman"/>
          <w:sz w:val="24"/>
          <w:szCs w:val="24"/>
        </w:rPr>
        <w:t>98</w:t>
      </w:r>
      <w:r w:rsidRPr="00347697">
        <w:rPr>
          <w:rFonts w:ascii="Times New Roman" w:hAnsi="Times New Roman" w:cs="Times New Roman"/>
          <w:sz w:val="24"/>
          <w:szCs w:val="24"/>
        </w:rPr>
        <w:t xml:space="preserve">%) </w:t>
      </w:r>
      <w:r w:rsidR="00424684" w:rsidRPr="00347697">
        <w:rPr>
          <w:rFonts w:ascii="Times New Roman" w:hAnsi="Times New Roman" w:cs="Times New Roman"/>
          <w:sz w:val="24"/>
          <w:szCs w:val="24"/>
        </w:rPr>
        <w:t xml:space="preserve">of these students </w:t>
      </w:r>
      <w:r w:rsidR="00E04AB5" w:rsidRPr="00347697">
        <w:rPr>
          <w:rFonts w:ascii="Times New Roman" w:hAnsi="Times New Roman" w:cs="Times New Roman"/>
          <w:sz w:val="24"/>
          <w:szCs w:val="24"/>
        </w:rPr>
        <w:t>continue</w:t>
      </w:r>
      <w:r w:rsidR="00424684" w:rsidRPr="00347697">
        <w:rPr>
          <w:rFonts w:ascii="Times New Roman" w:hAnsi="Times New Roman" w:cs="Times New Roman"/>
          <w:sz w:val="24"/>
          <w:szCs w:val="24"/>
        </w:rPr>
        <w:t xml:space="preserve"> in</w:t>
      </w:r>
      <w:r w:rsidRPr="00347697">
        <w:rPr>
          <w:rFonts w:ascii="Times New Roman" w:hAnsi="Times New Roman" w:cs="Times New Roman"/>
          <w:sz w:val="24"/>
          <w:szCs w:val="24"/>
        </w:rPr>
        <w:t>to the second half of LRNC B530 (</w:t>
      </w:r>
      <w:r w:rsidR="00D94F68" w:rsidRPr="00347697">
        <w:rPr>
          <w:rFonts w:ascii="Times New Roman" w:hAnsi="Times New Roman" w:cs="Times New Roman"/>
          <w:sz w:val="24"/>
          <w:szCs w:val="24"/>
        </w:rPr>
        <w:t>LRNC B530</w:t>
      </w:r>
      <w:r w:rsidR="00D94F68" w:rsidRPr="0072729B">
        <w:rPr>
          <w:rFonts w:ascii="Times New Roman" w:hAnsi="Times New Roman" w:cs="Times New Roman"/>
          <w:i/>
          <w:sz w:val="24"/>
          <w:szCs w:val="24"/>
        </w:rPr>
        <w:t>s</w:t>
      </w:r>
      <w:r w:rsidR="00D94F68">
        <w:rPr>
          <w:rFonts w:ascii="Times New Roman" w:hAnsi="Times New Roman" w:cs="Times New Roman"/>
          <w:sz w:val="24"/>
          <w:szCs w:val="24"/>
        </w:rPr>
        <w:t xml:space="preserve">, </w:t>
      </w:r>
      <w:r w:rsidRPr="00347697">
        <w:rPr>
          <w:rFonts w:ascii="Times New Roman" w:hAnsi="Times New Roman" w:cs="Times New Roman"/>
          <w:sz w:val="24"/>
          <w:szCs w:val="24"/>
        </w:rPr>
        <w:t xml:space="preserve">equivalent to Math B70).  </w:t>
      </w:r>
    </w:p>
    <w:p w14:paraId="461636F4" w14:textId="61D6F674" w:rsidR="00ED76A1" w:rsidRPr="00347697" w:rsidRDefault="00ED76A1" w:rsidP="00347697">
      <w:pPr>
        <w:spacing w:after="0" w:line="240" w:lineRule="auto"/>
        <w:rPr>
          <w:rFonts w:ascii="Times New Roman" w:hAnsi="Times New Roman" w:cs="Times New Roman"/>
          <w:sz w:val="24"/>
          <w:szCs w:val="24"/>
        </w:rPr>
      </w:pPr>
    </w:p>
    <w:p w14:paraId="0EB997F6" w14:textId="12A53C6B" w:rsidR="00ED76A1" w:rsidRPr="00347697" w:rsidRDefault="00ED76A1"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Students who </w:t>
      </w:r>
      <w:r w:rsidR="00E04AB5" w:rsidRPr="00347697">
        <w:rPr>
          <w:rFonts w:ascii="Times New Roman" w:hAnsi="Times New Roman" w:cs="Times New Roman"/>
          <w:sz w:val="24"/>
          <w:szCs w:val="24"/>
        </w:rPr>
        <w:t>enter</w:t>
      </w:r>
      <w:r w:rsidRPr="00347697">
        <w:rPr>
          <w:rFonts w:ascii="Times New Roman" w:hAnsi="Times New Roman" w:cs="Times New Roman"/>
          <w:sz w:val="24"/>
          <w:szCs w:val="24"/>
        </w:rPr>
        <w:t xml:space="preserve"> the curriculum through Math B60 and complete this course successfully on the first attempt </w:t>
      </w:r>
      <w:r w:rsidR="00E04AB5" w:rsidRPr="00347697">
        <w:rPr>
          <w:rFonts w:ascii="Times New Roman" w:hAnsi="Times New Roman" w:cs="Times New Roman"/>
          <w:sz w:val="24"/>
          <w:szCs w:val="24"/>
        </w:rPr>
        <w:t>are</w:t>
      </w:r>
      <w:r w:rsidRPr="00347697">
        <w:rPr>
          <w:rFonts w:ascii="Times New Roman" w:hAnsi="Times New Roman" w:cs="Times New Roman"/>
          <w:sz w:val="24"/>
          <w:szCs w:val="24"/>
        </w:rPr>
        <w:t xml:space="preserve"> the </w:t>
      </w:r>
      <w:r w:rsidR="00CA3EDF" w:rsidRPr="00347697">
        <w:rPr>
          <w:rFonts w:ascii="Times New Roman" w:hAnsi="Times New Roman" w:cs="Times New Roman"/>
          <w:sz w:val="24"/>
          <w:szCs w:val="24"/>
        </w:rPr>
        <w:t>next most</w:t>
      </w:r>
      <w:r w:rsidRPr="00347697">
        <w:rPr>
          <w:rFonts w:ascii="Times New Roman" w:hAnsi="Times New Roman" w:cs="Times New Roman"/>
          <w:sz w:val="24"/>
          <w:szCs w:val="24"/>
        </w:rPr>
        <w:t xml:space="preserve"> likely to continue </w:t>
      </w:r>
      <w:r w:rsidR="00D94F68">
        <w:rPr>
          <w:rFonts w:ascii="Times New Roman" w:hAnsi="Times New Roman" w:cs="Times New Roman"/>
          <w:sz w:val="24"/>
          <w:szCs w:val="24"/>
        </w:rPr>
        <w:t>in</w:t>
      </w:r>
      <w:r w:rsidRPr="00347697">
        <w:rPr>
          <w:rFonts w:ascii="Times New Roman" w:hAnsi="Times New Roman" w:cs="Times New Roman"/>
          <w:sz w:val="24"/>
          <w:szCs w:val="24"/>
        </w:rPr>
        <w:t xml:space="preserve">to a second course, with </w:t>
      </w:r>
      <w:r w:rsidR="00660C00">
        <w:rPr>
          <w:rFonts w:ascii="Times New Roman" w:hAnsi="Times New Roman" w:cs="Times New Roman"/>
          <w:sz w:val="24"/>
          <w:szCs w:val="24"/>
        </w:rPr>
        <w:t>86</w:t>
      </w:r>
      <w:r w:rsidRPr="00347697">
        <w:rPr>
          <w:rFonts w:ascii="Times New Roman" w:hAnsi="Times New Roman" w:cs="Times New Roman"/>
          <w:sz w:val="24"/>
          <w:szCs w:val="24"/>
        </w:rPr>
        <w:t xml:space="preserve">% doing so.  Most of these students </w:t>
      </w:r>
      <w:r w:rsidR="00E04AB5" w:rsidRPr="00347697">
        <w:rPr>
          <w:rFonts w:ascii="Times New Roman" w:hAnsi="Times New Roman" w:cs="Times New Roman"/>
          <w:sz w:val="24"/>
          <w:szCs w:val="24"/>
        </w:rPr>
        <w:t>continue</w:t>
      </w:r>
      <w:r w:rsidR="00D9520A" w:rsidRPr="00347697">
        <w:rPr>
          <w:rFonts w:ascii="Times New Roman" w:hAnsi="Times New Roman" w:cs="Times New Roman"/>
          <w:sz w:val="24"/>
          <w:szCs w:val="24"/>
        </w:rPr>
        <w:t xml:space="preserve"> </w:t>
      </w:r>
      <w:r w:rsidR="00C13C45">
        <w:rPr>
          <w:rFonts w:ascii="Times New Roman" w:hAnsi="Times New Roman" w:cs="Times New Roman"/>
          <w:sz w:val="24"/>
          <w:szCs w:val="24"/>
        </w:rPr>
        <w:t>in</w:t>
      </w:r>
      <w:r w:rsidR="00D9520A" w:rsidRPr="00347697">
        <w:rPr>
          <w:rFonts w:ascii="Times New Roman" w:hAnsi="Times New Roman" w:cs="Times New Roman"/>
          <w:sz w:val="24"/>
          <w:szCs w:val="24"/>
        </w:rPr>
        <w:t>to Math B70.</w:t>
      </w:r>
    </w:p>
    <w:p w14:paraId="141496E7" w14:textId="77777777" w:rsidR="00ED76A1" w:rsidRPr="00347697" w:rsidRDefault="00ED76A1" w:rsidP="00347697">
      <w:pPr>
        <w:spacing w:after="0" w:line="240" w:lineRule="auto"/>
        <w:rPr>
          <w:rFonts w:ascii="Times New Roman" w:hAnsi="Times New Roman" w:cs="Times New Roman"/>
          <w:sz w:val="24"/>
          <w:szCs w:val="24"/>
        </w:rPr>
      </w:pPr>
    </w:p>
    <w:p w14:paraId="40DDE5EE" w14:textId="74269EE0" w:rsidR="00FD3D70" w:rsidRPr="00347697" w:rsidRDefault="00D9520A"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Math B65 s</w:t>
      </w:r>
      <w:r w:rsidR="006938BE" w:rsidRPr="00347697">
        <w:rPr>
          <w:rFonts w:ascii="Times New Roman" w:hAnsi="Times New Roman" w:cs="Times New Roman"/>
          <w:sz w:val="24"/>
          <w:szCs w:val="24"/>
        </w:rPr>
        <w:t xml:space="preserve">tudents </w:t>
      </w:r>
      <w:r w:rsidRPr="00347697">
        <w:rPr>
          <w:rFonts w:ascii="Times New Roman" w:hAnsi="Times New Roman" w:cs="Times New Roman"/>
          <w:sz w:val="24"/>
          <w:szCs w:val="24"/>
        </w:rPr>
        <w:t xml:space="preserve">who </w:t>
      </w:r>
      <w:r w:rsidR="00E04AB5" w:rsidRPr="00347697">
        <w:rPr>
          <w:rFonts w:ascii="Times New Roman" w:hAnsi="Times New Roman" w:cs="Times New Roman"/>
          <w:sz w:val="24"/>
          <w:szCs w:val="24"/>
        </w:rPr>
        <w:t>complete</w:t>
      </w:r>
      <w:r w:rsidR="006938BE" w:rsidRPr="00347697">
        <w:rPr>
          <w:rFonts w:ascii="Times New Roman" w:hAnsi="Times New Roman" w:cs="Times New Roman"/>
          <w:sz w:val="24"/>
          <w:szCs w:val="24"/>
        </w:rPr>
        <w:t xml:space="preserve"> </w:t>
      </w:r>
      <w:r w:rsidRPr="00347697">
        <w:rPr>
          <w:rFonts w:ascii="Times New Roman" w:hAnsi="Times New Roman" w:cs="Times New Roman"/>
          <w:sz w:val="24"/>
          <w:szCs w:val="24"/>
        </w:rPr>
        <w:t xml:space="preserve">their first math </w:t>
      </w:r>
      <w:r w:rsidR="006938BE" w:rsidRPr="00347697">
        <w:rPr>
          <w:rFonts w:ascii="Times New Roman" w:hAnsi="Times New Roman" w:cs="Times New Roman"/>
          <w:sz w:val="24"/>
          <w:szCs w:val="24"/>
        </w:rPr>
        <w:t xml:space="preserve">course successfully on the first attempt </w:t>
      </w:r>
      <w:r w:rsidR="00E04AB5" w:rsidRPr="00347697">
        <w:rPr>
          <w:rFonts w:ascii="Times New Roman" w:hAnsi="Times New Roman" w:cs="Times New Roman"/>
          <w:sz w:val="24"/>
          <w:szCs w:val="24"/>
        </w:rPr>
        <w:t>are</w:t>
      </w:r>
      <w:r w:rsidR="00EE4FFC" w:rsidRPr="00347697">
        <w:rPr>
          <w:rFonts w:ascii="Times New Roman" w:hAnsi="Times New Roman" w:cs="Times New Roman"/>
          <w:sz w:val="24"/>
          <w:szCs w:val="24"/>
        </w:rPr>
        <w:t xml:space="preserve"> </w:t>
      </w:r>
      <w:r w:rsidR="001F042F" w:rsidRPr="00347697">
        <w:rPr>
          <w:rFonts w:ascii="Times New Roman" w:hAnsi="Times New Roman" w:cs="Times New Roman"/>
          <w:sz w:val="24"/>
          <w:szCs w:val="24"/>
        </w:rPr>
        <w:t xml:space="preserve">the </w:t>
      </w:r>
      <w:r w:rsidR="00EE4FFC" w:rsidRPr="00347697">
        <w:rPr>
          <w:rFonts w:ascii="Times New Roman" w:hAnsi="Times New Roman" w:cs="Times New Roman"/>
          <w:sz w:val="24"/>
          <w:szCs w:val="24"/>
        </w:rPr>
        <w:t xml:space="preserve">least likely to continue </w:t>
      </w:r>
      <w:r w:rsidR="00435388">
        <w:rPr>
          <w:rFonts w:ascii="Times New Roman" w:hAnsi="Times New Roman" w:cs="Times New Roman"/>
          <w:sz w:val="24"/>
          <w:szCs w:val="24"/>
        </w:rPr>
        <w:t>in</w:t>
      </w:r>
      <w:r w:rsidR="00EE4FFC" w:rsidRPr="00347697">
        <w:rPr>
          <w:rFonts w:ascii="Times New Roman" w:hAnsi="Times New Roman" w:cs="Times New Roman"/>
          <w:sz w:val="24"/>
          <w:szCs w:val="24"/>
        </w:rPr>
        <w:t xml:space="preserve">to a second math course, with </w:t>
      </w:r>
      <w:r w:rsidR="00660C00">
        <w:rPr>
          <w:rFonts w:ascii="Times New Roman" w:hAnsi="Times New Roman" w:cs="Times New Roman"/>
          <w:sz w:val="24"/>
          <w:szCs w:val="24"/>
        </w:rPr>
        <w:t>less than</w:t>
      </w:r>
      <w:r w:rsidR="00660C00" w:rsidRPr="00347697">
        <w:rPr>
          <w:rFonts w:ascii="Times New Roman" w:hAnsi="Times New Roman" w:cs="Times New Roman"/>
          <w:sz w:val="24"/>
          <w:szCs w:val="24"/>
        </w:rPr>
        <w:t xml:space="preserve"> </w:t>
      </w:r>
      <w:r w:rsidR="001F042F" w:rsidRPr="00347697">
        <w:rPr>
          <w:rFonts w:ascii="Times New Roman" w:hAnsi="Times New Roman" w:cs="Times New Roman"/>
          <w:sz w:val="24"/>
          <w:szCs w:val="24"/>
        </w:rPr>
        <w:t xml:space="preserve">three in five </w:t>
      </w:r>
      <w:r w:rsidR="00660C00" w:rsidRPr="00347697">
        <w:rPr>
          <w:rFonts w:ascii="Times New Roman" w:hAnsi="Times New Roman" w:cs="Times New Roman"/>
          <w:sz w:val="24"/>
          <w:szCs w:val="24"/>
        </w:rPr>
        <w:t xml:space="preserve">students </w:t>
      </w:r>
      <w:r w:rsidR="001F042F" w:rsidRPr="00347697">
        <w:rPr>
          <w:rFonts w:ascii="Times New Roman" w:hAnsi="Times New Roman" w:cs="Times New Roman"/>
          <w:sz w:val="24"/>
          <w:szCs w:val="24"/>
        </w:rPr>
        <w:t>(</w:t>
      </w:r>
      <w:r w:rsidR="00660C00">
        <w:rPr>
          <w:rFonts w:ascii="Times New Roman" w:hAnsi="Times New Roman" w:cs="Times New Roman"/>
          <w:sz w:val="24"/>
          <w:szCs w:val="24"/>
        </w:rPr>
        <w:t>57</w:t>
      </w:r>
      <w:r w:rsidR="00EE4FFC" w:rsidRPr="00347697">
        <w:rPr>
          <w:rFonts w:ascii="Times New Roman" w:hAnsi="Times New Roman" w:cs="Times New Roman"/>
          <w:sz w:val="24"/>
          <w:szCs w:val="24"/>
        </w:rPr>
        <w:t>%</w:t>
      </w:r>
      <w:r w:rsidR="001F042F" w:rsidRPr="00347697">
        <w:rPr>
          <w:rFonts w:ascii="Times New Roman" w:hAnsi="Times New Roman" w:cs="Times New Roman"/>
          <w:sz w:val="24"/>
          <w:szCs w:val="24"/>
        </w:rPr>
        <w:t>)</w:t>
      </w:r>
      <w:r w:rsidR="00EE4FFC" w:rsidRPr="00347697">
        <w:rPr>
          <w:rFonts w:ascii="Times New Roman" w:hAnsi="Times New Roman" w:cs="Times New Roman"/>
          <w:sz w:val="24"/>
          <w:szCs w:val="24"/>
        </w:rPr>
        <w:t xml:space="preserve"> </w:t>
      </w:r>
      <w:r w:rsidR="00EE4FFC" w:rsidRPr="00347697">
        <w:rPr>
          <w:rFonts w:ascii="Times New Roman" w:hAnsi="Times New Roman" w:cs="Times New Roman"/>
          <w:sz w:val="24"/>
          <w:szCs w:val="24"/>
        </w:rPr>
        <w:lastRenderedPageBreak/>
        <w:t xml:space="preserve">doing so.  However, </w:t>
      </w:r>
      <w:r w:rsidR="00234D33" w:rsidRPr="00347697">
        <w:rPr>
          <w:rFonts w:ascii="Times New Roman" w:hAnsi="Times New Roman" w:cs="Times New Roman"/>
          <w:sz w:val="24"/>
          <w:szCs w:val="24"/>
        </w:rPr>
        <w:t xml:space="preserve">the students who </w:t>
      </w:r>
      <w:r w:rsidR="00734493" w:rsidRPr="00347697">
        <w:rPr>
          <w:rFonts w:ascii="Times New Roman" w:hAnsi="Times New Roman" w:cs="Times New Roman"/>
          <w:sz w:val="24"/>
          <w:szCs w:val="24"/>
        </w:rPr>
        <w:t xml:space="preserve">continue </w:t>
      </w:r>
      <w:r w:rsidR="00234D33" w:rsidRPr="00347697">
        <w:rPr>
          <w:rFonts w:ascii="Times New Roman" w:hAnsi="Times New Roman" w:cs="Times New Roman"/>
          <w:sz w:val="24"/>
          <w:szCs w:val="24"/>
        </w:rPr>
        <w:t xml:space="preserve">enroll primarily in </w:t>
      </w:r>
      <w:r w:rsidR="00A65708" w:rsidRPr="00347697">
        <w:rPr>
          <w:rFonts w:ascii="Times New Roman" w:hAnsi="Times New Roman" w:cs="Times New Roman"/>
          <w:sz w:val="24"/>
          <w:szCs w:val="24"/>
        </w:rPr>
        <w:t xml:space="preserve">a </w:t>
      </w:r>
      <w:r w:rsidR="00234D33" w:rsidRPr="00347697">
        <w:rPr>
          <w:rFonts w:ascii="Times New Roman" w:hAnsi="Times New Roman" w:cs="Times New Roman"/>
          <w:sz w:val="24"/>
          <w:szCs w:val="24"/>
        </w:rPr>
        <w:t>transfer-level</w:t>
      </w:r>
      <w:r w:rsidR="00A65708" w:rsidRPr="00347697">
        <w:rPr>
          <w:rFonts w:ascii="Times New Roman" w:hAnsi="Times New Roman" w:cs="Times New Roman"/>
          <w:sz w:val="24"/>
          <w:szCs w:val="24"/>
        </w:rPr>
        <w:t xml:space="preserve"> quantitative course</w:t>
      </w:r>
      <w:r w:rsidR="00234D33" w:rsidRPr="00347697">
        <w:rPr>
          <w:rFonts w:ascii="Times New Roman" w:hAnsi="Times New Roman" w:cs="Times New Roman"/>
          <w:sz w:val="24"/>
          <w:szCs w:val="24"/>
        </w:rPr>
        <w:t xml:space="preserve">, </w:t>
      </w:r>
      <w:r w:rsidR="003220EC" w:rsidRPr="00347697">
        <w:rPr>
          <w:rFonts w:ascii="Times New Roman" w:hAnsi="Times New Roman" w:cs="Times New Roman"/>
          <w:sz w:val="24"/>
          <w:szCs w:val="24"/>
        </w:rPr>
        <w:t>mainly</w:t>
      </w:r>
      <w:r w:rsidR="00234D33" w:rsidRPr="00347697">
        <w:rPr>
          <w:rFonts w:ascii="Times New Roman" w:hAnsi="Times New Roman" w:cs="Times New Roman"/>
          <w:sz w:val="24"/>
          <w:szCs w:val="24"/>
        </w:rPr>
        <w:t xml:space="preserve"> Math B22 or Psyc B5.  </w:t>
      </w:r>
    </w:p>
    <w:p w14:paraId="7C03518A" w14:textId="52C19C33" w:rsidR="00230221" w:rsidRPr="00347697" w:rsidRDefault="00230221" w:rsidP="00146DCA">
      <w:pPr>
        <w:spacing w:after="0" w:line="240" w:lineRule="auto"/>
        <w:rPr>
          <w:rFonts w:ascii="Times New Roman" w:hAnsi="Times New Roman" w:cs="Times New Roman"/>
          <w:sz w:val="24"/>
          <w:szCs w:val="24"/>
        </w:rPr>
      </w:pPr>
    </w:p>
    <w:p w14:paraId="55F17076" w14:textId="3F705865" w:rsidR="00271D5D" w:rsidRPr="00347697" w:rsidRDefault="00271D5D" w:rsidP="00271D5D">
      <w:pPr>
        <w:spacing w:after="0" w:line="240" w:lineRule="auto"/>
        <w:rPr>
          <w:rFonts w:ascii="Times New Roman" w:hAnsi="Times New Roman" w:cs="Times New Roman"/>
          <w:sz w:val="24"/>
          <w:szCs w:val="24"/>
          <w:u w:val="single"/>
        </w:rPr>
      </w:pPr>
      <w:r w:rsidRPr="00660C00">
        <w:rPr>
          <w:rFonts w:ascii="Times New Roman" w:hAnsi="Times New Roman" w:cs="Times New Roman"/>
          <w:sz w:val="24"/>
          <w:szCs w:val="24"/>
          <w:u w:val="single"/>
        </w:rPr>
        <w:t xml:space="preserve">Students who </w:t>
      </w:r>
      <w:r w:rsidR="00734493" w:rsidRPr="00660C00">
        <w:rPr>
          <w:rFonts w:ascii="Times New Roman" w:hAnsi="Times New Roman" w:cs="Times New Roman"/>
          <w:sz w:val="24"/>
          <w:szCs w:val="24"/>
          <w:u w:val="single"/>
        </w:rPr>
        <w:t>are</w:t>
      </w:r>
      <w:r w:rsidRPr="00660C00">
        <w:rPr>
          <w:rFonts w:ascii="Times New Roman" w:hAnsi="Times New Roman" w:cs="Times New Roman"/>
          <w:sz w:val="24"/>
          <w:szCs w:val="24"/>
          <w:u w:val="single"/>
        </w:rPr>
        <w:t xml:space="preserve"> Unsuccessful in their First Math Course</w:t>
      </w:r>
    </w:p>
    <w:p w14:paraId="2A743B7B" w14:textId="77777777" w:rsidR="00271D5D" w:rsidRPr="00347697" w:rsidRDefault="00271D5D" w:rsidP="00271D5D">
      <w:pPr>
        <w:spacing w:after="0" w:line="240" w:lineRule="auto"/>
        <w:rPr>
          <w:rFonts w:ascii="Times New Roman" w:hAnsi="Times New Roman" w:cs="Times New Roman"/>
          <w:sz w:val="24"/>
          <w:szCs w:val="24"/>
        </w:rPr>
      </w:pPr>
    </w:p>
    <w:p w14:paraId="481AA4A4" w14:textId="4E9EAA52" w:rsidR="00271D5D" w:rsidRPr="00660C00" w:rsidRDefault="00271D5D" w:rsidP="00660C00">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Among students who </w:t>
      </w:r>
      <w:r w:rsidR="00734493" w:rsidRPr="00347697">
        <w:rPr>
          <w:rFonts w:ascii="Times New Roman" w:hAnsi="Times New Roman" w:cs="Times New Roman"/>
          <w:sz w:val="24"/>
          <w:szCs w:val="24"/>
        </w:rPr>
        <w:t>are</w:t>
      </w:r>
      <w:r w:rsidRPr="00347697">
        <w:rPr>
          <w:rFonts w:ascii="Times New Roman" w:hAnsi="Times New Roman" w:cs="Times New Roman"/>
          <w:sz w:val="24"/>
          <w:szCs w:val="24"/>
        </w:rPr>
        <w:t xml:space="preserve"> </w:t>
      </w:r>
      <w:r w:rsidRPr="00347697">
        <w:rPr>
          <w:rFonts w:ascii="Times New Roman" w:hAnsi="Times New Roman" w:cs="Times New Roman"/>
          <w:i/>
          <w:sz w:val="24"/>
          <w:szCs w:val="24"/>
        </w:rPr>
        <w:t>unsuccessful</w:t>
      </w:r>
      <w:r w:rsidRPr="00347697">
        <w:rPr>
          <w:rFonts w:ascii="Times New Roman" w:hAnsi="Times New Roman" w:cs="Times New Roman"/>
          <w:sz w:val="24"/>
          <w:szCs w:val="24"/>
        </w:rPr>
        <w:t xml:space="preserve"> in </w:t>
      </w:r>
      <w:r w:rsidR="00734493" w:rsidRPr="00347697">
        <w:rPr>
          <w:rFonts w:ascii="Times New Roman" w:hAnsi="Times New Roman" w:cs="Times New Roman"/>
          <w:sz w:val="24"/>
          <w:szCs w:val="24"/>
        </w:rPr>
        <w:t>the</w:t>
      </w:r>
      <w:r w:rsidRPr="00347697">
        <w:rPr>
          <w:rFonts w:ascii="Times New Roman" w:hAnsi="Times New Roman" w:cs="Times New Roman"/>
          <w:sz w:val="24"/>
          <w:szCs w:val="24"/>
        </w:rPr>
        <w:t xml:space="preserve"> first attempt of their first math course, s</w:t>
      </w:r>
      <w:r w:rsidR="00734493" w:rsidRPr="00347697">
        <w:rPr>
          <w:rFonts w:ascii="Times New Roman" w:hAnsi="Times New Roman" w:cs="Times New Roman"/>
          <w:sz w:val="24"/>
          <w:szCs w:val="24"/>
        </w:rPr>
        <w:t>tudents who start</w:t>
      </w:r>
      <w:r w:rsidRPr="00347697">
        <w:rPr>
          <w:rFonts w:ascii="Times New Roman" w:hAnsi="Times New Roman" w:cs="Times New Roman"/>
          <w:sz w:val="24"/>
          <w:szCs w:val="24"/>
        </w:rPr>
        <w:t xml:space="preserve"> in LRNC B530</w:t>
      </w:r>
      <w:r w:rsidR="009F737C" w:rsidRPr="0072729B">
        <w:rPr>
          <w:rFonts w:ascii="Times New Roman" w:hAnsi="Times New Roman" w:cs="Times New Roman"/>
          <w:i/>
          <w:sz w:val="24"/>
          <w:szCs w:val="24"/>
        </w:rPr>
        <w:t>f</w:t>
      </w:r>
      <w:r w:rsidRPr="00347697">
        <w:rPr>
          <w:rFonts w:ascii="Times New Roman" w:hAnsi="Times New Roman" w:cs="Times New Roman"/>
          <w:sz w:val="24"/>
          <w:szCs w:val="24"/>
        </w:rPr>
        <w:t xml:space="preserve"> </w:t>
      </w:r>
      <w:r w:rsidR="00734493" w:rsidRPr="00347697">
        <w:rPr>
          <w:rFonts w:ascii="Times New Roman" w:hAnsi="Times New Roman" w:cs="Times New Roman"/>
          <w:sz w:val="24"/>
          <w:szCs w:val="24"/>
        </w:rPr>
        <w:t xml:space="preserve">have </w:t>
      </w:r>
      <w:r w:rsidRPr="00347697">
        <w:rPr>
          <w:rFonts w:ascii="Times New Roman" w:hAnsi="Times New Roman" w:cs="Times New Roman"/>
          <w:sz w:val="24"/>
          <w:szCs w:val="24"/>
        </w:rPr>
        <w:t>the best rebound rate.  All of</w:t>
      </w:r>
      <w:r w:rsidR="00734493" w:rsidRPr="00347697">
        <w:rPr>
          <w:rFonts w:ascii="Times New Roman" w:hAnsi="Times New Roman" w:cs="Times New Roman"/>
          <w:sz w:val="24"/>
          <w:szCs w:val="24"/>
        </w:rPr>
        <w:t xml:space="preserve"> these students (100%) attempt</w:t>
      </w:r>
      <w:r w:rsidR="00435388">
        <w:rPr>
          <w:rFonts w:ascii="Times New Roman" w:hAnsi="Times New Roman" w:cs="Times New Roman"/>
          <w:sz w:val="24"/>
          <w:szCs w:val="24"/>
        </w:rPr>
        <w:t>ed</w:t>
      </w:r>
      <w:r w:rsidRPr="00347697">
        <w:rPr>
          <w:rFonts w:ascii="Times New Roman" w:hAnsi="Times New Roman" w:cs="Times New Roman"/>
          <w:sz w:val="24"/>
          <w:szCs w:val="24"/>
        </w:rPr>
        <w:t xml:space="preserve"> a second math course, compared with </w:t>
      </w:r>
      <w:r w:rsidR="00660C00">
        <w:rPr>
          <w:rFonts w:ascii="Times New Roman" w:hAnsi="Times New Roman" w:cs="Times New Roman"/>
          <w:sz w:val="24"/>
          <w:szCs w:val="24"/>
        </w:rPr>
        <w:t>37</w:t>
      </w:r>
      <w:r w:rsidRPr="00347697">
        <w:rPr>
          <w:rFonts w:ascii="Times New Roman" w:hAnsi="Times New Roman" w:cs="Times New Roman"/>
          <w:sz w:val="24"/>
          <w:szCs w:val="24"/>
        </w:rPr>
        <w:t xml:space="preserve">% of unsuccessful Math B60 students and </w:t>
      </w:r>
      <w:r w:rsidR="00660C00">
        <w:rPr>
          <w:rFonts w:ascii="Times New Roman" w:hAnsi="Times New Roman" w:cs="Times New Roman"/>
          <w:sz w:val="24"/>
          <w:szCs w:val="24"/>
        </w:rPr>
        <w:t>29</w:t>
      </w:r>
      <w:r w:rsidRPr="00347697">
        <w:rPr>
          <w:rFonts w:ascii="Times New Roman" w:hAnsi="Times New Roman" w:cs="Times New Roman"/>
          <w:sz w:val="24"/>
          <w:szCs w:val="24"/>
        </w:rPr>
        <w:t xml:space="preserve">% of unsuccessful Math B65 students. </w:t>
      </w:r>
      <w:r w:rsidR="00660C00">
        <w:rPr>
          <w:rFonts w:ascii="Times New Roman" w:hAnsi="Times New Roman" w:cs="Times New Roman"/>
          <w:sz w:val="24"/>
          <w:szCs w:val="24"/>
        </w:rPr>
        <w:t xml:space="preserve"> To be clear, however, </w:t>
      </w:r>
      <w:r w:rsidR="00435388">
        <w:rPr>
          <w:rFonts w:ascii="Times New Roman" w:hAnsi="Times New Roman" w:cs="Times New Roman"/>
          <w:sz w:val="24"/>
          <w:szCs w:val="24"/>
        </w:rPr>
        <w:t>Table 4 includes</w:t>
      </w:r>
      <w:r w:rsidR="00660C00">
        <w:rPr>
          <w:rFonts w:ascii="Times New Roman" w:hAnsi="Times New Roman" w:cs="Times New Roman"/>
          <w:sz w:val="24"/>
          <w:szCs w:val="24"/>
        </w:rPr>
        <w:t xml:space="preserve"> only six students </w:t>
      </w:r>
      <w:r w:rsidR="000069F4">
        <w:rPr>
          <w:rFonts w:ascii="Times New Roman" w:hAnsi="Times New Roman" w:cs="Times New Roman"/>
          <w:sz w:val="24"/>
          <w:szCs w:val="24"/>
        </w:rPr>
        <w:t>who enrolled in</w:t>
      </w:r>
      <w:r w:rsidR="00660C00">
        <w:rPr>
          <w:rFonts w:ascii="Times New Roman" w:hAnsi="Times New Roman" w:cs="Times New Roman"/>
          <w:sz w:val="24"/>
          <w:szCs w:val="24"/>
        </w:rPr>
        <w:t xml:space="preserve"> </w:t>
      </w:r>
      <w:r w:rsidR="00660C00" w:rsidRPr="00347697">
        <w:rPr>
          <w:rFonts w:ascii="Times New Roman" w:hAnsi="Times New Roman" w:cs="Times New Roman"/>
          <w:sz w:val="24"/>
          <w:szCs w:val="24"/>
        </w:rPr>
        <w:t>LRNC B530</w:t>
      </w:r>
      <w:r w:rsidR="00660C00" w:rsidRPr="00DB5EC8">
        <w:rPr>
          <w:rFonts w:ascii="Times New Roman" w:hAnsi="Times New Roman" w:cs="Times New Roman"/>
          <w:i/>
          <w:sz w:val="24"/>
          <w:szCs w:val="24"/>
        </w:rPr>
        <w:t>f</w:t>
      </w:r>
      <w:r w:rsidR="00660C00">
        <w:rPr>
          <w:rFonts w:ascii="Times New Roman" w:hAnsi="Times New Roman" w:cs="Times New Roman"/>
          <w:sz w:val="24"/>
          <w:szCs w:val="24"/>
        </w:rPr>
        <w:t xml:space="preserve"> </w:t>
      </w:r>
      <w:r w:rsidR="000069F4">
        <w:rPr>
          <w:rFonts w:ascii="Times New Roman" w:hAnsi="Times New Roman" w:cs="Times New Roman"/>
          <w:sz w:val="24"/>
          <w:szCs w:val="24"/>
        </w:rPr>
        <w:t xml:space="preserve">as their first course </w:t>
      </w:r>
      <w:r w:rsidR="00660C00">
        <w:rPr>
          <w:rFonts w:ascii="Times New Roman" w:hAnsi="Times New Roman" w:cs="Times New Roman"/>
          <w:sz w:val="24"/>
          <w:szCs w:val="24"/>
        </w:rPr>
        <w:t xml:space="preserve">and did not pass </w:t>
      </w:r>
      <w:r w:rsidR="000069F4">
        <w:rPr>
          <w:rFonts w:ascii="Times New Roman" w:hAnsi="Times New Roman" w:cs="Times New Roman"/>
          <w:sz w:val="24"/>
          <w:szCs w:val="24"/>
        </w:rPr>
        <w:t>this</w:t>
      </w:r>
      <w:r w:rsidR="00660C00">
        <w:rPr>
          <w:rFonts w:ascii="Times New Roman" w:hAnsi="Times New Roman" w:cs="Times New Roman"/>
          <w:sz w:val="24"/>
          <w:szCs w:val="24"/>
        </w:rPr>
        <w:t xml:space="preserve"> course on the first attempt.</w:t>
      </w:r>
    </w:p>
    <w:p w14:paraId="412B01F1" w14:textId="77777777" w:rsidR="00271D5D" w:rsidRPr="00347697" w:rsidRDefault="00271D5D" w:rsidP="00271D5D">
      <w:pPr>
        <w:spacing w:after="0" w:line="240" w:lineRule="auto"/>
        <w:rPr>
          <w:rFonts w:ascii="Times New Roman" w:hAnsi="Times New Roman" w:cs="Times New Roman"/>
          <w:sz w:val="24"/>
          <w:szCs w:val="24"/>
        </w:rPr>
      </w:pPr>
    </w:p>
    <w:p w14:paraId="4AC665F1" w14:textId="56A611AA" w:rsidR="009F160B" w:rsidRPr="00347697" w:rsidRDefault="00C13116" w:rsidP="009F160B">
      <w:pPr>
        <w:spacing w:after="0" w:line="240" w:lineRule="auto"/>
        <w:rPr>
          <w:rFonts w:ascii="Times New Roman" w:hAnsi="Times New Roman" w:cs="Times New Roman"/>
          <w:b/>
          <w:sz w:val="24"/>
          <w:szCs w:val="24"/>
        </w:rPr>
      </w:pPr>
      <w:r w:rsidRPr="00D05D5D">
        <w:rPr>
          <w:rFonts w:ascii="Times New Roman" w:hAnsi="Times New Roman" w:cs="Times New Roman"/>
          <w:b/>
          <w:sz w:val="24"/>
          <w:szCs w:val="24"/>
        </w:rPr>
        <w:t>5</w:t>
      </w:r>
      <w:r w:rsidR="004F61FA" w:rsidRPr="00D05D5D">
        <w:rPr>
          <w:rFonts w:ascii="Times New Roman" w:hAnsi="Times New Roman" w:cs="Times New Roman"/>
          <w:b/>
          <w:sz w:val="24"/>
          <w:szCs w:val="24"/>
        </w:rPr>
        <w:t>.</w:t>
      </w:r>
      <w:r w:rsidR="00C43974" w:rsidRPr="00CF1C5A">
        <w:rPr>
          <w:rFonts w:ascii="Times New Roman" w:hAnsi="Times New Roman" w:cs="Times New Roman"/>
          <w:b/>
          <w:sz w:val="24"/>
          <w:szCs w:val="24"/>
        </w:rPr>
        <w:t>4</w:t>
      </w:r>
      <w:r w:rsidR="009F160B" w:rsidRPr="00CF1C5A">
        <w:rPr>
          <w:rFonts w:ascii="Times New Roman" w:hAnsi="Times New Roman" w:cs="Times New Roman"/>
          <w:b/>
          <w:sz w:val="24"/>
          <w:szCs w:val="24"/>
        </w:rPr>
        <w:t xml:space="preserve"> </w:t>
      </w:r>
      <w:r w:rsidR="00415FED" w:rsidRPr="00CF1C5A">
        <w:rPr>
          <w:rFonts w:ascii="Times New Roman" w:hAnsi="Times New Roman" w:cs="Times New Roman"/>
          <w:b/>
          <w:sz w:val="24"/>
          <w:szCs w:val="24"/>
        </w:rPr>
        <w:t xml:space="preserve">Relationships Between </w:t>
      </w:r>
      <w:r w:rsidR="009F160B" w:rsidRPr="00CF1C5A">
        <w:rPr>
          <w:rFonts w:ascii="Times New Roman" w:hAnsi="Times New Roman" w:cs="Times New Roman"/>
          <w:b/>
          <w:sz w:val="24"/>
          <w:szCs w:val="24"/>
        </w:rPr>
        <w:t>Math Pathways</w:t>
      </w:r>
      <w:r w:rsidR="00415FED" w:rsidRPr="00CF1C5A">
        <w:rPr>
          <w:rFonts w:ascii="Times New Roman" w:hAnsi="Times New Roman" w:cs="Times New Roman"/>
          <w:b/>
          <w:sz w:val="24"/>
          <w:szCs w:val="24"/>
        </w:rPr>
        <w:t xml:space="preserve"> and Selected Outcomes</w:t>
      </w:r>
    </w:p>
    <w:p w14:paraId="75FA5D8C" w14:textId="77777777" w:rsidR="00415FED" w:rsidRPr="00347697" w:rsidRDefault="00415FED" w:rsidP="00146DCA">
      <w:pPr>
        <w:spacing w:after="0" w:line="240" w:lineRule="auto"/>
        <w:rPr>
          <w:rFonts w:ascii="Times New Roman" w:hAnsi="Times New Roman" w:cs="Times New Roman"/>
          <w:sz w:val="24"/>
          <w:szCs w:val="24"/>
        </w:rPr>
      </w:pPr>
    </w:p>
    <w:p w14:paraId="572B3EF4" w14:textId="77777777" w:rsidR="00523FB6" w:rsidRPr="00347697" w:rsidRDefault="00523FB6" w:rsidP="00AD3CA2">
      <w:pPr>
        <w:spacing w:after="0" w:line="240" w:lineRule="auto"/>
        <w:rPr>
          <w:rFonts w:ascii="Times New Roman" w:hAnsi="Times New Roman" w:cs="Times New Roman"/>
          <w:sz w:val="24"/>
          <w:szCs w:val="24"/>
          <w:u w:val="single"/>
        </w:rPr>
      </w:pPr>
      <w:r w:rsidRPr="00347697">
        <w:rPr>
          <w:rFonts w:ascii="Times New Roman" w:hAnsi="Times New Roman" w:cs="Times New Roman"/>
          <w:sz w:val="24"/>
          <w:szCs w:val="24"/>
          <w:u w:val="single"/>
        </w:rPr>
        <w:t>Questions</w:t>
      </w:r>
    </w:p>
    <w:p w14:paraId="1C7593F8" w14:textId="77777777" w:rsidR="003220EC" w:rsidRPr="00347697" w:rsidRDefault="003220EC" w:rsidP="003220EC">
      <w:pPr>
        <w:spacing w:after="0" w:line="240" w:lineRule="auto"/>
        <w:rPr>
          <w:rFonts w:ascii="Times New Roman" w:hAnsi="Times New Roman" w:cs="Times New Roman"/>
          <w:sz w:val="24"/>
          <w:szCs w:val="24"/>
        </w:rPr>
      </w:pPr>
    </w:p>
    <w:p w14:paraId="1ADA9C10" w14:textId="5EA416D4" w:rsidR="003220EC" w:rsidRPr="00347697" w:rsidRDefault="003220EC"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This section seeks to address the following questions</w:t>
      </w:r>
      <w:r w:rsidR="00F634DD" w:rsidRPr="00347697">
        <w:rPr>
          <w:rFonts w:ascii="Times New Roman" w:hAnsi="Times New Roman" w:cs="Times New Roman"/>
          <w:sz w:val="24"/>
          <w:szCs w:val="24"/>
        </w:rPr>
        <w:t>.  Among transfer-seeking students</w:t>
      </w:r>
      <w:r w:rsidR="00CF1C5A">
        <w:rPr>
          <w:rFonts w:ascii="Times New Roman" w:hAnsi="Times New Roman" w:cs="Times New Roman"/>
          <w:sz w:val="24"/>
          <w:szCs w:val="24"/>
        </w:rPr>
        <w:t xml:space="preserve"> in the </w:t>
      </w:r>
      <w:r w:rsidR="000069F4">
        <w:rPr>
          <w:rFonts w:ascii="Times New Roman" w:hAnsi="Times New Roman" w:cs="Times New Roman"/>
          <w:sz w:val="24"/>
          <w:szCs w:val="24"/>
        </w:rPr>
        <w:t>common math</w:t>
      </w:r>
      <w:r w:rsidR="00CF1C5A">
        <w:rPr>
          <w:rFonts w:ascii="Times New Roman" w:hAnsi="Times New Roman" w:cs="Times New Roman"/>
          <w:sz w:val="24"/>
          <w:szCs w:val="24"/>
        </w:rPr>
        <w:t xml:space="preserve"> pathw</w:t>
      </w:r>
      <w:r w:rsidR="00DD3474">
        <w:rPr>
          <w:rFonts w:ascii="Times New Roman" w:hAnsi="Times New Roman" w:cs="Times New Roman"/>
          <w:sz w:val="24"/>
          <w:szCs w:val="24"/>
        </w:rPr>
        <w:t>a</w:t>
      </w:r>
      <w:r w:rsidR="00CF1C5A">
        <w:rPr>
          <w:rFonts w:ascii="Times New Roman" w:hAnsi="Times New Roman" w:cs="Times New Roman"/>
          <w:sz w:val="24"/>
          <w:szCs w:val="24"/>
        </w:rPr>
        <w:t>ys</w:t>
      </w:r>
      <w:r w:rsidR="00F634DD" w:rsidRPr="00347697">
        <w:rPr>
          <w:rFonts w:ascii="Times New Roman" w:hAnsi="Times New Roman" w:cs="Times New Roman"/>
          <w:sz w:val="24"/>
          <w:szCs w:val="24"/>
        </w:rPr>
        <w:t>, what is the nature of the relationship between students</w:t>
      </w:r>
      <w:r w:rsidR="003C20AF" w:rsidRPr="00347697">
        <w:rPr>
          <w:rFonts w:ascii="Times New Roman" w:hAnsi="Times New Roman" w:cs="Times New Roman"/>
          <w:sz w:val="24"/>
          <w:szCs w:val="24"/>
        </w:rPr>
        <w:t>’</w:t>
      </w:r>
      <w:r w:rsidR="00F634DD" w:rsidRPr="00347697">
        <w:rPr>
          <w:rFonts w:ascii="Times New Roman" w:hAnsi="Times New Roman" w:cs="Times New Roman"/>
          <w:sz w:val="24"/>
          <w:szCs w:val="24"/>
        </w:rPr>
        <w:t xml:space="preserve"> math pathway (as defined in this study) and</w:t>
      </w:r>
      <w:r w:rsidR="003C20AF" w:rsidRPr="00347697">
        <w:rPr>
          <w:rFonts w:ascii="Times New Roman" w:hAnsi="Times New Roman" w:cs="Times New Roman"/>
          <w:sz w:val="24"/>
          <w:szCs w:val="24"/>
        </w:rPr>
        <w:t>:</w:t>
      </w:r>
      <w:r w:rsidR="00F634DD" w:rsidRPr="00347697">
        <w:rPr>
          <w:rFonts w:ascii="Times New Roman" w:hAnsi="Times New Roman" w:cs="Times New Roman"/>
          <w:sz w:val="24"/>
          <w:szCs w:val="24"/>
        </w:rPr>
        <w:t xml:space="preserve"> </w:t>
      </w:r>
    </w:p>
    <w:p w14:paraId="4FA1C1C4" w14:textId="285AD8DC" w:rsidR="003220EC" w:rsidRPr="00347697" w:rsidRDefault="00F634DD" w:rsidP="00EF6CD7">
      <w:pPr>
        <w:pStyle w:val="ListParagraph"/>
        <w:numPr>
          <w:ilvl w:val="0"/>
          <w:numId w:val="6"/>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the likelihood of </w:t>
      </w:r>
      <w:r w:rsidR="003220EC" w:rsidRPr="00347697">
        <w:rPr>
          <w:rFonts w:ascii="Times New Roman" w:hAnsi="Times New Roman" w:cs="Times New Roman"/>
          <w:sz w:val="24"/>
          <w:szCs w:val="24"/>
        </w:rPr>
        <w:t>passing their second math course</w:t>
      </w:r>
      <w:r w:rsidR="003220EC" w:rsidRPr="00347697">
        <w:rPr>
          <w:rStyle w:val="FootnoteReference"/>
          <w:rFonts w:ascii="Times New Roman" w:hAnsi="Times New Roman" w:cs="Times New Roman"/>
          <w:sz w:val="24"/>
          <w:szCs w:val="24"/>
        </w:rPr>
        <w:footnoteReference w:id="3"/>
      </w:r>
      <w:r w:rsidR="003220EC" w:rsidRPr="00347697">
        <w:rPr>
          <w:rFonts w:ascii="Times New Roman" w:hAnsi="Times New Roman" w:cs="Times New Roman"/>
          <w:sz w:val="24"/>
          <w:szCs w:val="24"/>
        </w:rPr>
        <w:t xml:space="preserve"> on the first attempt?</w:t>
      </w:r>
    </w:p>
    <w:p w14:paraId="2FC8A51E" w14:textId="05AA7268" w:rsidR="003220EC" w:rsidRPr="00347697" w:rsidRDefault="00F634DD" w:rsidP="00EF6CD7">
      <w:pPr>
        <w:pStyle w:val="ListParagraph"/>
        <w:numPr>
          <w:ilvl w:val="0"/>
          <w:numId w:val="6"/>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the likelihood of </w:t>
      </w:r>
      <w:r w:rsidR="003220EC" w:rsidRPr="00347697">
        <w:rPr>
          <w:rFonts w:ascii="Times New Roman" w:hAnsi="Times New Roman" w:cs="Times New Roman"/>
          <w:sz w:val="24"/>
          <w:szCs w:val="24"/>
        </w:rPr>
        <w:t>eventually demonstrating transfer-level quantitative competency?</w:t>
      </w:r>
    </w:p>
    <w:p w14:paraId="3F732C84" w14:textId="7755755B" w:rsidR="003220EC" w:rsidRPr="00347697" w:rsidRDefault="003220EC" w:rsidP="00EF6CD7">
      <w:pPr>
        <w:pStyle w:val="ListParagraph"/>
        <w:numPr>
          <w:ilvl w:val="0"/>
          <w:numId w:val="6"/>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the average length of time to achieve</w:t>
      </w:r>
      <w:r w:rsidR="00F634DD" w:rsidRPr="00347697">
        <w:rPr>
          <w:rFonts w:ascii="Times New Roman" w:hAnsi="Times New Roman" w:cs="Times New Roman"/>
          <w:sz w:val="24"/>
          <w:szCs w:val="24"/>
        </w:rPr>
        <w:t xml:space="preserve"> transfer-level quantitative competency?</w:t>
      </w:r>
    </w:p>
    <w:p w14:paraId="36CE8C1A" w14:textId="77777777" w:rsidR="003B52F3" w:rsidRPr="00347697" w:rsidRDefault="003B52F3" w:rsidP="00347697">
      <w:pPr>
        <w:spacing w:after="0" w:line="240" w:lineRule="auto"/>
        <w:rPr>
          <w:rFonts w:ascii="Times New Roman" w:hAnsi="Times New Roman" w:cs="Times New Roman"/>
          <w:sz w:val="24"/>
          <w:szCs w:val="24"/>
        </w:rPr>
      </w:pPr>
    </w:p>
    <w:p w14:paraId="05D2F652" w14:textId="7A068B67" w:rsidR="00A65708" w:rsidRPr="00347697" w:rsidRDefault="00693045"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To address questions 1 and 2, </w:t>
      </w:r>
      <w:r w:rsidR="00B20FE6" w:rsidRPr="00347697">
        <w:rPr>
          <w:rFonts w:ascii="Times New Roman" w:hAnsi="Times New Roman" w:cs="Times New Roman"/>
          <w:sz w:val="24"/>
          <w:szCs w:val="24"/>
        </w:rPr>
        <w:t xml:space="preserve">Table </w:t>
      </w:r>
      <w:r w:rsidR="002E7848">
        <w:rPr>
          <w:rFonts w:ascii="Times New Roman" w:hAnsi="Times New Roman" w:cs="Times New Roman"/>
          <w:sz w:val="24"/>
          <w:szCs w:val="24"/>
        </w:rPr>
        <w:t>5</w:t>
      </w:r>
      <w:r w:rsidR="002E7848" w:rsidRPr="00347697">
        <w:rPr>
          <w:rFonts w:ascii="Times New Roman" w:hAnsi="Times New Roman" w:cs="Times New Roman"/>
          <w:sz w:val="24"/>
          <w:szCs w:val="24"/>
        </w:rPr>
        <w:t xml:space="preserve"> </w:t>
      </w:r>
      <w:r w:rsidR="00805F82" w:rsidRPr="00347697">
        <w:rPr>
          <w:rFonts w:ascii="Times New Roman" w:hAnsi="Times New Roman" w:cs="Times New Roman"/>
          <w:sz w:val="24"/>
          <w:szCs w:val="24"/>
        </w:rPr>
        <w:t xml:space="preserve">presents the </w:t>
      </w:r>
      <w:r w:rsidR="00B20FE6" w:rsidRPr="00347697">
        <w:rPr>
          <w:rFonts w:ascii="Times New Roman" w:hAnsi="Times New Roman" w:cs="Times New Roman"/>
          <w:sz w:val="24"/>
          <w:szCs w:val="24"/>
        </w:rPr>
        <w:t xml:space="preserve">percentage of students </w:t>
      </w:r>
      <w:r w:rsidR="00CF1C5A">
        <w:rPr>
          <w:rFonts w:ascii="Times New Roman" w:hAnsi="Times New Roman" w:cs="Times New Roman"/>
          <w:sz w:val="24"/>
          <w:szCs w:val="24"/>
        </w:rPr>
        <w:t xml:space="preserve">in the focal pathways </w:t>
      </w:r>
      <w:r w:rsidR="00B20FE6" w:rsidRPr="00347697">
        <w:rPr>
          <w:rFonts w:ascii="Times New Roman" w:hAnsi="Times New Roman" w:cs="Times New Roman"/>
          <w:sz w:val="24"/>
          <w:szCs w:val="24"/>
        </w:rPr>
        <w:t>who passed their second math course</w:t>
      </w:r>
      <w:r w:rsidR="00D5541E" w:rsidRPr="00347697">
        <w:rPr>
          <w:rFonts w:ascii="Times New Roman" w:hAnsi="Times New Roman" w:cs="Times New Roman"/>
          <w:sz w:val="24"/>
          <w:szCs w:val="24"/>
        </w:rPr>
        <w:t xml:space="preserve"> on the first attempt and </w:t>
      </w:r>
      <w:r w:rsidR="00B20FE6" w:rsidRPr="00347697">
        <w:rPr>
          <w:rFonts w:ascii="Times New Roman" w:hAnsi="Times New Roman" w:cs="Times New Roman"/>
          <w:sz w:val="24"/>
          <w:szCs w:val="24"/>
        </w:rPr>
        <w:t xml:space="preserve">the percentage of students who eventually demonstrated transfer-level </w:t>
      </w:r>
      <w:r w:rsidR="00805F82" w:rsidRPr="00347697">
        <w:rPr>
          <w:rFonts w:ascii="Times New Roman" w:hAnsi="Times New Roman" w:cs="Times New Roman"/>
          <w:sz w:val="24"/>
          <w:szCs w:val="24"/>
        </w:rPr>
        <w:t>quantitative competenc</w:t>
      </w:r>
      <w:r w:rsidR="00A65708" w:rsidRPr="00347697">
        <w:rPr>
          <w:rFonts w:ascii="Times New Roman" w:hAnsi="Times New Roman" w:cs="Times New Roman"/>
          <w:sz w:val="24"/>
          <w:szCs w:val="24"/>
        </w:rPr>
        <w:t>y, by math pathway</w:t>
      </w:r>
      <w:r w:rsidR="00D5541E" w:rsidRPr="00347697">
        <w:rPr>
          <w:rFonts w:ascii="Times New Roman" w:hAnsi="Times New Roman" w:cs="Times New Roman"/>
          <w:sz w:val="24"/>
          <w:szCs w:val="24"/>
        </w:rPr>
        <w:t xml:space="preserve">.  </w:t>
      </w:r>
      <w:r w:rsidR="00A65708" w:rsidRPr="00347697">
        <w:rPr>
          <w:rFonts w:ascii="Times New Roman" w:hAnsi="Times New Roman" w:cs="Times New Roman"/>
          <w:sz w:val="24"/>
          <w:szCs w:val="24"/>
        </w:rPr>
        <w:t xml:space="preserve">Note that the figures reported in Table </w:t>
      </w:r>
      <w:r w:rsidR="0002473E">
        <w:rPr>
          <w:rFonts w:ascii="Times New Roman" w:hAnsi="Times New Roman" w:cs="Times New Roman"/>
          <w:sz w:val="24"/>
          <w:szCs w:val="24"/>
        </w:rPr>
        <w:t>5</w:t>
      </w:r>
      <w:r w:rsidR="00A65708" w:rsidRPr="00347697">
        <w:rPr>
          <w:rFonts w:ascii="Times New Roman" w:hAnsi="Times New Roman" w:cs="Times New Roman"/>
          <w:sz w:val="24"/>
          <w:szCs w:val="24"/>
        </w:rPr>
        <w:t xml:space="preserve"> are limited to transfer-seeking students.  </w:t>
      </w:r>
      <w:r w:rsidR="00D5541E" w:rsidRPr="00347697">
        <w:rPr>
          <w:rFonts w:ascii="Times New Roman" w:hAnsi="Times New Roman" w:cs="Times New Roman"/>
          <w:sz w:val="24"/>
          <w:szCs w:val="24"/>
        </w:rPr>
        <w:t xml:space="preserve">Note </w:t>
      </w:r>
      <w:r w:rsidR="00A65708" w:rsidRPr="00347697">
        <w:rPr>
          <w:rFonts w:ascii="Times New Roman" w:hAnsi="Times New Roman" w:cs="Times New Roman"/>
          <w:sz w:val="24"/>
          <w:szCs w:val="24"/>
        </w:rPr>
        <w:t xml:space="preserve">also </w:t>
      </w:r>
      <w:r w:rsidR="00D5541E" w:rsidRPr="00347697">
        <w:rPr>
          <w:rFonts w:ascii="Times New Roman" w:hAnsi="Times New Roman" w:cs="Times New Roman"/>
          <w:sz w:val="24"/>
          <w:szCs w:val="24"/>
        </w:rPr>
        <w:t xml:space="preserve">that the second math course is defined such that it may be the second attempt of the first math course.  Thus, </w:t>
      </w:r>
      <w:r w:rsidR="00A65708" w:rsidRPr="00347697">
        <w:rPr>
          <w:rFonts w:ascii="Times New Roman" w:hAnsi="Times New Roman" w:cs="Times New Roman"/>
          <w:sz w:val="24"/>
          <w:szCs w:val="24"/>
        </w:rPr>
        <w:t>student</w:t>
      </w:r>
      <w:r w:rsidR="00F471D1" w:rsidRPr="00347697">
        <w:rPr>
          <w:rFonts w:ascii="Times New Roman" w:hAnsi="Times New Roman" w:cs="Times New Roman"/>
          <w:sz w:val="24"/>
          <w:szCs w:val="24"/>
        </w:rPr>
        <w:t>s</w:t>
      </w:r>
      <w:r w:rsidR="00A65708" w:rsidRPr="00347697">
        <w:rPr>
          <w:rFonts w:ascii="Times New Roman" w:hAnsi="Times New Roman" w:cs="Times New Roman"/>
          <w:sz w:val="24"/>
          <w:szCs w:val="24"/>
        </w:rPr>
        <w:t xml:space="preserve"> who attempt their first math course a second time and pass</w:t>
      </w:r>
      <w:r w:rsidR="00D5541E" w:rsidRPr="00347697">
        <w:rPr>
          <w:rFonts w:ascii="Times New Roman" w:hAnsi="Times New Roman" w:cs="Times New Roman"/>
          <w:sz w:val="24"/>
          <w:szCs w:val="24"/>
        </w:rPr>
        <w:t xml:space="preserve"> this “second course” on the first attempt </w:t>
      </w:r>
      <w:r w:rsidR="00A65708" w:rsidRPr="00347697">
        <w:rPr>
          <w:rFonts w:ascii="Times New Roman" w:hAnsi="Times New Roman" w:cs="Times New Roman"/>
          <w:sz w:val="24"/>
          <w:szCs w:val="24"/>
        </w:rPr>
        <w:t>could</w:t>
      </w:r>
      <w:r w:rsidR="00D5541E" w:rsidRPr="00347697">
        <w:rPr>
          <w:rFonts w:ascii="Times New Roman" w:hAnsi="Times New Roman" w:cs="Times New Roman"/>
          <w:sz w:val="24"/>
          <w:szCs w:val="24"/>
        </w:rPr>
        <w:t xml:space="preserve"> be more accurately described as </w:t>
      </w:r>
      <w:r w:rsidR="00A65708" w:rsidRPr="00347697">
        <w:rPr>
          <w:rFonts w:ascii="Times New Roman" w:hAnsi="Times New Roman" w:cs="Times New Roman"/>
          <w:sz w:val="24"/>
          <w:szCs w:val="24"/>
        </w:rPr>
        <w:t xml:space="preserve">having </w:t>
      </w:r>
      <w:r w:rsidR="00D5541E" w:rsidRPr="00347697">
        <w:rPr>
          <w:rFonts w:ascii="Times New Roman" w:hAnsi="Times New Roman" w:cs="Times New Roman"/>
          <w:sz w:val="24"/>
          <w:szCs w:val="24"/>
        </w:rPr>
        <w:t>pass</w:t>
      </w:r>
      <w:r w:rsidR="00A65708" w:rsidRPr="00347697">
        <w:rPr>
          <w:rFonts w:ascii="Times New Roman" w:hAnsi="Times New Roman" w:cs="Times New Roman"/>
          <w:sz w:val="24"/>
          <w:szCs w:val="24"/>
        </w:rPr>
        <w:t>ed</w:t>
      </w:r>
      <w:r w:rsidR="00D5541E" w:rsidRPr="00347697">
        <w:rPr>
          <w:rFonts w:ascii="Times New Roman" w:hAnsi="Times New Roman" w:cs="Times New Roman"/>
          <w:sz w:val="24"/>
          <w:szCs w:val="24"/>
        </w:rPr>
        <w:t xml:space="preserve"> the</w:t>
      </w:r>
      <w:r w:rsidR="00A65708" w:rsidRPr="00347697">
        <w:rPr>
          <w:rFonts w:ascii="Times New Roman" w:hAnsi="Times New Roman" w:cs="Times New Roman"/>
          <w:sz w:val="24"/>
          <w:szCs w:val="24"/>
        </w:rPr>
        <w:t>ir</w:t>
      </w:r>
      <w:r w:rsidR="00D5541E" w:rsidRPr="00347697">
        <w:rPr>
          <w:rFonts w:ascii="Times New Roman" w:hAnsi="Times New Roman" w:cs="Times New Roman"/>
          <w:sz w:val="24"/>
          <w:szCs w:val="24"/>
        </w:rPr>
        <w:t xml:space="preserve"> first </w:t>
      </w:r>
      <w:r w:rsidR="00A65708" w:rsidRPr="00347697">
        <w:rPr>
          <w:rFonts w:ascii="Times New Roman" w:hAnsi="Times New Roman" w:cs="Times New Roman"/>
          <w:sz w:val="24"/>
          <w:szCs w:val="24"/>
        </w:rPr>
        <w:t xml:space="preserve">math </w:t>
      </w:r>
      <w:r w:rsidR="00D5541E" w:rsidRPr="00347697">
        <w:rPr>
          <w:rFonts w:ascii="Times New Roman" w:hAnsi="Times New Roman" w:cs="Times New Roman"/>
          <w:sz w:val="24"/>
          <w:szCs w:val="24"/>
        </w:rPr>
        <w:t xml:space="preserve">course on the second attempt.  </w:t>
      </w:r>
    </w:p>
    <w:p w14:paraId="230355C0" w14:textId="6735673E" w:rsidR="00A65708" w:rsidRPr="00347697" w:rsidRDefault="00A65708" w:rsidP="00347697">
      <w:pPr>
        <w:spacing w:after="0" w:line="240" w:lineRule="auto"/>
        <w:rPr>
          <w:rFonts w:ascii="Times New Roman" w:hAnsi="Times New Roman" w:cs="Times New Roman"/>
          <w:sz w:val="24"/>
          <w:szCs w:val="24"/>
        </w:rPr>
      </w:pPr>
    </w:p>
    <w:p w14:paraId="43A6276E" w14:textId="3A53D4D3" w:rsidR="00693045" w:rsidRPr="00347697" w:rsidRDefault="00693045" w:rsidP="00693045">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Table </w:t>
      </w:r>
      <w:r w:rsidR="00AD3CA2">
        <w:rPr>
          <w:rFonts w:ascii="Times New Roman" w:hAnsi="Times New Roman" w:cs="Times New Roman"/>
          <w:sz w:val="24"/>
          <w:szCs w:val="24"/>
        </w:rPr>
        <w:t>6</w:t>
      </w:r>
      <w:r w:rsidR="00AD3CA2" w:rsidRPr="00347697">
        <w:rPr>
          <w:rFonts w:ascii="Times New Roman" w:hAnsi="Times New Roman" w:cs="Times New Roman"/>
          <w:sz w:val="24"/>
          <w:szCs w:val="24"/>
        </w:rPr>
        <w:t xml:space="preserve"> </w:t>
      </w:r>
      <w:r w:rsidR="00E3104F" w:rsidRPr="00347697">
        <w:rPr>
          <w:rFonts w:ascii="Times New Roman" w:hAnsi="Times New Roman" w:cs="Times New Roman"/>
          <w:sz w:val="24"/>
          <w:szCs w:val="24"/>
        </w:rPr>
        <w:t xml:space="preserve">addresses question 3, presenting </w:t>
      </w:r>
      <w:r w:rsidRPr="00347697">
        <w:rPr>
          <w:rFonts w:ascii="Times New Roman" w:hAnsi="Times New Roman" w:cs="Times New Roman"/>
          <w:sz w:val="24"/>
          <w:szCs w:val="24"/>
        </w:rPr>
        <w:t xml:space="preserve">the average time to demonstrate </w:t>
      </w:r>
      <w:r w:rsidR="00F471D1" w:rsidRPr="00347697">
        <w:rPr>
          <w:rFonts w:ascii="Times New Roman" w:hAnsi="Times New Roman" w:cs="Times New Roman"/>
          <w:sz w:val="24"/>
          <w:szCs w:val="24"/>
        </w:rPr>
        <w:t xml:space="preserve">transfer-level </w:t>
      </w:r>
      <w:r w:rsidRPr="00347697">
        <w:rPr>
          <w:rFonts w:ascii="Times New Roman" w:hAnsi="Times New Roman" w:cs="Times New Roman"/>
          <w:sz w:val="24"/>
          <w:szCs w:val="24"/>
        </w:rPr>
        <w:t xml:space="preserve">quantitative competency for students who </w:t>
      </w:r>
      <w:r w:rsidR="00F471D1" w:rsidRPr="00347697">
        <w:rPr>
          <w:rFonts w:ascii="Times New Roman" w:hAnsi="Times New Roman" w:cs="Times New Roman"/>
          <w:sz w:val="24"/>
          <w:szCs w:val="24"/>
        </w:rPr>
        <w:t>completed a transfer-level quantitative course successfully</w:t>
      </w:r>
      <w:r w:rsidRPr="00347697">
        <w:rPr>
          <w:rFonts w:ascii="Times New Roman" w:hAnsi="Times New Roman" w:cs="Times New Roman"/>
          <w:sz w:val="24"/>
          <w:szCs w:val="24"/>
        </w:rPr>
        <w:t xml:space="preserve">.  Like Table </w:t>
      </w:r>
      <w:r w:rsidR="006F4F97">
        <w:rPr>
          <w:rFonts w:ascii="Times New Roman" w:hAnsi="Times New Roman" w:cs="Times New Roman"/>
          <w:sz w:val="24"/>
          <w:szCs w:val="24"/>
        </w:rPr>
        <w:t>5</w:t>
      </w:r>
      <w:r w:rsidRPr="00347697">
        <w:rPr>
          <w:rFonts w:ascii="Times New Roman" w:hAnsi="Times New Roman" w:cs="Times New Roman"/>
          <w:sz w:val="24"/>
          <w:szCs w:val="24"/>
        </w:rPr>
        <w:t xml:space="preserve">, Table </w:t>
      </w:r>
      <w:r w:rsidR="006F4F97">
        <w:rPr>
          <w:rFonts w:ascii="Times New Roman" w:hAnsi="Times New Roman" w:cs="Times New Roman"/>
          <w:sz w:val="24"/>
          <w:szCs w:val="24"/>
        </w:rPr>
        <w:t>6</w:t>
      </w:r>
      <w:r w:rsidR="006F4F97" w:rsidRPr="00347697">
        <w:rPr>
          <w:rFonts w:ascii="Times New Roman" w:hAnsi="Times New Roman" w:cs="Times New Roman"/>
          <w:sz w:val="24"/>
          <w:szCs w:val="24"/>
        </w:rPr>
        <w:t xml:space="preserve"> </w:t>
      </w:r>
      <w:r w:rsidR="006F4F97">
        <w:rPr>
          <w:rFonts w:ascii="Times New Roman" w:hAnsi="Times New Roman" w:cs="Times New Roman"/>
          <w:sz w:val="24"/>
          <w:szCs w:val="24"/>
        </w:rPr>
        <w:t xml:space="preserve">is </w:t>
      </w:r>
      <w:r w:rsidRPr="00347697">
        <w:rPr>
          <w:rFonts w:ascii="Times New Roman" w:hAnsi="Times New Roman" w:cs="Times New Roman"/>
          <w:sz w:val="24"/>
          <w:szCs w:val="24"/>
        </w:rPr>
        <w:t xml:space="preserve">limited to transfer-seeking students. </w:t>
      </w:r>
    </w:p>
    <w:p w14:paraId="58438BBD" w14:textId="040BB6C5" w:rsidR="00693045" w:rsidRPr="00347697" w:rsidRDefault="00693045" w:rsidP="00693045">
      <w:pPr>
        <w:spacing w:after="0" w:line="240" w:lineRule="auto"/>
        <w:rPr>
          <w:rFonts w:ascii="Times New Roman" w:hAnsi="Times New Roman" w:cs="Times New Roman"/>
          <w:sz w:val="24"/>
          <w:szCs w:val="24"/>
        </w:rPr>
      </w:pPr>
    </w:p>
    <w:p w14:paraId="086A4CDD" w14:textId="53FBFA39" w:rsidR="0019154A" w:rsidRPr="00347697" w:rsidRDefault="0019154A" w:rsidP="0019154A">
      <w:pPr>
        <w:spacing w:after="0" w:line="240" w:lineRule="auto"/>
        <w:rPr>
          <w:rFonts w:ascii="Times New Roman" w:hAnsi="Times New Roman" w:cs="Times New Roman"/>
          <w:sz w:val="24"/>
          <w:szCs w:val="24"/>
          <w:u w:val="single"/>
        </w:rPr>
      </w:pPr>
      <w:r w:rsidRPr="00AC012C">
        <w:rPr>
          <w:rFonts w:ascii="Times New Roman" w:hAnsi="Times New Roman" w:cs="Times New Roman"/>
          <w:sz w:val="24"/>
          <w:szCs w:val="24"/>
          <w:u w:val="single"/>
        </w:rPr>
        <w:t>Students who Succeed in their First Math Course</w:t>
      </w:r>
    </w:p>
    <w:p w14:paraId="26693208" w14:textId="77777777" w:rsidR="0019154A" w:rsidRPr="00347697" w:rsidRDefault="0019154A" w:rsidP="00693045">
      <w:pPr>
        <w:spacing w:after="0" w:line="240" w:lineRule="auto"/>
        <w:rPr>
          <w:rFonts w:ascii="Times New Roman" w:hAnsi="Times New Roman" w:cs="Times New Roman"/>
          <w:sz w:val="24"/>
          <w:szCs w:val="24"/>
        </w:rPr>
      </w:pPr>
    </w:p>
    <w:p w14:paraId="10BBCCD8" w14:textId="5DE4F85A" w:rsidR="009E072F" w:rsidRPr="00347697" w:rsidRDefault="00323CF0" w:rsidP="00693045">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As noted earlier, the majority of transfer-seeking students</w:t>
      </w:r>
      <w:r w:rsidR="00F226B2">
        <w:rPr>
          <w:rFonts w:ascii="Times New Roman" w:hAnsi="Times New Roman" w:cs="Times New Roman"/>
          <w:sz w:val="24"/>
          <w:szCs w:val="24"/>
        </w:rPr>
        <w:t xml:space="preserve"> in the </w:t>
      </w:r>
      <w:r w:rsidR="000069F4">
        <w:rPr>
          <w:rFonts w:ascii="Times New Roman" w:hAnsi="Times New Roman" w:cs="Times New Roman"/>
          <w:sz w:val="24"/>
          <w:szCs w:val="24"/>
        </w:rPr>
        <w:t>common math</w:t>
      </w:r>
      <w:r w:rsidR="00F226B2">
        <w:rPr>
          <w:rFonts w:ascii="Times New Roman" w:hAnsi="Times New Roman" w:cs="Times New Roman"/>
          <w:sz w:val="24"/>
          <w:szCs w:val="24"/>
        </w:rPr>
        <w:t xml:space="preserve"> pathways</w:t>
      </w:r>
      <w:r w:rsidRPr="00347697">
        <w:rPr>
          <w:rFonts w:ascii="Times New Roman" w:hAnsi="Times New Roman" w:cs="Times New Roman"/>
          <w:sz w:val="24"/>
          <w:szCs w:val="24"/>
        </w:rPr>
        <w:t xml:space="preserve"> who succeed in their first developmental math course continue </w:t>
      </w:r>
      <w:r w:rsidR="00580C81">
        <w:rPr>
          <w:rFonts w:ascii="Times New Roman" w:hAnsi="Times New Roman" w:cs="Times New Roman"/>
          <w:sz w:val="24"/>
          <w:szCs w:val="24"/>
        </w:rPr>
        <w:t>in</w:t>
      </w:r>
      <w:r w:rsidRPr="00347697">
        <w:rPr>
          <w:rFonts w:ascii="Times New Roman" w:hAnsi="Times New Roman" w:cs="Times New Roman"/>
          <w:sz w:val="24"/>
          <w:szCs w:val="24"/>
        </w:rPr>
        <w:t xml:space="preserve">to a second course.  Of those who do, the highest rate of success in the second </w:t>
      </w:r>
      <w:r w:rsidR="00344240" w:rsidRPr="00347697">
        <w:rPr>
          <w:rFonts w:ascii="Times New Roman" w:hAnsi="Times New Roman" w:cs="Times New Roman"/>
          <w:sz w:val="24"/>
          <w:szCs w:val="24"/>
        </w:rPr>
        <w:t>course is found among students who</w:t>
      </w:r>
      <w:r w:rsidR="00A2044C" w:rsidRPr="00347697">
        <w:rPr>
          <w:rFonts w:ascii="Times New Roman" w:hAnsi="Times New Roman" w:cs="Times New Roman"/>
          <w:sz w:val="24"/>
          <w:szCs w:val="24"/>
        </w:rPr>
        <w:t>se second course</w:t>
      </w:r>
      <w:r w:rsidR="00344240" w:rsidRPr="00347697">
        <w:rPr>
          <w:rFonts w:ascii="Times New Roman" w:hAnsi="Times New Roman" w:cs="Times New Roman"/>
          <w:sz w:val="24"/>
          <w:szCs w:val="24"/>
        </w:rPr>
        <w:t xml:space="preserve"> </w:t>
      </w:r>
      <w:r w:rsidR="00A2044C" w:rsidRPr="00347697">
        <w:rPr>
          <w:rFonts w:ascii="Times New Roman" w:hAnsi="Times New Roman" w:cs="Times New Roman"/>
          <w:sz w:val="24"/>
          <w:szCs w:val="24"/>
        </w:rPr>
        <w:t>is</w:t>
      </w:r>
      <w:r w:rsidR="00344240" w:rsidRPr="00347697">
        <w:rPr>
          <w:rFonts w:ascii="Times New Roman" w:hAnsi="Times New Roman" w:cs="Times New Roman"/>
          <w:sz w:val="24"/>
          <w:szCs w:val="24"/>
        </w:rPr>
        <w:t xml:space="preserve"> </w:t>
      </w:r>
      <w:r w:rsidR="00A2044C" w:rsidRPr="00347697">
        <w:rPr>
          <w:rFonts w:ascii="Times New Roman" w:hAnsi="Times New Roman" w:cs="Times New Roman"/>
          <w:sz w:val="24"/>
          <w:szCs w:val="24"/>
        </w:rPr>
        <w:t>Psyc B5, Elementary Statistics for the Behavioral and Social Sciences</w:t>
      </w:r>
      <w:r w:rsidR="00344240" w:rsidRPr="00347697">
        <w:rPr>
          <w:rFonts w:ascii="Times New Roman" w:hAnsi="Times New Roman" w:cs="Times New Roman"/>
          <w:sz w:val="24"/>
          <w:szCs w:val="24"/>
        </w:rPr>
        <w:t>.  This high rate of success holds true whether students began with Math B65 (</w:t>
      </w:r>
      <w:r w:rsidR="006F4F97">
        <w:rPr>
          <w:rFonts w:ascii="Times New Roman" w:hAnsi="Times New Roman" w:cs="Times New Roman"/>
          <w:sz w:val="24"/>
          <w:szCs w:val="24"/>
        </w:rPr>
        <w:t>88</w:t>
      </w:r>
      <w:r w:rsidR="00344240" w:rsidRPr="00347697">
        <w:rPr>
          <w:rFonts w:ascii="Times New Roman" w:hAnsi="Times New Roman" w:cs="Times New Roman"/>
          <w:sz w:val="24"/>
          <w:szCs w:val="24"/>
        </w:rPr>
        <w:t xml:space="preserve">% successful in </w:t>
      </w:r>
      <w:r w:rsidR="00A2044C" w:rsidRPr="00347697">
        <w:rPr>
          <w:rFonts w:ascii="Times New Roman" w:hAnsi="Times New Roman" w:cs="Times New Roman"/>
          <w:sz w:val="24"/>
          <w:szCs w:val="24"/>
        </w:rPr>
        <w:t>the</w:t>
      </w:r>
      <w:r w:rsidR="00583A7B" w:rsidRPr="00347697">
        <w:rPr>
          <w:rFonts w:ascii="Times New Roman" w:hAnsi="Times New Roman" w:cs="Times New Roman"/>
          <w:sz w:val="24"/>
          <w:szCs w:val="24"/>
        </w:rPr>
        <w:t>ir</w:t>
      </w:r>
      <w:r w:rsidR="00A2044C" w:rsidRPr="00347697">
        <w:rPr>
          <w:rFonts w:ascii="Times New Roman" w:hAnsi="Times New Roman" w:cs="Times New Roman"/>
          <w:sz w:val="24"/>
          <w:szCs w:val="24"/>
        </w:rPr>
        <w:t xml:space="preserve"> </w:t>
      </w:r>
      <w:r w:rsidR="00344240" w:rsidRPr="00347697">
        <w:rPr>
          <w:rFonts w:ascii="Times New Roman" w:hAnsi="Times New Roman" w:cs="Times New Roman"/>
          <w:sz w:val="24"/>
          <w:szCs w:val="24"/>
        </w:rPr>
        <w:t>first attempt of Psyc B5) or Math B70 (</w:t>
      </w:r>
      <w:r w:rsidR="006F4F97">
        <w:rPr>
          <w:rFonts w:ascii="Times New Roman" w:hAnsi="Times New Roman" w:cs="Times New Roman"/>
          <w:sz w:val="24"/>
          <w:szCs w:val="24"/>
        </w:rPr>
        <w:t>90</w:t>
      </w:r>
      <w:r w:rsidR="00344240" w:rsidRPr="00347697">
        <w:rPr>
          <w:rFonts w:ascii="Times New Roman" w:hAnsi="Times New Roman" w:cs="Times New Roman"/>
          <w:sz w:val="24"/>
          <w:szCs w:val="24"/>
        </w:rPr>
        <w:t xml:space="preserve">% successful in </w:t>
      </w:r>
      <w:r w:rsidR="00A2044C" w:rsidRPr="00347697">
        <w:rPr>
          <w:rFonts w:ascii="Times New Roman" w:hAnsi="Times New Roman" w:cs="Times New Roman"/>
          <w:sz w:val="24"/>
          <w:szCs w:val="24"/>
        </w:rPr>
        <w:t>the</w:t>
      </w:r>
      <w:r w:rsidR="00583A7B" w:rsidRPr="00347697">
        <w:rPr>
          <w:rFonts w:ascii="Times New Roman" w:hAnsi="Times New Roman" w:cs="Times New Roman"/>
          <w:sz w:val="24"/>
          <w:szCs w:val="24"/>
        </w:rPr>
        <w:t>ir</w:t>
      </w:r>
      <w:r w:rsidR="00A2044C" w:rsidRPr="00347697">
        <w:rPr>
          <w:rFonts w:ascii="Times New Roman" w:hAnsi="Times New Roman" w:cs="Times New Roman"/>
          <w:sz w:val="24"/>
          <w:szCs w:val="24"/>
        </w:rPr>
        <w:t xml:space="preserve"> </w:t>
      </w:r>
      <w:r w:rsidR="00344240" w:rsidRPr="00347697">
        <w:rPr>
          <w:rFonts w:ascii="Times New Roman" w:hAnsi="Times New Roman" w:cs="Times New Roman"/>
          <w:sz w:val="24"/>
          <w:szCs w:val="24"/>
        </w:rPr>
        <w:t xml:space="preserve">first attempt of Psyc B5).  </w:t>
      </w:r>
    </w:p>
    <w:p w14:paraId="2BA9261C" w14:textId="77777777" w:rsidR="009E072F" w:rsidRPr="00347697" w:rsidRDefault="009E072F" w:rsidP="00693045">
      <w:pPr>
        <w:spacing w:after="0" w:line="240" w:lineRule="auto"/>
        <w:rPr>
          <w:rFonts w:ascii="Times New Roman" w:hAnsi="Times New Roman" w:cs="Times New Roman"/>
          <w:sz w:val="24"/>
          <w:szCs w:val="24"/>
        </w:rPr>
      </w:pPr>
    </w:p>
    <w:p w14:paraId="7320C2DC" w14:textId="6901BAA9" w:rsidR="009E072F" w:rsidRPr="00347697" w:rsidRDefault="00344240" w:rsidP="00693045">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lastRenderedPageBreak/>
        <w:t>Much lower rates of first-attempt success are found among students who transition to Math B22</w:t>
      </w:r>
      <w:r w:rsidR="009E072F" w:rsidRPr="00347697">
        <w:rPr>
          <w:rFonts w:ascii="Times New Roman" w:hAnsi="Times New Roman" w:cs="Times New Roman"/>
          <w:sz w:val="24"/>
          <w:szCs w:val="24"/>
        </w:rPr>
        <w:t>, Elementary Probability and Statistics</w:t>
      </w:r>
      <w:r w:rsidR="00CA3EDF" w:rsidRPr="00347697">
        <w:rPr>
          <w:rFonts w:ascii="Times New Roman" w:hAnsi="Times New Roman" w:cs="Times New Roman"/>
          <w:sz w:val="24"/>
          <w:szCs w:val="24"/>
        </w:rPr>
        <w:t xml:space="preserve">.  </w:t>
      </w:r>
      <w:r w:rsidR="009E072F" w:rsidRPr="00347697">
        <w:rPr>
          <w:rFonts w:ascii="Times New Roman" w:hAnsi="Times New Roman" w:cs="Times New Roman"/>
          <w:sz w:val="24"/>
          <w:szCs w:val="24"/>
        </w:rPr>
        <w:t>Students who transition to Math B22 after comp</w:t>
      </w:r>
      <w:r w:rsidR="00200D50" w:rsidRPr="00347697">
        <w:rPr>
          <w:rFonts w:ascii="Times New Roman" w:hAnsi="Times New Roman" w:cs="Times New Roman"/>
          <w:sz w:val="24"/>
          <w:szCs w:val="24"/>
        </w:rPr>
        <w:t>l</w:t>
      </w:r>
      <w:r w:rsidR="009E072F" w:rsidRPr="00347697">
        <w:rPr>
          <w:rFonts w:ascii="Times New Roman" w:hAnsi="Times New Roman" w:cs="Times New Roman"/>
          <w:sz w:val="24"/>
          <w:szCs w:val="24"/>
        </w:rPr>
        <w:t xml:space="preserve">eting Math B65 have </w:t>
      </w:r>
      <w:r w:rsidR="00494E8F" w:rsidRPr="00347697">
        <w:rPr>
          <w:rFonts w:ascii="Times New Roman" w:hAnsi="Times New Roman" w:cs="Times New Roman"/>
          <w:sz w:val="24"/>
          <w:szCs w:val="24"/>
        </w:rPr>
        <w:t xml:space="preserve">a </w:t>
      </w:r>
      <w:r w:rsidR="003B78DA">
        <w:rPr>
          <w:rFonts w:ascii="Times New Roman" w:hAnsi="Times New Roman" w:cs="Times New Roman"/>
          <w:sz w:val="24"/>
          <w:szCs w:val="24"/>
        </w:rPr>
        <w:t>42</w:t>
      </w:r>
      <w:r w:rsidR="009E072F" w:rsidRPr="00347697">
        <w:rPr>
          <w:rFonts w:ascii="Times New Roman" w:hAnsi="Times New Roman" w:cs="Times New Roman"/>
          <w:sz w:val="24"/>
          <w:szCs w:val="24"/>
        </w:rPr>
        <w:t xml:space="preserve">% </w:t>
      </w:r>
      <w:r w:rsidR="00583A7B" w:rsidRPr="00347697">
        <w:rPr>
          <w:rFonts w:ascii="Times New Roman" w:hAnsi="Times New Roman" w:cs="Times New Roman"/>
          <w:sz w:val="24"/>
          <w:szCs w:val="24"/>
        </w:rPr>
        <w:t>chance</w:t>
      </w:r>
      <w:r w:rsidR="00494E8F" w:rsidRPr="00347697">
        <w:rPr>
          <w:rFonts w:ascii="Times New Roman" w:hAnsi="Times New Roman" w:cs="Times New Roman"/>
          <w:sz w:val="24"/>
          <w:szCs w:val="24"/>
        </w:rPr>
        <w:t xml:space="preserve"> of </w:t>
      </w:r>
      <w:r w:rsidR="00200D50" w:rsidRPr="00347697">
        <w:rPr>
          <w:rFonts w:ascii="Times New Roman" w:hAnsi="Times New Roman" w:cs="Times New Roman"/>
          <w:sz w:val="24"/>
          <w:szCs w:val="24"/>
        </w:rPr>
        <w:t xml:space="preserve">first-attempt </w:t>
      </w:r>
      <w:r w:rsidR="009E072F" w:rsidRPr="00347697">
        <w:rPr>
          <w:rFonts w:ascii="Times New Roman" w:hAnsi="Times New Roman" w:cs="Times New Roman"/>
          <w:sz w:val="24"/>
          <w:szCs w:val="24"/>
        </w:rPr>
        <w:t xml:space="preserve">success, while </w:t>
      </w:r>
      <w:r w:rsidR="00773B29" w:rsidRPr="00347697">
        <w:rPr>
          <w:rFonts w:ascii="Times New Roman" w:hAnsi="Times New Roman" w:cs="Times New Roman"/>
          <w:sz w:val="24"/>
          <w:szCs w:val="24"/>
        </w:rPr>
        <w:t>those</w:t>
      </w:r>
      <w:r w:rsidR="009E072F" w:rsidRPr="00347697">
        <w:rPr>
          <w:rFonts w:ascii="Times New Roman" w:hAnsi="Times New Roman" w:cs="Times New Roman"/>
          <w:sz w:val="24"/>
          <w:szCs w:val="24"/>
        </w:rPr>
        <w:t xml:space="preserve"> who transition </w:t>
      </w:r>
      <w:r w:rsidR="00441E14" w:rsidRPr="00347697">
        <w:rPr>
          <w:rFonts w:ascii="Times New Roman" w:hAnsi="Times New Roman" w:cs="Times New Roman"/>
          <w:sz w:val="24"/>
          <w:szCs w:val="24"/>
        </w:rPr>
        <w:t xml:space="preserve">to Math B22 </w:t>
      </w:r>
      <w:r w:rsidR="009E072F" w:rsidRPr="00347697">
        <w:rPr>
          <w:rFonts w:ascii="Times New Roman" w:hAnsi="Times New Roman" w:cs="Times New Roman"/>
          <w:sz w:val="24"/>
          <w:szCs w:val="24"/>
        </w:rPr>
        <w:t xml:space="preserve">from Math B70 have a </w:t>
      </w:r>
      <w:r w:rsidR="003B78DA">
        <w:rPr>
          <w:rFonts w:ascii="Times New Roman" w:hAnsi="Times New Roman" w:cs="Times New Roman"/>
          <w:sz w:val="24"/>
          <w:szCs w:val="24"/>
        </w:rPr>
        <w:t>50</w:t>
      </w:r>
      <w:r w:rsidR="009E072F" w:rsidRPr="00347697">
        <w:rPr>
          <w:rFonts w:ascii="Times New Roman" w:hAnsi="Times New Roman" w:cs="Times New Roman"/>
          <w:sz w:val="24"/>
          <w:szCs w:val="24"/>
        </w:rPr>
        <w:t xml:space="preserve">% </w:t>
      </w:r>
      <w:r w:rsidR="00583A7B" w:rsidRPr="00347697">
        <w:rPr>
          <w:rFonts w:ascii="Times New Roman" w:hAnsi="Times New Roman" w:cs="Times New Roman"/>
          <w:sz w:val="24"/>
          <w:szCs w:val="24"/>
        </w:rPr>
        <w:t xml:space="preserve">chance </w:t>
      </w:r>
      <w:r w:rsidR="009E072F" w:rsidRPr="00347697">
        <w:rPr>
          <w:rFonts w:ascii="Times New Roman" w:hAnsi="Times New Roman" w:cs="Times New Roman"/>
          <w:sz w:val="24"/>
          <w:szCs w:val="24"/>
        </w:rPr>
        <w:t xml:space="preserve">of </w:t>
      </w:r>
      <w:r w:rsidR="00200D50" w:rsidRPr="00347697">
        <w:rPr>
          <w:rFonts w:ascii="Times New Roman" w:hAnsi="Times New Roman" w:cs="Times New Roman"/>
          <w:sz w:val="24"/>
          <w:szCs w:val="24"/>
        </w:rPr>
        <w:t xml:space="preserve">first-attempt </w:t>
      </w:r>
      <w:r w:rsidR="009E072F" w:rsidRPr="00347697">
        <w:rPr>
          <w:rFonts w:ascii="Times New Roman" w:hAnsi="Times New Roman" w:cs="Times New Roman"/>
          <w:sz w:val="24"/>
          <w:szCs w:val="24"/>
        </w:rPr>
        <w:t xml:space="preserve">success.  Of note, for students who begin with Math B70, </w:t>
      </w:r>
      <w:r w:rsidR="00441E14" w:rsidRPr="00347697">
        <w:rPr>
          <w:rFonts w:ascii="Times New Roman" w:hAnsi="Times New Roman" w:cs="Times New Roman"/>
          <w:sz w:val="24"/>
          <w:szCs w:val="24"/>
        </w:rPr>
        <w:t xml:space="preserve">the rate of </w:t>
      </w:r>
      <w:r w:rsidR="00200D50" w:rsidRPr="00347697">
        <w:rPr>
          <w:rFonts w:ascii="Times New Roman" w:hAnsi="Times New Roman" w:cs="Times New Roman"/>
          <w:sz w:val="24"/>
          <w:szCs w:val="24"/>
        </w:rPr>
        <w:t xml:space="preserve">first-attempt </w:t>
      </w:r>
      <w:r w:rsidR="00441E14" w:rsidRPr="00347697">
        <w:rPr>
          <w:rFonts w:ascii="Times New Roman" w:hAnsi="Times New Roman" w:cs="Times New Roman"/>
          <w:sz w:val="24"/>
          <w:szCs w:val="24"/>
        </w:rPr>
        <w:t xml:space="preserve">success </w:t>
      </w:r>
      <w:r w:rsidR="00B1297A" w:rsidRPr="00347697">
        <w:rPr>
          <w:rFonts w:ascii="Times New Roman" w:hAnsi="Times New Roman" w:cs="Times New Roman"/>
          <w:sz w:val="24"/>
          <w:szCs w:val="24"/>
        </w:rPr>
        <w:t xml:space="preserve">in </w:t>
      </w:r>
      <w:r w:rsidR="00441E14" w:rsidRPr="00347697">
        <w:rPr>
          <w:rFonts w:ascii="Times New Roman" w:hAnsi="Times New Roman" w:cs="Times New Roman"/>
          <w:sz w:val="24"/>
          <w:szCs w:val="24"/>
        </w:rPr>
        <w:t>Math B1A (</w:t>
      </w:r>
      <w:r w:rsidR="003B78DA">
        <w:rPr>
          <w:rFonts w:ascii="Times New Roman" w:hAnsi="Times New Roman" w:cs="Times New Roman"/>
          <w:sz w:val="24"/>
          <w:szCs w:val="24"/>
        </w:rPr>
        <w:t>51</w:t>
      </w:r>
      <w:r w:rsidR="00441E14" w:rsidRPr="00347697">
        <w:rPr>
          <w:rFonts w:ascii="Times New Roman" w:hAnsi="Times New Roman" w:cs="Times New Roman"/>
          <w:sz w:val="24"/>
          <w:szCs w:val="24"/>
        </w:rPr>
        <w:t xml:space="preserve">%), which is Pre-Calculus, is </w:t>
      </w:r>
      <w:r w:rsidR="003B78DA">
        <w:rPr>
          <w:rFonts w:ascii="Times New Roman" w:hAnsi="Times New Roman" w:cs="Times New Roman"/>
          <w:sz w:val="24"/>
          <w:szCs w:val="24"/>
        </w:rPr>
        <w:t>nearly identical to the 50%</w:t>
      </w:r>
      <w:r w:rsidR="003B78DA" w:rsidRPr="00347697">
        <w:rPr>
          <w:rFonts w:ascii="Times New Roman" w:hAnsi="Times New Roman" w:cs="Times New Roman"/>
          <w:sz w:val="24"/>
          <w:szCs w:val="24"/>
        </w:rPr>
        <w:t xml:space="preserve"> </w:t>
      </w:r>
      <w:r w:rsidR="009E072F" w:rsidRPr="00347697">
        <w:rPr>
          <w:rFonts w:ascii="Times New Roman" w:hAnsi="Times New Roman" w:cs="Times New Roman"/>
          <w:sz w:val="24"/>
          <w:szCs w:val="24"/>
        </w:rPr>
        <w:t xml:space="preserve">rate of </w:t>
      </w:r>
      <w:r w:rsidR="00200D50" w:rsidRPr="00347697">
        <w:rPr>
          <w:rFonts w:ascii="Times New Roman" w:hAnsi="Times New Roman" w:cs="Times New Roman"/>
          <w:sz w:val="24"/>
          <w:szCs w:val="24"/>
        </w:rPr>
        <w:t xml:space="preserve">first-attempt </w:t>
      </w:r>
      <w:r w:rsidR="009E072F" w:rsidRPr="00347697">
        <w:rPr>
          <w:rFonts w:ascii="Times New Roman" w:hAnsi="Times New Roman" w:cs="Times New Roman"/>
          <w:sz w:val="24"/>
          <w:szCs w:val="24"/>
        </w:rPr>
        <w:t xml:space="preserve">success </w:t>
      </w:r>
      <w:r w:rsidR="003B78DA">
        <w:rPr>
          <w:rFonts w:ascii="Times New Roman" w:hAnsi="Times New Roman" w:cs="Times New Roman"/>
          <w:sz w:val="24"/>
          <w:szCs w:val="24"/>
        </w:rPr>
        <w:t xml:space="preserve">observed among Math B70 students who transition to </w:t>
      </w:r>
      <w:r w:rsidR="009E072F" w:rsidRPr="00347697">
        <w:rPr>
          <w:rFonts w:ascii="Times New Roman" w:hAnsi="Times New Roman" w:cs="Times New Roman"/>
          <w:sz w:val="24"/>
          <w:szCs w:val="24"/>
        </w:rPr>
        <w:t>Math B22</w:t>
      </w:r>
      <w:r w:rsidR="00441E14" w:rsidRPr="00347697">
        <w:rPr>
          <w:rFonts w:ascii="Times New Roman" w:hAnsi="Times New Roman" w:cs="Times New Roman"/>
          <w:sz w:val="24"/>
          <w:szCs w:val="24"/>
        </w:rPr>
        <w:t xml:space="preserve">.  </w:t>
      </w:r>
    </w:p>
    <w:p w14:paraId="1C598BE6" w14:textId="77777777" w:rsidR="009E072F" w:rsidRPr="00347697" w:rsidRDefault="009E072F" w:rsidP="00693045">
      <w:pPr>
        <w:spacing w:after="0" w:line="240" w:lineRule="auto"/>
        <w:rPr>
          <w:rFonts w:ascii="Times New Roman" w:hAnsi="Times New Roman" w:cs="Times New Roman"/>
          <w:sz w:val="24"/>
          <w:szCs w:val="24"/>
        </w:rPr>
      </w:pPr>
    </w:p>
    <w:p w14:paraId="30CAC25A" w14:textId="1BA82F12" w:rsidR="00563771" w:rsidRPr="00347697" w:rsidRDefault="003B78DA" w:rsidP="00693045">
      <w:pPr>
        <w:spacing w:after="0" w:line="240" w:lineRule="auto"/>
        <w:rPr>
          <w:rFonts w:ascii="Times New Roman" w:hAnsi="Times New Roman" w:cs="Times New Roman"/>
          <w:sz w:val="24"/>
          <w:szCs w:val="24"/>
        </w:rPr>
      </w:pPr>
      <w:r>
        <w:rPr>
          <w:rFonts w:ascii="Times New Roman" w:hAnsi="Times New Roman" w:cs="Times New Roman"/>
          <w:sz w:val="24"/>
          <w:szCs w:val="24"/>
        </w:rPr>
        <w:t>Nearly three-fifths</w:t>
      </w:r>
      <w:r w:rsidR="00706890" w:rsidRPr="00347697">
        <w:rPr>
          <w:rFonts w:ascii="Times New Roman" w:hAnsi="Times New Roman" w:cs="Times New Roman"/>
          <w:sz w:val="24"/>
          <w:szCs w:val="24"/>
        </w:rPr>
        <w:t xml:space="preserve"> (</w:t>
      </w:r>
      <w:r w:rsidRPr="00347697">
        <w:rPr>
          <w:rFonts w:ascii="Times New Roman" w:hAnsi="Times New Roman" w:cs="Times New Roman"/>
          <w:sz w:val="24"/>
          <w:szCs w:val="24"/>
        </w:rPr>
        <w:t>5</w:t>
      </w:r>
      <w:r>
        <w:rPr>
          <w:rFonts w:ascii="Times New Roman" w:hAnsi="Times New Roman" w:cs="Times New Roman"/>
          <w:sz w:val="24"/>
          <w:szCs w:val="24"/>
        </w:rPr>
        <w:t>8</w:t>
      </w:r>
      <w:r w:rsidR="00706890" w:rsidRPr="00347697">
        <w:rPr>
          <w:rFonts w:ascii="Times New Roman" w:hAnsi="Times New Roman" w:cs="Times New Roman"/>
          <w:sz w:val="24"/>
          <w:szCs w:val="24"/>
        </w:rPr>
        <w:t xml:space="preserve">%) of </w:t>
      </w:r>
      <w:r w:rsidR="00441E14" w:rsidRPr="00347697">
        <w:rPr>
          <w:rFonts w:ascii="Times New Roman" w:hAnsi="Times New Roman" w:cs="Times New Roman"/>
          <w:sz w:val="24"/>
          <w:szCs w:val="24"/>
        </w:rPr>
        <w:t xml:space="preserve">students who transition from </w:t>
      </w:r>
      <w:r w:rsidR="00706890" w:rsidRPr="00347697">
        <w:rPr>
          <w:rFonts w:ascii="Times New Roman" w:hAnsi="Times New Roman" w:cs="Times New Roman"/>
          <w:sz w:val="24"/>
          <w:szCs w:val="24"/>
        </w:rPr>
        <w:t xml:space="preserve">the </w:t>
      </w:r>
      <w:r w:rsidR="00A74CE5" w:rsidRPr="00347697">
        <w:rPr>
          <w:rFonts w:ascii="Times New Roman" w:hAnsi="Times New Roman" w:cs="Times New Roman"/>
          <w:sz w:val="24"/>
          <w:szCs w:val="24"/>
        </w:rPr>
        <w:t>first half</w:t>
      </w:r>
      <w:r>
        <w:rPr>
          <w:rFonts w:ascii="Times New Roman" w:hAnsi="Times New Roman" w:cs="Times New Roman"/>
          <w:sz w:val="24"/>
          <w:szCs w:val="24"/>
        </w:rPr>
        <w:t xml:space="preserve"> of LRNC B530 (LRNC B530</w:t>
      </w:r>
      <w:r w:rsidRPr="0072729B">
        <w:rPr>
          <w:rFonts w:ascii="Times New Roman" w:hAnsi="Times New Roman" w:cs="Times New Roman"/>
          <w:i/>
          <w:sz w:val="24"/>
          <w:szCs w:val="24"/>
        </w:rPr>
        <w:t>f</w:t>
      </w:r>
      <w:r>
        <w:rPr>
          <w:rFonts w:ascii="Times New Roman" w:hAnsi="Times New Roman" w:cs="Times New Roman"/>
          <w:sz w:val="24"/>
          <w:szCs w:val="24"/>
        </w:rPr>
        <w:t>)</w:t>
      </w:r>
      <w:r w:rsidR="00706890" w:rsidRPr="00347697">
        <w:rPr>
          <w:rFonts w:ascii="Times New Roman" w:hAnsi="Times New Roman" w:cs="Times New Roman"/>
          <w:sz w:val="24"/>
          <w:szCs w:val="24"/>
        </w:rPr>
        <w:t xml:space="preserve"> to the </w:t>
      </w:r>
      <w:r w:rsidR="00A74CE5" w:rsidRPr="00347697">
        <w:rPr>
          <w:rFonts w:ascii="Times New Roman" w:hAnsi="Times New Roman" w:cs="Times New Roman"/>
          <w:sz w:val="24"/>
          <w:szCs w:val="24"/>
        </w:rPr>
        <w:t>second half</w:t>
      </w:r>
      <w:r w:rsidR="00706890" w:rsidRPr="00347697">
        <w:rPr>
          <w:rFonts w:ascii="Times New Roman" w:hAnsi="Times New Roman" w:cs="Times New Roman"/>
          <w:sz w:val="24"/>
          <w:szCs w:val="24"/>
        </w:rPr>
        <w:t xml:space="preserve"> of LRNC B530 </w:t>
      </w:r>
      <w:r>
        <w:rPr>
          <w:rFonts w:ascii="Times New Roman" w:hAnsi="Times New Roman" w:cs="Times New Roman"/>
          <w:sz w:val="24"/>
          <w:szCs w:val="24"/>
        </w:rPr>
        <w:t>(LRNC B530</w:t>
      </w:r>
      <w:r w:rsidRPr="0072729B">
        <w:rPr>
          <w:rFonts w:ascii="Times New Roman" w:hAnsi="Times New Roman" w:cs="Times New Roman"/>
          <w:i/>
          <w:sz w:val="24"/>
          <w:szCs w:val="24"/>
        </w:rPr>
        <w:t>s</w:t>
      </w:r>
      <w:r>
        <w:rPr>
          <w:rFonts w:ascii="Times New Roman" w:hAnsi="Times New Roman" w:cs="Times New Roman"/>
          <w:sz w:val="24"/>
          <w:szCs w:val="24"/>
        </w:rPr>
        <w:t xml:space="preserve">) </w:t>
      </w:r>
      <w:r w:rsidR="00706890" w:rsidRPr="00347697">
        <w:rPr>
          <w:rFonts w:ascii="Times New Roman" w:hAnsi="Times New Roman" w:cs="Times New Roman"/>
          <w:sz w:val="24"/>
          <w:szCs w:val="24"/>
        </w:rPr>
        <w:t xml:space="preserve">are successful in </w:t>
      </w:r>
      <w:r>
        <w:rPr>
          <w:rFonts w:ascii="Times New Roman" w:hAnsi="Times New Roman" w:cs="Times New Roman"/>
          <w:sz w:val="24"/>
          <w:szCs w:val="24"/>
        </w:rPr>
        <w:t>this</w:t>
      </w:r>
      <w:r w:rsidRPr="00347697">
        <w:rPr>
          <w:rFonts w:ascii="Times New Roman" w:hAnsi="Times New Roman" w:cs="Times New Roman"/>
          <w:sz w:val="24"/>
          <w:szCs w:val="24"/>
        </w:rPr>
        <w:t xml:space="preserve"> </w:t>
      </w:r>
      <w:r w:rsidR="00706890" w:rsidRPr="00347697">
        <w:rPr>
          <w:rFonts w:ascii="Times New Roman" w:hAnsi="Times New Roman" w:cs="Times New Roman"/>
          <w:sz w:val="24"/>
          <w:szCs w:val="24"/>
        </w:rPr>
        <w:t>second course</w:t>
      </w:r>
      <w:r w:rsidR="00563771" w:rsidRPr="00347697">
        <w:rPr>
          <w:rFonts w:ascii="Times New Roman" w:hAnsi="Times New Roman" w:cs="Times New Roman"/>
          <w:sz w:val="24"/>
          <w:szCs w:val="24"/>
        </w:rPr>
        <w:t xml:space="preserve">.  </w:t>
      </w:r>
      <w:r w:rsidR="000069F4">
        <w:rPr>
          <w:rFonts w:ascii="Times New Roman" w:hAnsi="Times New Roman" w:cs="Times New Roman"/>
          <w:sz w:val="24"/>
          <w:szCs w:val="24"/>
        </w:rPr>
        <w:t>A similar</w:t>
      </w:r>
      <w:r>
        <w:rPr>
          <w:rFonts w:ascii="Times New Roman" w:hAnsi="Times New Roman" w:cs="Times New Roman"/>
          <w:sz w:val="24"/>
          <w:szCs w:val="24"/>
        </w:rPr>
        <w:t xml:space="preserve"> but slightly smaller percentage of students who </w:t>
      </w:r>
      <w:r w:rsidR="00706890" w:rsidRPr="00347697">
        <w:rPr>
          <w:rFonts w:ascii="Times New Roman" w:hAnsi="Times New Roman" w:cs="Times New Roman"/>
          <w:sz w:val="24"/>
          <w:szCs w:val="24"/>
        </w:rPr>
        <w:t>transition from Math B60 to Math B70</w:t>
      </w:r>
      <w:r w:rsidR="00563771" w:rsidRPr="00347697">
        <w:rPr>
          <w:rFonts w:ascii="Times New Roman" w:hAnsi="Times New Roman" w:cs="Times New Roman"/>
          <w:sz w:val="24"/>
          <w:szCs w:val="24"/>
        </w:rPr>
        <w:t xml:space="preserve"> are successful in Math B70</w:t>
      </w:r>
      <w:r w:rsidR="000069F4">
        <w:rPr>
          <w:rFonts w:ascii="Times New Roman" w:hAnsi="Times New Roman" w:cs="Times New Roman"/>
          <w:sz w:val="24"/>
          <w:szCs w:val="24"/>
        </w:rPr>
        <w:t xml:space="preserve"> (55%)</w:t>
      </w:r>
      <w:r w:rsidR="00563771" w:rsidRPr="00347697">
        <w:rPr>
          <w:rFonts w:ascii="Times New Roman" w:hAnsi="Times New Roman" w:cs="Times New Roman"/>
          <w:sz w:val="24"/>
          <w:szCs w:val="24"/>
        </w:rPr>
        <w:t>.</w:t>
      </w:r>
    </w:p>
    <w:p w14:paraId="17033610" w14:textId="77777777" w:rsidR="00563771" w:rsidRPr="00347697" w:rsidRDefault="00563771" w:rsidP="00693045">
      <w:pPr>
        <w:spacing w:after="0" w:line="240" w:lineRule="auto"/>
        <w:rPr>
          <w:rFonts w:ascii="Times New Roman" w:hAnsi="Times New Roman" w:cs="Times New Roman"/>
          <w:sz w:val="24"/>
          <w:szCs w:val="24"/>
        </w:rPr>
      </w:pPr>
    </w:p>
    <w:p w14:paraId="1EA109A3" w14:textId="13A2D5C6" w:rsidR="00EA5DE7" w:rsidRPr="00347697" w:rsidRDefault="00563771" w:rsidP="00693045">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With respect to eventual achievement of transfer-level quantitative competency, the highest likelihood is found among students who transition to Psyc B5 from either Math B65 (</w:t>
      </w:r>
      <w:r w:rsidR="003B78DA">
        <w:rPr>
          <w:rFonts w:ascii="Times New Roman" w:hAnsi="Times New Roman" w:cs="Times New Roman"/>
          <w:sz w:val="24"/>
          <w:szCs w:val="24"/>
        </w:rPr>
        <w:t>88</w:t>
      </w:r>
      <w:r w:rsidRPr="00347697">
        <w:rPr>
          <w:rFonts w:ascii="Times New Roman" w:hAnsi="Times New Roman" w:cs="Times New Roman"/>
          <w:sz w:val="24"/>
          <w:szCs w:val="24"/>
        </w:rPr>
        <w:t>%) or Math B70 (</w:t>
      </w:r>
      <w:r w:rsidR="003B78DA">
        <w:rPr>
          <w:rFonts w:ascii="Times New Roman" w:hAnsi="Times New Roman" w:cs="Times New Roman"/>
          <w:sz w:val="24"/>
          <w:szCs w:val="24"/>
        </w:rPr>
        <w:t>93</w:t>
      </w:r>
      <w:r w:rsidRPr="00347697">
        <w:rPr>
          <w:rFonts w:ascii="Times New Roman" w:hAnsi="Times New Roman" w:cs="Times New Roman"/>
          <w:sz w:val="24"/>
          <w:szCs w:val="24"/>
        </w:rPr>
        <w:t>%).  The next highest likelihood is found among students whose first math course is Math B70 and who then enroll in either Math B22 (</w:t>
      </w:r>
      <w:r w:rsidR="003B78DA">
        <w:rPr>
          <w:rFonts w:ascii="Times New Roman" w:hAnsi="Times New Roman" w:cs="Times New Roman"/>
          <w:sz w:val="24"/>
          <w:szCs w:val="24"/>
        </w:rPr>
        <w:t>76</w:t>
      </w:r>
      <w:r w:rsidRPr="00347697">
        <w:rPr>
          <w:rFonts w:ascii="Times New Roman" w:hAnsi="Times New Roman" w:cs="Times New Roman"/>
          <w:sz w:val="24"/>
          <w:szCs w:val="24"/>
        </w:rPr>
        <w:t>%) or Math B1A (</w:t>
      </w:r>
      <w:r w:rsidR="003B78DA">
        <w:rPr>
          <w:rFonts w:ascii="Times New Roman" w:hAnsi="Times New Roman" w:cs="Times New Roman"/>
          <w:sz w:val="24"/>
          <w:szCs w:val="24"/>
        </w:rPr>
        <w:t>71</w:t>
      </w:r>
      <w:r w:rsidRPr="00347697">
        <w:rPr>
          <w:rFonts w:ascii="Times New Roman" w:hAnsi="Times New Roman" w:cs="Times New Roman"/>
          <w:sz w:val="24"/>
          <w:szCs w:val="24"/>
        </w:rPr>
        <w:t xml:space="preserve">%).  </w:t>
      </w:r>
    </w:p>
    <w:p w14:paraId="1AC24114" w14:textId="77777777" w:rsidR="00EA5DE7" w:rsidRPr="00347697" w:rsidRDefault="00EA5DE7" w:rsidP="00693045">
      <w:pPr>
        <w:spacing w:after="0" w:line="240" w:lineRule="auto"/>
        <w:rPr>
          <w:rFonts w:ascii="Times New Roman" w:hAnsi="Times New Roman" w:cs="Times New Roman"/>
          <w:sz w:val="24"/>
          <w:szCs w:val="24"/>
        </w:rPr>
      </w:pPr>
    </w:p>
    <w:p w14:paraId="382C1907" w14:textId="740A6119" w:rsidR="00200D50" w:rsidRPr="00347697" w:rsidRDefault="00200D50" w:rsidP="00693045">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A markedly lower rate</w:t>
      </w:r>
      <w:r w:rsidR="007D3CA4" w:rsidRPr="00347697">
        <w:rPr>
          <w:rFonts w:ascii="Times New Roman" w:hAnsi="Times New Roman" w:cs="Times New Roman"/>
          <w:sz w:val="24"/>
          <w:szCs w:val="24"/>
        </w:rPr>
        <w:t xml:space="preserve"> </w:t>
      </w:r>
      <w:r w:rsidRPr="00347697">
        <w:rPr>
          <w:rFonts w:ascii="Times New Roman" w:hAnsi="Times New Roman" w:cs="Times New Roman"/>
          <w:sz w:val="24"/>
          <w:szCs w:val="24"/>
        </w:rPr>
        <w:t>of attainment of transfer-level quantitative competency (</w:t>
      </w:r>
      <w:r w:rsidR="003B78DA">
        <w:rPr>
          <w:rFonts w:ascii="Times New Roman" w:hAnsi="Times New Roman" w:cs="Times New Roman"/>
          <w:sz w:val="24"/>
          <w:szCs w:val="24"/>
        </w:rPr>
        <w:t>53</w:t>
      </w:r>
      <w:r w:rsidRPr="00347697">
        <w:rPr>
          <w:rFonts w:ascii="Times New Roman" w:hAnsi="Times New Roman" w:cs="Times New Roman"/>
          <w:sz w:val="24"/>
          <w:szCs w:val="24"/>
        </w:rPr>
        <w:t>%) is observed among students who transition from Math B65 to Math B22</w:t>
      </w:r>
      <w:r w:rsidR="00EA5DE7" w:rsidRPr="00347697">
        <w:rPr>
          <w:rFonts w:ascii="Times New Roman" w:hAnsi="Times New Roman" w:cs="Times New Roman"/>
          <w:sz w:val="24"/>
          <w:szCs w:val="24"/>
        </w:rPr>
        <w:t xml:space="preserve">.  This </w:t>
      </w:r>
      <w:r w:rsidRPr="00347697">
        <w:rPr>
          <w:rFonts w:ascii="Times New Roman" w:hAnsi="Times New Roman" w:cs="Times New Roman"/>
          <w:sz w:val="24"/>
          <w:szCs w:val="24"/>
        </w:rPr>
        <w:t xml:space="preserve">is troubling given the intended role of Math B65 in preparing students for </w:t>
      </w:r>
      <w:r w:rsidR="00C16E0F" w:rsidRPr="00347697">
        <w:rPr>
          <w:rFonts w:ascii="Times New Roman" w:hAnsi="Times New Roman" w:cs="Times New Roman"/>
          <w:sz w:val="24"/>
          <w:szCs w:val="24"/>
        </w:rPr>
        <w:t xml:space="preserve">transfer-level </w:t>
      </w:r>
      <w:r w:rsidRPr="00347697">
        <w:rPr>
          <w:rFonts w:ascii="Times New Roman" w:hAnsi="Times New Roman" w:cs="Times New Roman"/>
          <w:sz w:val="24"/>
          <w:szCs w:val="24"/>
        </w:rPr>
        <w:t>statistics</w:t>
      </w:r>
      <w:r w:rsidR="00EA5DE7" w:rsidRPr="00347697">
        <w:rPr>
          <w:rFonts w:ascii="Times New Roman" w:hAnsi="Times New Roman" w:cs="Times New Roman"/>
          <w:sz w:val="24"/>
          <w:szCs w:val="24"/>
        </w:rPr>
        <w:t>,</w:t>
      </w:r>
      <w:r w:rsidRPr="00347697">
        <w:rPr>
          <w:rFonts w:ascii="Times New Roman" w:hAnsi="Times New Roman" w:cs="Times New Roman"/>
          <w:sz w:val="24"/>
          <w:szCs w:val="24"/>
        </w:rPr>
        <w:t xml:space="preserve"> but </w:t>
      </w:r>
      <w:r w:rsidR="00EA5DE7" w:rsidRPr="00347697">
        <w:rPr>
          <w:rFonts w:ascii="Times New Roman" w:hAnsi="Times New Roman" w:cs="Times New Roman"/>
          <w:sz w:val="24"/>
          <w:szCs w:val="24"/>
        </w:rPr>
        <w:t xml:space="preserve">it is </w:t>
      </w:r>
      <w:r w:rsidR="00C16E0F" w:rsidRPr="00347697">
        <w:rPr>
          <w:rFonts w:ascii="Times New Roman" w:hAnsi="Times New Roman" w:cs="Times New Roman"/>
          <w:sz w:val="24"/>
          <w:szCs w:val="24"/>
        </w:rPr>
        <w:t>un</w:t>
      </w:r>
      <w:r w:rsidRPr="00347697">
        <w:rPr>
          <w:rFonts w:ascii="Times New Roman" w:hAnsi="Times New Roman" w:cs="Times New Roman"/>
          <w:sz w:val="24"/>
          <w:szCs w:val="24"/>
        </w:rPr>
        <w:t xml:space="preserve">surprising given the low rate of first-attempt success in Math B22 for students who began in Math B65, </w:t>
      </w:r>
      <w:r w:rsidR="003B78DA">
        <w:rPr>
          <w:rFonts w:ascii="Times New Roman" w:hAnsi="Times New Roman" w:cs="Times New Roman"/>
          <w:sz w:val="24"/>
          <w:szCs w:val="24"/>
        </w:rPr>
        <w:t xml:space="preserve">as detailed </w:t>
      </w:r>
      <w:r w:rsidRPr="00347697">
        <w:rPr>
          <w:rFonts w:ascii="Times New Roman" w:hAnsi="Times New Roman" w:cs="Times New Roman"/>
          <w:sz w:val="24"/>
          <w:szCs w:val="24"/>
        </w:rPr>
        <w:t xml:space="preserve">earlier. </w:t>
      </w:r>
      <w:r w:rsidR="00494E8F" w:rsidRPr="00347697">
        <w:rPr>
          <w:rFonts w:ascii="Times New Roman" w:hAnsi="Times New Roman" w:cs="Times New Roman"/>
          <w:sz w:val="24"/>
          <w:szCs w:val="24"/>
        </w:rPr>
        <w:t xml:space="preserve"> </w:t>
      </w:r>
      <w:r w:rsidRPr="00347697">
        <w:rPr>
          <w:rFonts w:ascii="Times New Roman" w:hAnsi="Times New Roman" w:cs="Times New Roman"/>
          <w:sz w:val="24"/>
          <w:szCs w:val="24"/>
        </w:rPr>
        <w:t xml:space="preserve">A similarly low rate of attainment of transfer-level quantitative competency </w:t>
      </w:r>
      <w:r w:rsidR="00D0637C" w:rsidRPr="00347697">
        <w:rPr>
          <w:rFonts w:ascii="Times New Roman" w:hAnsi="Times New Roman" w:cs="Times New Roman"/>
          <w:sz w:val="24"/>
          <w:szCs w:val="24"/>
        </w:rPr>
        <w:t>(</w:t>
      </w:r>
      <w:r w:rsidR="003B78DA">
        <w:rPr>
          <w:rFonts w:ascii="Times New Roman" w:hAnsi="Times New Roman" w:cs="Times New Roman"/>
          <w:sz w:val="24"/>
          <w:szCs w:val="24"/>
        </w:rPr>
        <w:t>47</w:t>
      </w:r>
      <w:r w:rsidR="00D0637C" w:rsidRPr="00347697">
        <w:rPr>
          <w:rFonts w:ascii="Times New Roman" w:hAnsi="Times New Roman" w:cs="Times New Roman"/>
          <w:sz w:val="24"/>
          <w:szCs w:val="24"/>
        </w:rPr>
        <w:t xml:space="preserve">%) </w:t>
      </w:r>
      <w:r w:rsidRPr="00347697">
        <w:rPr>
          <w:rFonts w:ascii="Times New Roman" w:hAnsi="Times New Roman" w:cs="Times New Roman"/>
          <w:sz w:val="24"/>
          <w:szCs w:val="24"/>
        </w:rPr>
        <w:t xml:space="preserve">is observed among students </w:t>
      </w:r>
      <w:r w:rsidR="00494E8F" w:rsidRPr="00347697">
        <w:rPr>
          <w:rFonts w:ascii="Times New Roman" w:hAnsi="Times New Roman" w:cs="Times New Roman"/>
          <w:sz w:val="24"/>
          <w:szCs w:val="24"/>
        </w:rPr>
        <w:t>who trans</w:t>
      </w:r>
      <w:r w:rsidR="00CA3EDF">
        <w:rPr>
          <w:rFonts w:ascii="Times New Roman" w:hAnsi="Times New Roman" w:cs="Times New Roman"/>
          <w:sz w:val="24"/>
          <w:szCs w:val="24"/>
        </w:rPr>
        <w:t xml:space="preserve">ition </w:t>
      </w:r>
      <w:r w:rsidR="003B78DA">
        <w:rPr>
          <w:rFonts w:ascii="Times New Roman" w:hAnsi="Times New Roman" w:cs="Times New Roman"/>
          <w:sz w:val="24"/>
          <w:szCs w:val="24"/>
        </w:rPr>
        <w:t xml:space="preserve">to </w:t>
      </w:r>
      <w:r w:rsidR="00494E8F" w:rsidRPr="00347697">
        <w:rPr>
          <w:rFonts w:ascii="Times New Roman" w:hAnsi="Times New Roman" w:cs="Times New Roman"/>
          <w:sz w:val="24"/>
          <w:szCs w:val="24"/>
        </w:rPr>
        <w:t>LRNC B530</w:t>
      </w:r>
      <w:r w:rsidR="003B78DA">
        <w:rPr>
          <w:rFonts w:ascii="Times New Roman" w:hAnsi="Times New Roman" w:cs="Times New Roman"/>
          <w:i/>
          <w:sz w:val="24"/>
          <w:szCs w:val="24"/>
        </w:rPr>
        <w:t>s</w:t>
      </w:r>
      <w:r w:rsidR="00494E8F" w:rsidRPr="00347697">
        <w:rPr>
          <w:rFonts w:ascii="Times New Roman" w:hAnsi="Times New Roman" w:cs="Times New Roman"/>
          <w:sz w:val="24"/>
          <w:szCs w:val="24"/>
        </w:rPr>
        <w:t xml:space="preserve"> </w:t>
      </w:r>
      <w:r w:rsidR="003B78DA">
        <w:rPr>
          <w:rFonts w:ascii="Times New Roman" w:hAnsi="Times New Roman" w:cs="Times New Roman"/>
          <w:sz w:val="24"/>
          <w:szCs w:val="24"/>
        </w:rPr>
        <w:t>after completing LRNC B530</w:t>
      </w:r>
      <w:r w:rsidR="003B78DA" w:rsidRPr="0072729B">
        <w:rPr>
          <w:rFonts w:ascii="Times New Roman" w:hAnsi="Times New Roman" w:cs="Times New Roman"/>
          <w:i/>
          <w:sz w:val="24"/>
          <w:szCs w:val="24"/>
        </w:rPr>
        <w:t>f</w:t>
      </w:r>
      <w:r w:rsidR="00494E8F" w:rsidRPr="00347697">
        <w:rPr>
          <w:rFonts w:ascii="Times New Roman" w:hAnsi="Times New Roman" w:cs="Times New Roman"/>
          <w:sz w:val="24"/>
          <w:szCs w:val="24"/>
        </w:rPr>
        <w:t>, and a still lower rate (</w:t>
      </w:r>
      <w:r w:rsidR="003B78DA">
        <w:rPr>
          <w:rFonts w:ascii="Times New Roman" w:hAnsi="Times New Roman" w:cs="Times New Roman"/>
          <w:sz w:val="24"/>
          <w:szCs w:val="24"/>
        </w:rPr>
        <w:t>28</w:t>
      </w:r>
      <w:r w:rsidR="00494E8F" w:rsidRPr="00347697">
        <w:rPr>
          <w:rFonts w:ascii="Times New Roman" w:hAnsi="Times New Roman" w:cs="Times New Roman"/>
          <w:sz w:val="24"/>
          <w:szCs w:val="24"/>
        </w:rPr>
        <w:t>%) is found among students who transition from Math B60 to Math B70.</w:t>
      </w:r>
    </w:p>
    <w:p w14:paraId="18E76CC1" w14:textId="77777777" w:rsidR="00441E14" w:rsidRPr="00347697" w:rsidRDefault="00441E14" w:rsidP="00693045">
      <w:pPr>
        <w:spacing w:after="0" w:line="240" w:lineRule="auto"/>
        <w:rPr>
          <w:rFonts w:ascii="Times New Roman" w:hAnsi="Times New Roman" w:cs="Times New Roman"/>
          <w:sz w:val="24"/>
          <w:szCs w:val="24"/>
        </w:rPr>
      </w:pPr>
    </w:p>
    <w:p w14:paraId="5B86EB3B" w14:textId="5405BA4B" w:rsidR="00793CA3" w:rsidRDefault="00DD4493" w:rsidP="00793CA3">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In Table </w:t>
      </w:r>
      <w:r w:rsidR="003B78DA">
        <w:rPr>
          <w:rFonts w:ascii="Times New Roman" w:hAnsi="Times New Roman" w:cs="Times New Roman"/>
          <w:sz w:val="24"/>
          <w:szCs w:val="24"/>
        </w:rPr>
        <w:t>6</w:t>
      </w:r>
      <w:r w:rsidRPr="00347697">
        <w:rPr>
          <w:rFonts w:ascii="Times New Roman" w:hAnsi="Times New Roman" w:cs="Times New Roman"/>
          <w:sz w:val="24"/>
          <w:szCs w:val="24"/>
        </w:rPr>
        <w:t>, one observes that</w:t>
      </w:r>
      <w:r w:rsidR="00AA0620">
        <w:rPr>
          <w:rFonts w:ascii="Times New Roman" w:hAnsi="Times New Roman" w:cs="Times New Roman"/>
          <w:sz w:val="24"/>
          <w:szCs w:val="24"/>
        </w:rPr>
        <w:t>,</w:t>
      </w:r>
      <w:r w:rsidR="00AA0620" w:rsidRPr="00AA0620">
        <w:rPr>
          <w:rFonts w:ascii="Times New Roman" w:hAnsi="Times New Roman" w:cs="Times New Roman"/>
          <w:i/>
          <w:sz w:val="24"/>
          <w:szCs w:val="24"/>
        </w:rPr>
        <w:t xml:space="preserve"> </w:t>
      </w:r>
      <w:r w:rsidR="00AA0620" w:rsidRPr="00566CF1">
        <w:rPr>
          <w:rFonts w:ascii="Times New Roman" w:hAnsi="Times New Roman" w:cs="Times New Roman"/>
          <w:i/>
          <w:sz w:val="24"/>
          <w:szCs w:val="24"/>
        </w:rPr>
        <w:t>relative to their term of first enrollment in college</w:t>
      </w:r>
      <w:r w:rsidR="00AA0620">
        <w:rPr>
          <w:rFonts w:ascii="Times New Roman" w:hAnsi="Times New Roman" w:cs="Times New Roman"/>
          <w:sz w:val="24"/>
          <w:szCs w:val="24"/>
        </w:rPr>
        <w:t xml:space="preserve">, </w:t>
      </w:r>
      <w:r w:rsidRPr="00347697">
        <w:rPr>
          <w:rFonts w:ascii="Times New Roman" w:hAnsi="Times New Roman" w:cs="Times New Roman"/>
          <w:sz w:val="24"/>
          <w:szCs w:val="24"/>
        </w:rPr>
        <w:t>s</w:t>
      </w:r>
      <w:r w:rsidR="00C16E0F" w:rsidRPr="00347697">
        <w:rPr>
          <w:rFonts w:ascii="Times New Roman" w:hAnsi="Times New Roman" w:cs="Times New Roman"/>
          <w:sz w:val="24"/>
          <w:szCs w:val="24"/>
        </w:rPr>
        <w:t xml:space="preserve">tudents who begin in Math B65 </w:t>
      </w:r>
      <w:r w:rsidR="00630D9E" w:rsidRPr="00347697">
        <w:rPr>
          <w:rFonts w:ascii="Times New Roman" w:hAnsi="Times New Roman" w:cs="Times New Roman"/>
          <w:sz w:val="24"/>
          <w:szCs w:val="24"/>
        </w:rPr>
        <w:t xml:space="preserve">or Math B70 </w:t>
      </w:r>
      <w:r w:rsidR="00C16E0F" w:rsidRPr="00347697">
        <w:rPr>
          <w:rFonts w:ascii="Times New Roman" w:hAnsi="Times New Roman" w:cs="Times New Roman"/>
          <w:sz w:val="24"/>
          <w:szCs w:val="24"/>
        </w:rPr>
        <w:t xml:space="preserve">and ultimately achieve transfer-level quantitative competency </w:t>
      </w:r>
      <w:r w:rsidR="00630D9E" w:rsidRPr="00347697">
        <w:rPr>
          <w:rFonts w:ascii="Times New Roman" w:hAnsi="Times New Roman" w:cs="Times New Roman"/>
          <w:sz w:val="24"/>
          <w:szCs w:val="24"/>
        </w:rPr>
        <w:t xml:space="preserve">do so in similar </w:t>
      </w:r>
      <w:r w:rsidR="00793CA3">
        <w:rPr>
          <w:rFonts w:ascii="Times New Roman" w:hAnsi="Times New Roman" w:cs="Times New Roman"/>
          <w:sz w:val="24"/>
          <w:szCs w:val="24"/>
        </w:rPr>
        <w:t xml:space="preserve">average times (3.3 to 3.8 </w:t>
      </w:r>
      <w:r w:rsidR="00386BDD">
        <w:rPr>
          <w:rFonts w:ascii="Times New Roman" w:hAnsi="Times New Roman" w:cs="Times New Roman"/>
          <w:sz w:val="24"/>
          <w:szCs w:val="24"/>
        </w:rPr>
        <w:t>terms</w:t>
      </w:r>
      <w:r w:rsidR="00793CA3">
        <w:rPr>
          <w:rFonts w:ascii="Times New Roman" w:hAnsi="Times New Roman" w:cs="Times New Roman"/>
          <w:sz w:val="24"/>
          <w:szCs w:val="24"/>
        </w:rPr>
        <w:t>) regardless of their second course.  Average times from college entry to transfer-level competency are higher among students on the LRNC B530</w:t>
      </w:r>
      <w:r w:rsidR="00793CA3" w:rsidRPr="0072729B">
        <w:rPr>
          <w:rFonts w:ascii="Times New Roman" w:hAnsi="Times New Roman" w:cs="Times New Roman"/>
          <w:i/>
          <w:sz w:val="24"/>
          <w:szCs w:val="24"/>
        </w:rPr>
        <w:t>f</w:t>
      </w:r>
      <w:r w:rsidR="00793CA3">
        <w:rPr>
          <w:rFonts w:ascii="Times New Roman" w:hAnsi="Times New Roman" w:cs="Times New Roman"/>
          <w:sz w:val="24"/>
          <w:szCs w:val="24"/>
        </w:rPr>
        <w:t>-B530</w:t>
      </w:r>
      <w:r w:rsidR="00793CA3">
        <w:rPr>
          <w:rFonts w:ascii="Times New Roman" w:hAnsi="Times New Roman" w:cs="Times New Roman"/>
          <w:i/>
          <w:sz w:val="24"/>
          <w:szCs w:val="24"/>
        </w:rPr>
        <w:t>s</w:t>
      </w:r>
      <w:r w:rsidR="00793CA3">
        <w:rPr>
          <w:rFonts w:ascii="Times New Roman" w:hAnsi="Times New Roman" w:cs="Times New Roman"/>
          <w:sz w:val="24"/>
          <w:szCs w:val="24"/>
        </w:rPr>
        <w:t xml:space="preserve"> pathway</w:t>
      </w:r>
      <w:r w:rsidR="00386BDD">
        <w:rPr>
          <w:rFonts w:ascii="Times New Roman" w:hAnsi="Times New Roman" w:cs="Times New Roman"/>
          <w:sz w:val="24"/>
          <w:szCs w:val="24"/>
        </w:rPr>
        <w:t xml:space="preserve"> (4.2 terms)</w:t>
      </w:r>
      <w:r w:rsidR="00793CA3">
        <w:rPr>
          <w:rFonts w:ascii="Times New Roman" w:hAnsi="Times New Roman" w:cs="Times New Roman"/>
          <w:sz w:val="24"/>
          <w:szCs w:val="24"/>
        </w:rPr>
        <w:t xml:space="preserve"> </w:t>
      </w:r>
      <w:r w:rsidR="00386BDD">
        <w:rPr>
          <w:rFonts w:ascii="Times New Roman" w:hAnsi="Times New Roman" w:cs="Times New Roman"/>
          <w:sz w:val="24"/>
          <w:szCs w:val="24"/>
        </w:rPr>
        <w:t xml:space="preserve">and </w:t>
      </w:r>
      <w:r w:rsidR="00793CA3">
        <w:rPr>
          <w:rFonts w:ascii="Times New Roman" w:hAnsi="Times New Roman" w:cs="Times New Roman"/>
          <w:sz w:val="24"/>
          <w:szCs w:val="24"/>
        </w:rPr>
        <w:t>Math B60-B70 pathway</w:t>
      </w:r>
      <w:r w:rsidR="00386BDD">
        <w:rPr>
          <w:rFonts w:ascii="Times New Roman" w:hAnsi="Times New Roman" w:cs="Times New Roman"/>
          <w:sz w:val="24"/>
          <w:szCs w:val="24"/>
        </w:rPr>
        <w:t xml:space="preserve"> (5.0 terms)</w:t>
      </w:r>
      <w:r w:rsidR="00793CA3">
        <w:rPr>
          <w:rFonts w:ascii="Times New Roman" w:hAnsi="Times New Roman" w:cs="Times New Roman"/>
          <w:sz w:val="24"/>
          <w:szCs w:val="24"/>
        </w:rPr>
        <w:t xml:space="preserve">.  In the case of LRNC B530, this is not surprising because </w:t>
      </w:r>
      <w:r w:rsidR="00793CA3" w:rsidRPr="00347697">
        <w:rPr>
          <w:rFonts w:ascii="Times New Roman" w:hAnsi="Times New Roman" w:cs="Times New Roman"/>
          <w:sz w:val="24"/>
          <w:szCs w:val="24"/>
        </w:rPr>
        <w:t>students who begin with LRNC B530</w:t>
      </w:r>
      <w:r w:rsidR="00793CA3" w:rsidRPr="00171836">
        <w:rPr>
          <w:rFonts w:ascii="Times New Roman" w:hAnsi="Times New Roman" w:cs="Times New Roman"/>
          <w:i/>
          <w:sz w:val="24"/>
          <w:szCs w:val="24"/>
        </w:rPr>
        <w:t>f</w:t>
      </w:r>
      <w:r w:rsidR="00793CA3" w:rsidRPr="00347697">
        <w:rPr>
          <w:rFonts w:ascii="Times New Roman" w:hAnsi="Times New Roman" w:cs="Times New Roman"/>
          <w:sz w:val="24"/>
          <w:szCs w:val="24"/>
        </w:rPr>
        <w:t xml:space="preserve"> have longer average delays of first math than do their peers who </w:t>
      </w:r>
      <w:r w:rsidR="00793CA3">
        <w:rPr>
          <w:rFonts w:ascii="Times New Roman" w:hAnsi="Times New Roman" w:cs="Times New Roman"/>
          <w:sz w:val="24"/>
          <w:szCs w:val="24"/>
        </w:rPr>
        <w:t>enter the developmental math curriculum through other courses</w:t>
      </w:r>
      <w:r w:rsidR="008E40AF">
        <w:rPr>
          <w:rFonts w:ascii="Times New Roman" w:hAnsi="Times New Roman" w:cs="Times New Roman"/>
          <w:sz w:val="24"/>
          <w:szCs w:val="24"/>
        </w:rPr>
        <w:t xml:space="preserve"> (see Table 1)</w:t>
      </w:r>
      <w:r w:rsidR="00793CA3">
        <w:rPr>
          <w:rFonts w:ascii="Times New Roman" w:hAnsi="Times New Roman" w:cs="Times New Roman"/>
          <w:sz w:val="24"/>
          <w:szCs w:val="24"/>
        </w:rPr>
        <w:t>.</w:t>
      </w:r>
    </w:p>
    <w:p w14:paraId="565416FC" w14:textId="77777777" w:rsidR="00793CA3" w:rsidRDefault="00793CA3" w:rsidP="00693045">
      <w:pPr>
        <w:spacing w:after="0" w:line="240" w:lineRule="auto"/>
        <w:rPr>
          <w:rFonts w:ascii="Times New Roman" w:hAnsi="Times New Roman" w:cs="Times New Roman"/>
          <w:sz w:val="24"/>
          <w:szCs w:val="24"/>
        </w:rPr>
      </w:pPr>
    </w:p>
    <w:p w14:paraId="656E0D93" w14:textId="50E6ADD7" w:rsidR="00344240" w:rsidRPr="00347697" w:rsidRDefault="00793CA3" w:rsidP="00693045">
      <w:pPr>
        <w:spacing w:after="0" w:line="240" w:lineRule="auto"/>
        <w:rPr>
          <w:rFonts w:ascii="Times New Roman" w:hAnsi="Times New Roman" w:cs="Times New Roman"/>
          <w:sz w:val="24"/>
          <w:szCs w:val="24"/>
        </w:rPr>
      </w:pPr>
      <w:r w:rsidRPr="0072729B">
        <w:rPr>
          <w:rFonts w:ascii="Times New Roman" w:hAnsi="Times New Roman" w:cs="Times New Roman"/>
          <w:i/>
          <w:sz w:val="24"/>
          <w:szCs w:val="24"/>
        </w:rPr>
        <w:t>When counted from the term of first math enrollment</w:t>
      </w:r>
      <w:r w:rsidRPr="00F63247">
        <w:rPr>
          <w:rFonts w:ascii="Times New Roman" w:hAnsi="Times New Roman" w:cs="Times New Roman"/>
          <w:sz w:val="24"/>
          <w:szCs w:val="24"/>
        </w:rPr>
        <w:t xml:space="preserve">, Math B65 students have the shortest average time to transfer-level competency, </w:t>
      </w:r>
      <w:r w:rsidR="00CA24D7" w:rsidRPr="00F63247">
        <w:rPr>
          <w:rFonts w:ascii="Times New Roman" w:hAnsi="Times New Roman" w:cs="Times New Roman"/>
          <w:sz w:val="24"/>
          <w:szCs w:val="24"/>
        </w:rPr>
        <w:t xml:space="preserve">with a range of </w:t>
      </w:r>
      <w:r w:rsidR="00FA3F33" w:rsidRPr="00F63247">
        <w:rPr>
          <w:rFonts w:ascii="Times New Roman" w:hAnsi="Times New Roman" w:cs="Times New Roman"/>
          <w:sz w:val="24"/>
          <w:szCs w:val="24"/>
        </w:rPr>
        <w:t xml:space="preserve">2.2 </w:t>
      </w:r>
      <w:r w:rsidR="00CA24D7" w:rsidRPr="00F63247">
        <w:rPr>
          <w:rFonts w:ascii="Times New Roman" w:hAnsi="Times New Roman" w:cs="Times New Roman"/>
          <w:sz w:val="24"/>
          <w:szCs w:val="24"/>
        </w:rPr>
        <w:t xml:space="preserve">to </w:t>
      </w:r>
      <w:r w:rsidR="00FA3F33" w:rsidRPr="00F63247">
        <w:rPr>
          <w:rFonts w:ascii="Times New Roman" w:hAnsi="Times New Roman" w:cs="Times New Roman"/>
          <w:sz w:val="24"/>
          <w:szCs w:val="24"/>
        </w:rPr>
        <w:t>2.5</w:t>
      </w:r>
      <w:r w:rsidR="00CA24D7" w:rsidRPr="00F63247">
        <w:rPr>
          <w:rFonts w:ascii="Times New Roman" w:hAnsi="Times New Roman" w:cs="Times New Roman"/>
          <w:sz w:val="24"/>
          <w:szCs w:val="24"/>
        </w:rPr>
        <w:t xml:space="preserve"> semesters</w:t>
      </w:r>
      <w:r w:rsidRPr="00F63247">
        <w:rPr>
          <w:rFonts w:ascii="Times New Roman" w:hAnsi="Times New Roman" w:cs="Times New Roman"/>
          <w:sz w:val="24"/>
          <w:szCs w:val="24"/>
        </w:rPr>
        <w:t>.  Students who enter through LRN</w:t>
      </w:r>
      <w:r w:rsidR="008E40AF">
        <w:rPr>
          <w:rFonts w:ascii="Times New Roman" w:hAnsi="Times New Roman" w:cs="Times New Roman"/>
          <w:sz w:val="24"/>
          <w:szCs w:val="24"/>
        </w:rPr>
        <w:t>C</w:t>
      </w:r>
      <w:r w:rsidRPr="00F63247">
        <w:rPr>
          <w:rFonts w:ascii="Times New Roman" w:hAnsi="Times New Roman" w:cs="Times New Roman"/>
          <w:sz w:val="24"/>
          <w:szCs w:val="24"/>
        </w:rPr>
        <w:t xml:space="preserve"> B530</w:t>
      </w:r>
      <w:r w:rsidRPr="0072729B">
        <w:rPr>
          <w:rFonts w:ascii="Times New Roman" w:hAnsi="Times New Roman" w:cs="Times New Roman"/>
          <w:i/>
          <w:sz w:val="24"/>
          <w:szCs w:val="24"/>
        </w:rPr>
        <w:t>f</w:t>
      </w:r>
      <w:r w:rsidRPr="00F63247">
        <w:rPr>
          <w:rFonts w:ascii="Times New Roman" w:hAnsi="Times New Roman" w:cs="Times New Roman"/>
          <w:sz w:val="24"/>
          <w:szCs w:val="24"/>
        </w:rPr>
        <w:t xml:space="preserve"> or Math B70 have similar average times, ranging from 2.8 to 3.1 semesters</w:t>
      </w:r>
      <w:r w:rsidR="00CA24D7" w:rsidRPr="00F63247">
        <w:rPr>
          <w:rFonts w:ascii="Times New Roman" w:hAnsi="Times New Roman" w:cs="Times New Roman"/>
          <w:sz w:val="24"/>
          <w:szCs w:val="24"/>
        </w:rPr>
        <w:t xml:space="preserve"> from first math enrollment.  </w:t>
      </w:r>
      <w:r w:rsidR="00F63247" w:rsidRPr="0072729B">
        <w:rPr>
          <w:rFonts w:ascii="Times New Roman" w:hAnsi="Times New Roman" w:cs="Times New Roman"/>
          <w:sz w:val="24"/>
          <w:szCs w:val="24"/>
        </w:rPr>
        <w:t>These times are near or below the two semesters specified in the AB705 implementation, keeping in mind that the figures reported in Table 6 count summer terms</w:t>
      </w:r>
      <w:r w:rsidR="008E40AF">
        <w:rPr>
          <w:rFonts w:ascii="Times New Roman" w:hAnsi="Times New Roman" w:cs="Times New Roman"/>
          <w:sz w:val="24"/>
          <w:szCs w:val="24"/>
        </w:rPr>
        <w:t xml:space="preserve"> (i.e., a figure of three terms in Table 6 would indicate two regular terms)</w:t>
      </w:r>
      <w:r w:rsidR="00F63247" w:rsidRPr="0072729B">
        <w:rPr>
          <w:rFonts w:ascii="Times New Roman" w:hAnsi="Times New Roman" w:cs="Times New Roman"/>
          <w:sz w:val="24"/>
          <w:szCs w:val="24"/>
        </w:rPr>
        <w:t xml:space="preserve">.  </w:t>
      </w:r>
      <w:r w:rsidR="00C92B80">
        <w:rPr>
          <w:rFonts w:ascii="Times New Roman" w:hAnsi="Times New Roman" w:cs="Times New Roman"/>
          <w:sz w:val="24"/>
          <w:szCs w:val="24"/>
        </w:rPr>
        <w:t>On the other hand, s</w:t>
      </w:r>
      <w:r w:rsidR="00C92B80" w:rsidRPr="00F63247">
        <w:rPr>
          <w:rFonts w:ascii="Times New Roman" w:hAnsi="Times New Roman" w:cs="Times New Roman"/>
          <w:sz w:val="24"/>
          <w:szCs w:val="24"/>
        </w:rPr>
        <w:t xml:space="preserve">tudents </w:t>
      </w:r>
      <w:r w:rsidR="0000712D" w:rsidRPr="00F63247">
        <w:rPr>
          <w:rFonts w:ascii="Times New Roman" w:hAnsi="Times New Roman" w:cs="Times New Roman"/>
          <w:sz w:val="24"/>
          <w:szCs w:val="24"/>
        </w:rPr>
        <w:t xml:space="preserve">who begin with Math B60 and ultimately achieve transfer-level competency </w:t>
      </w:r>
      <w:r w:rsidR="00DD4493" w:rsidRPr="00F63247">
        <w:rPr>
          <w:rFonts w:ascii="Times New Roman" w:hAnsi="Times New Roman" w:cs="Times New Roman"/>
          <w:sz w:val="24"/>
          <w:szCs w:val="24"/>
        </w:rPr>
        <w:t>do so more slowly</w:t>
      </w:r>
      <w:r w:rsidR="00773B29" w:rsidRPr="00F63247">
        <w:rPr>
          <w:rFonts w:ascii="Times New Roman" w:hAnsi="Times New Roman" w:cs="Times New Roman"/>
          <w:sz w:val="24"/>
          <w:szCs w:val="24"/>
        </w:rPr>
        <w:t xml:space="preserve"> than students who begin with Math B65, Math B70, or LRNC B530</w:t>
      </w:r>
      <w:r w:rsidRPr="0072729B">
        <w:rPr>
          <w:rFonts w:ascii="Times New Roman" w:hAnsi="Times New Roman" w:cs="Times New Roman"/>
          <w:i/>
          <w:sz w:val="24"/>
          <w:szCs w:val="24"/>
        </w:rPr>
        <w:t>f</w:t>
      </w:r>
      <w:r w:rsidR="00DD4493" w:rsidRPr="00F63247">
        <w:rPr>
          <w:rFonts w:ascii="Times New Roman" w:hAnsi="Times New Roman" w:cs="Times New Roman"/>
          <w:sz w:val="24"/>
          <w:szCs w:val="24"/>
        </w:rPr>
        <w:t xml:space="preserve"> </w:t>
      </w:r>
      <w:r w:rsidR="0000712D" w:rsidRPr="00F63247">
        <w:rPr>
          <w:rFonts w:ascii="Times New Roman" w:hAnsi="Times New Roman" w:cs="Times New Roman"/>
          <w:sz w:val="24"/>
          <w:szCs w:val="24"/>
        </w:rPr>
        <w:t xml:space="preserve">― an average </w:t>
      </w:r>
      <w:r w:rsidRPr="00F63247">
        <w:rPr>
          <w:rFonts w:ascii="Times New Roman" w:hAnsi="Times New Roman" w:cs="Times New Roman"/>
          <w:sz w:val="24"/>
          <w:szCs w:val="24"/>
        </w:rPr>
        <w:t xml:space="preserve">of </w:t>
      </w:r>
      <w:r w:rsidR="0000712D" w:rsidRPr="00F63247">
        <w:rPr>
          <w:rFonts w:ascii="Times New Roman" w:hAnsi="Times New Roman" w:cs="Times New Roman"/>
          <w:sz w:val="24"/>
          <w:szCs w:val="24"/>
        </w:rPr>
        <w:t>4.</w:t>
      </w:r>
      <w:r w:rsidRPr="00F63247">
        <w:rPr>
          <w:rFonts w:ascii="Times New Roman" w:hAnsi="Times New Roman" w:cs="Times New Roman"/>
          <w:sz w:val="24"/>
          <w:szCs w:val="24"/>
        </w:rPr>
        <w:t xml:space="preserve">2 </w:t>
      </w:r>
      <w:r w:rsidR="0000712D" w:rsidRPr="00F63247">
        <w:rPr>
          <w:rFonts w:ascii="Times New Roman" w:hAnsi="Times New Roman" w:cs="Times New Roman"/>
          <w:sz w:val="24"/>
          <w:szCs w:val="24"/>
        </w:rPr>
        <w:t>terms after first math.</w:t>
      </w:r>
      <w:r w:rsidR="00C16E0F" w:rsidRPr="00347697">
        <w:rPr>
          <w:rFonts w:ascii="Times New Roman" w:hAnsi="Times New Roman" w:cs="Times New Roman"/>
          <w:sz w:val="24"/>
          <w:szCs w:val="24"/>
        </w:rPr>
        <w:t xml:space="preserve"> </w:t>
      </w:r>
    </w:p>
    <w:p w14:paraId="73D36FF4" w14:textId="77777777" w:rsidR="00EA5DE7" w:rsidRPr="00347697" w:rsidRDefault="00EA5DE7" w:rsidP="00693045">
      <w:pPr>
        <w:spacing w:after="0" w:line="240" w:lineRule="auto"/>
        <w:rPr>
          <w:rFonts w:ascii="Times New Roman" w:hAnsi="Times New Roman" w:cs="Times New Roman"/>
          <w:sz w:val="24"/>
          <w:szCs w:val="24"/>
        </w:rPr>
      </w:pPr>
    </w:p>
    <w:p w14:paraId="4DA3550B" w14:textId="0A2B4B61" w:rsidR="00693045" w:rsidRPr="00347697" w:rsidRDefault="00693045" w:rsidP="00693045">
      <w:pPr>
        <w:spacing w:after="0" w:line="240" w:lineRule="auto"/>
        <w:rPr>
          <w:rFonts w:ascii="Times New Roman" w:hAnsi="Times New Roman" w:cs="Times New Roman"/>
          <w:sz w:val="24"/>
          <w:szCs w:val="24"/>
          <w:u w:val="single"/>
        </w:rPr>
      </w:pPr>
      <w:r w:rsidRPr="00347697">
        <w:rPr>
          <w:rFonts w:ascii="Times New Roman" w:hAnsi="Times New Roman" w:cs="Times New Roman"/>
          <w:sz w:val="24"/>
          <w:szCs w:val="24"/>
          <w:u w:val="single"/>
        </w:rPr>
        <w:lastRenderedPageBreak/>
        <w:t xml:space="preserve">Students who </w:t>
      </w:r>
      <w:r w:rsidR="00734493" w:rsidRPr="00347697">
        <w:rPr>
          <w:rFonts w:ascii="Times New Roman" w:hAnsi="Times New Roman" w:cs="Times New Roman"/>
          <w:sz w:val="24"/>
          <w:szCs w:val="24"/>
          <w:u w:val="single"/>
        </w:rPr>
        <w:t>are</w:t>
      </w:r>
      <w:r w:rsidRPr="00347697">
        <w:rPr>
          <w:rFonts w:ascii="Times New Roman" w:hAnsi="Times New Roman" w:cs="Times New Roman"/>
          <w:sz w:val="24"/>
          <w:szCs w:val="24"/>
          <w:u w:val="single"/>
        </w:rPr>
        <w:t xml:space="preserve"> Unsuccessful in their First Math Course</w:t>
      </w:r>
    </w:p>
    <w:p w14:paraId="51DE8EC5" w14:textId="624D236E" w:rsidR="00693045" w:rsidRPr="00347697" w:rsidRDefault="00693045" w:rsidP="00347697">
      <w:pPr>
        <w:spacing w:after="0" w:line="240" w:lineRule="auto"/>
        <w:rPr>
          <w:rFonts w:ascii="Times New Roman" w:hAnsi="Times New Roman" w:cs="Times New Roman"/>
          <w:sz w:val="24"/>
          <w:szCs w:val="24"/>
        </w:rPr>
      </w:pPr>
    </w:p>
    <w:p w14:paraId="7EC5A2A0" w14:textId="680D976A" w:rsidR="00F903A5" w:rsidRPr="00347697" w:rsidRDefault="00F903A5"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Transfer-seeking students </w:t>
      </w:r>
      <w:r w:rsidR="003D43F5">
        <w:rPr>
          <w:rFonts w:ascii="Times New Roman" w:hAnsi="Times New Roman" w:cs="Times New Roman"/>
          <w:sz w:val="24"/>
          <w:szCs w:val="24"/>
        </w:rPr>
        <w:t>in the focal pathways</w:t>
      </w:r>
      <w:r w:rsidR="003D43F5" w:rsidRPr="00347697">
        <w:rPr>
          <w:rFonts w:ascii="Times New Roman" w:hAnsi="Times New Roman" w:cs="Times New Roman"/>
          <w:sz w:val="24"/>
          <w:szCs w:val="24"/>
        </w:rPr>
        <w:t xml:space="preserve"> </w:t>
      </w:r>
      <w:r w:rsidRPr="00347697">
        <w:rPr>
          <w:rFonts w:ascii="Times New Roman" w:hAnsi="Times New Roman" w:cs="Times New Roman"/>
          <w:sz w:val="24"/>
          <w:szCs w:val="24"/>
        </w:rPr>
        <w:t xml:space="preserve">who do not succeed in the first attempt of their first math course are at great risk of not achieving transfer-level quantitative competency.  As noted earlier, </w:t>
      </w:r>
      <w:r w:rsidR="00BB2491">
        <w:rPr>
          <w:rFonts w:ascii="Times New Roman" w:hAnsi="Times New Roman" w:cs="Times New Roman"/>
          <w:sz w:val="24"/>
          <w:szCs w:val="24"/>
        </w:rPr>
        <w:t>three-fifths</w:t>
      </w:r>
      <w:r w:rsidR="003D43F5">
        <w:rPr>
          <w:rFonts w:ascii="Times New Roman" w:hAnsi="Times New Roman" w:cs="Times New Roman"/>
          <w:sz w:val="24"/>
          <w:szCs w:val="24"/>
        </w:rPr>
        <w:t xml:space="preserve"> (61%)</w:t>
      </w:r>
      <w:r w:rsidR="00BB2491">
        <w:rPr>
          <w:rFonts w:ascii="Times New Roman" w:hAnsi="Times New Roman" w:cs="Times New Roman"/>
          <w:sz w:val="24"/>
          <w:szCs w:val="24"/>
        </w:rPr>
        <w:t xml:space="preserve"> </w:t>
      </w:r>
      <w:r w:rsidRPr="00347697">
        <w:rPr>
          <w:rFonts w:ascii="Times New Roman" w:hAnsi="Times New Roman" w:cs="Times New Roman"/>
          <w:sz w:val="24"/>
          <w:szCs w:val="24"/>
        </w:rPr>
        <w:t xml:space="preserve">of these students do not attempt a second math course.  Those who do attempt a second math course have a likelihood of success that typically is </w:t>
      </w:r>
      <w:r w:rsidR="00BB2491">
        <w:rPr>
          <w:rFonts w:ascii="Times New Roman" w:hAnsi="Times New Roman" w:cs="Times New Roman"/>
          <w:sz w:val="24"/>
          <w:szCs w:val="24"/>
        </w:rPr>
        <w:t>similar</w:t>
      </w:r>
      <w:r w:rsidR="00BB2491" w:rsidRPr="00347697">
        <w:rPr>
          <w:rFonts w:ascii="Times New Roman" w:hAnsi="Times New Roman" w:cs="Times New Roman"/>
          <w:sz w:val="24"/>
          <w:szCs w:val="24"/>
        </w:rPr>
        <w:t xml:space="preserve"> </w:t>
      </w:r>
      <w:r w:rsidR="00BB2491">
        <w:rPr>
          <w:rFonts w:ascii="Times New Roman" w:hAnsi="Times New Roman" w:cs="Times New Roman"/>
          <w:sz w:val="24"/>
          <w:szCs w:val="24"/>
        </w:rPr>
        <w:t xml:space="preserve">to </w:t>
      </w:r>
      <w:r w:rsidRPr="00347697">
        <w:rPr>
          <w:rFonts w:ascii="Times New Roman" w:hAnsi="Times New Roman" w:cs="Times New Roman"/>
          <w:sz w:val="24"/>
          <w:szCs w:val="24"/>
        </w:rPr>
        <w:t>the likelihood of success experienced by students taking the course for the first time.</w:t>
      </w:r>
      <w:r w:rsidR="00BB2491">
        <w:rPr>
          <w:rFonts w:ascii="Times New Roman" w:hAnsi="Times New Roman" w:cs="Times New Roman"/>
          <w:sz w:val="24"/>
          <w:szCs w:val="24"/>
        </w:rPr>
        <w:t xml:space="preserve">  For example, students attempt</w:t>
      </w:r>
      <w:r w:rsidR="00AC012C">
        <w:rPr>
          <w:rFonts w:ascii="Times New Roman" w:hAnsi="Times New Roman" w:cs="Times New Roman"/>
          <w:sz w:val="24"/>
          <w:szCs w:val="24"/>
        </w:rPr>
        <w:t>ing</w:t>
      </w:r>
      <w:r w:rsidR="00BB2491">
        <w:rPr>
          <w:rFonts w:ascii="Times New Roman" w:hAnsi="Times New Roman" w:cs="Times New Roman"/>
          <w:sz w:val="24"/>
          <w:szCs w:val="24"/>
        </w:rPr>
        <w:t xml:space="preserve"> Math B60 for the first time have a 54% rate of first-attempt success</w:t>
      </w:r>
      <w:r w:rsidR="00AC012C">
        <w:rPr>
          <w:rFonts w:ascii="Times New Roman" w:hAnsi="Times New Roman" w:cs="Times New Roman"/>
          <w:sz w:val="24"/>
          <w:szCs w:val="24"/>
        </w:rPr>
        <w:t xml:space="preserve"> (Table 1)</w:t>
      </w:r>
      <w:r w:rsidR="00BB2491">
        <w:rPr>
          <w:rFonts w:ascii="Times New Roman" w:hAnsi="Times New Roman" w:cs="Times New Roman"/>
          <w:sz w:val="24"/>
          <w:szCs w:val="24"/>
        </w:rPr>
        <w:t>, and those repeating the course a second time have a 58% rate of success (Table 5).</w:t>
      </w:r>
      <w:r w:rsidR="00AC012C">
        <w:rPr>
          <w:rFonts w:ascii="Times New Roman" w:hAnsi="Times New Roman" w:cs="Times New Roman"/>
          <w:sz w:val="24"/>
          <w:szCs w:val="24"/>
        </w:rPr>
        <w:t xml:space="preserve">  </w:t>
      </w:r>
      <w:r w:rsidR="00BB2491">
        <w:rPr>
          <w:rFonts w:ascii="Times New Roman" w:hAnsi="Times New Roman" w:cs="Times New Roman"/>
          <w:sz w:val="24"/>
          <w:szCs w:val="24"/>
        </w:rPr>
        <w:t>The parallel numbers for Math B70 are 53% and 50%</w:t>
      </w:r>
      <w:r w:rsidR="00EA5D89">
        <w:rPr>
          <w:rFonts w:ascii="Times New Roman" w:hAnsi="Times New Roman" w:cs="Times New Roman"/>
          <w:sz w:val="24"/>
          <w:szCs w:val="24"/>
        </w:rPr>
        <w:t>, respectively</w:t>
      </w:r>
      <w:r w:rsidR="00BB2491">
        <w:rPr>
          <w:rFonts w:ascii="Times New Roman" w:hAnsi="Times New Roman" w:cs="Times New Roman"/>
          <w:sz w:val="24"/>
          <w:szCs w:val="24"/>
        </w:rPr>
        <w:t>.</w:t>
      </w:r>
    </w:p>
    <w:p w14:paraId="7EFCD32A" w14:textId="77777777" w:rsidR="00F903A5" w:rsidRPr="00347697" w:rsidRDefault="00F903A5" w:rsidP="00347697">
      <w:pPr>
        <w:spacing w:after="0" w:line="240" w:lineRule="auto"/>
        <w:rPr>
          <w:rFonts w:ascii="Times New Roman" w:hAnsi="Times New Roman" w:cs="Times New Roman"/>
          <w:sz w:val="24"/>
          <w:szCs w:val="24"/>
        </w:rPr>
      </w:pPr>
    </w:p>
    <w:p w14:paraId="5F92884D" w14:textId="552D5281" w:rsidR="00D5541E" w:rsidRPr="00347697" w:rsidRDefault="00EA5D89">
      <w:pPr>
        <w:spacing w:after="0" w:line="240" w:lineRule="auto"/>
        <w:rPr>
          <w:rFonts w:ascii="Times New Roman" w:hAnsi="Times New Roman" w:cs="Times New Roman"/>
          <w:sz w:val="24"/>
          <w:szCs w:val="24"/>
        </w:rPr>
      </w:pPr>
      <w:r>
        <w:rPr>
          <w:rFonts w:ascii="Times New Roman" w:hAnsi="Times New Roman" w:cs="Times New Roman"/>
          <w:sz w:val="24"/>
          <w:szCs w:val="24"/>
        </w:rPr>
        <w:t>Not surprisingly then</w:t>
      </w:r>
      <w:r w:rsidR="00325311">
        <w:rPr>
          <w:rFonts w:ascii="Times New Roman" w:hAnsi="Times New Roman" w:cs="Times New Roman"/>
          <w:sz w:val="24"/>
          <w:szCs w:val="24"/>
        </w:rPr>
        <w:t xml:space="preserve">, few students who repeat a math course achieve transfer-level competency.  One-in-six students (17%) who repeat Math B70 achieve transfer-level competency, </w:t>
      </w:r>
      <w:r>
        <w:rPr>
          <w:rFonts w:ascii="Times New Roman" w:hAnsi="Times New Roman" w:cs="Times New Roman"/>
          <w:sz w:val="24"/>
          <w:szCs w:val="24"/>
        </w:rPr>
        <w:t xml:space="preserve">and </w:t>
      </w:r>
      <w:r w:rsidR="00325311">
        <w:rPr>
          <w:rFonts w:ascii="Times New Roman" w:hAnsi="Times New Roman" w:cs="Times New Roman"/>
          <w:sz w:val="24"/>
          <w:szCs w:val="24"/>
        </w:rPr>
        <w:t xml:space="preserve">just over one-in-twenty students (6%) who repeat Math B60 do so.  </w:t>
      </w:r>
    </w:p>
    <w:p w14:paraId="343C2478" w14:textId="04F4D932" w:rsidR="00E27E29" w:rsidRPr="00347697" w:rsidRDefault="00E27E29" w:rsidP="00347697">
      <w:pPr>
        <w:spacing w:after="0" w:line="240" w:lineRule="auto"/>
        <w:rPr>
          <w:rFonts w:ascii="Times New Roman" w:hAnsi="Times New Roman" w:cs="Times New Roman"/>
          <w:sz w:val="24"/>
          <w:szCs w:val="24"/>
        </w:rPr>
      </w:pPr>
    </w:p>
    <w:p w14:paraId="19B6D3C3" w14:textId="345E621D" w:rsidR="00B756C0" w:rsidRPr="00347697" w:rsidRDefault="00C13116" w:rsidP="00B756C0">
      <w:pPr>
        <w:spacing w:after="0" w:line="240" w:lineRule="auto"/>
        <w:rPr>
          <w:rFonts w:ascii="Times New Roman" w:hAnsi="Times New Roman" w:cs="Times New Roman"/>
          <w:b/>
          <w:sz w:val="24"/>
          <w:szCs w:val="24"/>
        </w:rPr>
      </w:pPr>
      <w:r w:rsidRPr="00347697">
        <w:rPr>
          <w:rFonts w:ascii="Times New Roman" w:hAnsi="Times New Roman" w:cs="Times New Roman"/>
          <w:b/>
          <w:sz w:val="24"/>
          <w:szCs w:val="24"/>
        </w:rPr>
        <w:t>5</w:t>
      </w:r>
      <w:r w:rsidR="004F61FA" w:rsidRPr="00347697">
        <w:rPr>
          <w:rFonts w:ascii="Times New Roman" w:hAnsi="Times New Roman" w:cs="Times New Roman"/>
          <w:b/>
          <w:sz w:val="24"/>
          <w:szCs w:val="24"/>
        </w:rPr>
        <w:t>.</w:t>
      </w:r>
      <w:r w:rsidR="00C43974" w:rsidRPr="00347697">
        <w:rPr>
          <w:rFonts w:ascii="Times New Roman" w:hAnsi="Times New Roman" w:cs="Times New Roman"/>
          <w:b/>
          <w:sz w:val="24"/>
          <w:szCs w:val="24"/>
        </w:rPr>
        <w:t>5</w:t>
      </w:r>
      <w:r w:rsidR="00B756C0" w:rsidRPr="00347697">
        <w:rPr>
          <w:rFonts w:ascii="Times New Roman" w:hAnsi="Times New Roman" w:cs="Times New Roman"/>
          <w:b/>
          <w:sz w:val="24"/>
          <w:szCs w:val="24"/>
        </w:rPr>
        <w:t xml:space="preserve"> </w:t>
      </w:r>
      <w:r w:rsidR="002A1348" w:rsidRPr="00347697">
        <w:rPr>
          <w:rFonts w:ascii="Times New Roman" w:hAnsi="Times New Roman" w:cs="Times New Roman"/>
          <w:b/>
          <w:sz w:val="24"/>
          <w:szCs w:val="24"/>
        </w:rPr>
        <w:t>Continuing into a Third Math Course</w:t>
      </w:r>
    </w:p>
    <w:p w14:paraId="15E6B064" w14:textId="77777777" w:rsidR="00B756C0" w:rsidRPr="00347697" w:rsidRDefault="00B756C0" w:rsidP="00B756C0">
      <w:pPr>
        <w:spacing w:after="0" w:line="240" w:lineRule="auto"/>
        <w:rPr>
          <w:rFonts w:ascii="Times New Roman" w:hAnsi="Times New Roman" w:cs="Times New Roman"/>
          <w:sz w:val="24"/>
          <w:szCs w:val="24"/>
        </w:rPr>
      </w:pPr>
    </w:p>
    <w:p w14:paraId="1A055A00" w14:textId="77777777" w:rsidR="002A1348" w:rsidRPr="00347697" w:rsidRDefault="002A1348"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u w:val="single"/>
        </w:rPr>
        <w:t>Questions</w:t>
      </w:r>
    </w:p>
    <w:p w14:paraId="362FC75C" w14:textId="77777777" w:rsidR="002A1348" w:rsidRPr="00347697" w:rsidRDefault="002A1348" w:rsidP="00347697">
      <w:pPr>
        <w:spacing w:after="0" w:line="240" w:lineRule="auto"/>
        <w:rPr>
          <w:rFonts w:ascii="Times New Roman" w:hAnsi="Times New Roman" w:cs="Times New Roman"/>
          <w:sz w:val="24"/>
          <w:szCs w:val="24"/>
        </w:rPr>
      </w:pPr>
    </w:p>
    <w:p w14:paraId="28BE048B" w14:textId="5421159C" w:rsidR="002A1348" w:rsidRPr="00347697" w:rsidRDefault="002A1348"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This section seeks to address the following questions.  </w:t>
      </w:r>
      <w:r w:rsidR="00BF0634" w:rsidRPr="00347697">
        <w:rPr>
          <w:rFonts w:ascii="Times New Roman" w:hAnsi="Times New Roman" w:cs="Times New Roman"/>
          <w:sz w:val="24"/>
          <w:szCs w:val="24"/>
        </w:rPr>
        <w:t>For a g</w:t>
      </w:r>
      <w:r w:rsidRPr="00347697">
        <w:rPr>
          <w:rFonts w:ascii="Times New Roman" w:hAnsi="Times New Roman" w:cs="Times New Roman"/>
          <w:sz w:val="24"/>
          <w:szCs w:val="24"/>
        </w:rPr>
        <w:t xml:space="preserve">iven group of students in a particular </w:t>
      </w:r>
      <w:r w:rsidR="0064567D">
        <w:rPr>
          <w:rFonts w:ascii="Times New Roman" w:hAnsi="Times New Roman" w:cs="Times New Roman"/>
          <w:sz w:val="24"/>
          <w:szCs w:val="24"/>
        </w:rPr>
        <w:t xml:space="preserve">common </w:t>
      </w:r>
      <w:r w:rsidRPr="00347697">
        <w:rPr>
          <w:rFonts w:ascii="Times New Roman" w:hAnsi="Times New Roman" w:cs="Times New Roman"/>
          <w:sz w:val="24"/>
          <w:szCs w:val="24"/>
        </w:rPr>
        <w:t xml:space="preserve">math pathway </w:t>
      </w:r>
      <w:r w:rsidR="0056643A" w:rsidRPr="00347697">
        <w:rPr>
          <w:rFonts w:ascii="Times New Roman" w:hAnsi="Times New Roman" w:cs="Times New Roman"/>
          <w:sz w:val="24"/>
          <w:szCs w:val="24"/>
        </w:rPr>
        <w:t xml:space="preserve">who achieved a particular outcome in their second </w:t>
      </w:r>
      <w:r w:rsidR="009A2706" w:rsidRPr="00347697">
        <w:rPr>
          <w:rFonts w:ascii="Times New Roman" w:hAnsi="Times New Roman" w:cs="Times New Roman"/>
          <w:sz w:val="24"/>
          <w:szCs w:val="24"/>
        </w:rPr>
        <w:t xml:space="preserve">quantitative </w:t>
      </w:r>
      <w:r w:rsidR="0056643A" w:rsidRPr="00347697">
        <w:rPr>
          <w:rFonts w:ascii="Times New Roman" w:hAnsi="Times New Roman" w:cs="Times New Roman"/>
          <w:sz w:val="24"/>
          <w:szCs w:val="24"/>
        </w:rPr>
        <w:t>course:</w:t>
      </w:r>
    </w:p>
    <w:p w14:paraId="385E466B" w14:textId="2A380D0D" w:rsidR="00813AAC" w:rsidRPr="00347697" w:rsidRDefault="00BB14D3" w:rsidP="00EF6CD7">
      <w:pPr>
        <w:pStyle w:val="ListParagraph"/>
        <w:numPr>
          <w:ilvl w:val="1"/>
          <w:numId w:val="7"/>
        </w:numPr>
        <w:spacing w:after="0" w:line="240" w:lineRule="auto"/>
        <w:ind w:left="720"/>
        <w:rPr>
          <w:rFonts w:ascii="Times New Roman" w:hAnsi="Times New Roman" w:cs="Times New Roman"/>
          <w:sz w:val="24"/>
          <w:szCs w:val="24"/>
        </w:rPr>
      </w:pPr>
      <w:r w:rsidRPr="00347697">
        <w:rPr>
          <w:rFonts w:ascii="Times New Roman" w:hAnsi="Times New Roman" w:cs="Times New Roman"/>
          <w:sz w:val="24"/>
          <w:szCs w:val="24"/>
        </w:rPr>
        <w:t xml:space="preserve">How </w:t>
      </w:r>
      <w:r w:rsidR="00813AAC" w:rsidRPr="00347697">
        <w:rPr>
          <w:rFonts w:ascii="Times New Roman" w:hAnsi="Times New Roman" w:cs="Times New Roman"/>
          <w:sz w:val="24"/>
          <w:szCs w:val="24"/>
        </w:rPr>
        <w:t xml:space="preserve">likely are </w:t>
      </w:r>
      <w:r w:rsidR="00125354" w:rsidRPr="00347697">
        <w:rPr>
          <w:rFonts w:ascii="Times New Roman" w:hAnsi="Times New Roman" w:cs="Times New Roman"/>
          <w:sz w:val="24"/>
          <w:szCs w:val="24"/>
        </w:rPr>
        <w:t xml:space="preserve">the </w:t>
      </w:r>
      <w:r w:rsidRPr="00347697">
        <w:rPr>
          <w:rFonts w:ascii="Times New Roman" w:hAnsi="Times New Roman" w:cs="Times New Roman"/>
          <w:sz w:val="24"/>
          <w:szCs w:val="24"/>
        </w:rPr>
        <w:t>students</w:t>
      </w:r>
      <w:r w:rsidR="00813AAC" w:rsidRPr="00347697">
        <w:rPr>
          <w:rFonts w:ascii="Times New Roman" w:hAnsi="Times New Roman" w:cs="Times New Roman"/>
          <w:sz w:val="24"/>
          <w:szCs w:val="24"/>
        </w:rPr>
        <w:t xml:space="preserve"> to attempt a third </w:t>
      </w:r>
      <w:r w:rsidR="009A2706" w:rsidRPr="00347697">
        <w:rPr>
          <w:rFonts w:ascii="Times New Roman" w:hAnsi="Times New Roman" w:cs="Times New Roman"/>
          <w:sz w:val="24"/>
          <w:szCs w:val="24"/>
        </w:rPr>
        <w:t>quantitative</w:t>
      </w:r>
      <w:r w:rsidR="009A2706" w:rsidRPr="00347697" w:rsidDel="009A2706">
        <w:rPr>
          <w:rFonts w:ascii="Times New Roman" w:hAnsi="Times New Roman" w:cs="Times New Roman"/>
          <w:sz w:val="24"/>
          <w:szCs w:val="24"/>
        </w:rPr>
        <w:t xml:space="preserve"> </w:t>
      </w:r>
      <w:r w:rsidR="00813AAC" w:rsidRPr="00347697">
        <w:rPr>
          <w:rFonts w:ascii="Times New Roman" w:hAnsi="Times New Roman" w:cs="Times New Roman"/>
          <w:sz w:val="24"/>
          <w:szCs w:val="24"/>
        </w:rPr>
        <w:t>course?</w:t>
      </w:r>
    </w:p>
    <w:p w14:paraId="52BD151C" w14:textId="43596E7C" w:rsidR="00813AAC" w:rsidRPr="00347697" w:rsidRDefault="00813AAC" w:rsidP="00EF6CD7">
      <w:pPr>
        <w:pStyle w:val="ListParagraph"/>
        <w:numPr>
          <w:ilvl w:val="1"/>
          <w:numId w:val="7"/>
        </w:numPr>
        <w:spacing w:after="0" w:line="240" w:lineRule="auto"/>
        <w:ind w:left="720"/>
        <w:rPr>
          <w:rFonts w:ascii="Times New Roman" w:hAnsi="Times New Roman" w:cs="Times New Roman"/>
          <w:sz w:val="24"/>
          <w:szCs w:val="24"/>
        </w:rPr>
      </w:pPr>
      <w:r w:rsidRPr="00347697">
        <w:rPr>
          <w:rFonts w:ascii="Times New Roman" w:hAnsi="Times New Roman" w:cs="Times New Roman"/>
          <w:sz w:val="24"/>
          <w:szCs w:val="24"/>
        </w:rPr>
        <w:t>What are the most common third courses?</w:t>
      </w:r>
    </w:p>
    <w:p w14:paraId="5E5A2672" w14:textId="3B523BB5" w:rsidR="00BB14D3" w:rsidRPr="00347697" w:rsidRDefault="00721E4B" w:rsidP="00EF6CD7">
      <w:pPr>
        <w:pStyle w:val="ListParagraph"/>
        <w:numPr>
          <w:ilvl w:val="1"/>
          <w:numId w:val="7"/>
        </w:numPr>
        <w:spacing w:after="0" w:line="240" w:lineRule="auto"/>
        <w:ind w:left="720"/>
        <w:rPr>
          <w:rFonts w:ascii="Times New Roman" w:hAnsi="Times New Roman" w:cs="Times New Roman"/>
          <w:sz w:val="24"/>
          <w:szCs w:val="24"/>
        </w:rPr>
      </w:pPr>
      <w:r w:rsidRPr="00347697">
        <w:rPr>
          <w:rFonts w:ascii="Times New Roman" w:hAnsi="Times New Roman" w:cs="Times New Roman"/>
          <w:sz w:val="24"/>
          <w:szCs w:val="24"/>
        </w:rPr>
        <w:t xml:space="preserve">How likely are the students to attempt </w:t>
      </w:r>
      <w:r w:rsidR="006F4800" w:rsidRPr="00347697">
        <w:rPr>
          <w:rFonts w:ascii="Times New Roman" w:hAnsi="Times New Roman" w:cs="Times New Roman"/>
          <w:sz w:val="24"/>
          <w:szCs w:val="24"/>
        </w:rPr>
        <w:t xml:space="preserve">a </w:t>
      </w:r>
      <w:r w:rsidR="00813AAC" w:rsidRPr="00347697">
        <w:rPr>
          <w:rFonts w:ascii="Times New Roman" w:hAnsi="Times New Roman" w:cs="Times New Roman"/>
          <w:sz w:val="24"/>
          <w:szCs w:val="24"/>
        </w:rPr>
        <w:t xml:space="preserve">STEM-oriented math </w:t>
      </w:r>
      <w:r w:rsidR="006F4800" w:rsidRPr="00347697">
        <w:rPr>
          <w:rFonts w:ascii="Times New Roman" w:hAnsi="Times New Roman" w:cs="Times New Roman"/>
          <w:sz w:val="24"/>
          <w:szCs w:val="24"/>
        </w:rPr>
        <w:t xml:space="preserve">course </w:t>
      </w:r>
      <w:r w:rsidR="004D169C" w:rsidRPr="00347697">
        <w:rPr>
          <w:rFonts w:ascii="Times New Roman" w:hAnsi="Times New Roman" w:cs="Times New Roman"/>
          <w:sz w:val="24"/>
          <w:szCs w:val="24"/>
        </w:rPr>
        <w:t>(</w:t>
      </w:r>
      <w:r w:rsidRPr="00347697">
        <w:rPr>
          <w:rFonts w:ascii="Times New Roman" w:hAnsi="Times New Roman" w:cs="Times New Roman"/>
          <w:sz w:val="24"/>
          <w:szCs w:val="24"/>
        </w:rPr>
        <w:t xml:space="preserve">e.g., </w:t>
      </w:r>
      <w:r w:rsidR="0034557E" w:rsidRPr="00347697">
        <w:rPr>
          <w:rFonts w:ascii="Times New Roman" w:hAnsi="Times New Roman" w:cs="Times New Roman"/>
          <w:sz w:val="24"/>
          <w:szCs w:val="24"/>
        </w:rPr>
        <w:t>P</w:t>
      </w:r>
      <w:r w:rsidR="00163AC5" w:rsidRPr="00347697">
        <w:rPr>
          <w:rFonts w:ascii="Times New Roman" w:hAnsi="Times New Roman" w:cs="Times New Roman"/>
          <w:sz w:val="24"/>
          <w:szCs w:val="24"/>
        </w:rPr>
        <w:t>re-</w:t>
      </w:r>
      <w:r w:rsidR="0034557E" w:rsidRPr="00347697">
        <w:rPr>
          <w:rFonts w:ascii="Times New Roman" w:hAnsi="Times New Roman" w:cs="Times New Roman"/>
          <w:sz w:val="24"/>
          <w:szCs w:val="24"/>
        </w:rPr>
        <w:t>Calculus)</w:t>
      </w:r>
      <w:r w:rsidR="00163AC5" w:rsidRPr="00347697">
        <w:rPr>
          <w:rFonts w:ascii="Times New Roman" w:hAnsi="Times New Roman" w:cs="Times New Roman"/>
          <w:sz w:val="24"/>
          <w:szCs w:val="24"/>
        </w:rPr>
        <w:t>?</w:t>
      </w:r>
    </w:p>
    <w:p w14:paraId="1263CCDC" w14:textId="77777777" w:rsidR="00B756C0" w:rsidRPr="00347697" w:rsidRDefault="00B756C0" w:rsidP="00347697">
      <w:pPr>
        <w:spacing w:after="0" w:line="240" w:lineRule="auto"/>
        <w:rPr>
          <w:rFonts w:ascii="Times New Roman" w:hAnsi="Times New Roman" w:cs="Times New Roman"/>
          <w:sz w:val="24"/>
          <w:szCs w:val="24"/>
        </w:rPr>
      </w:pPr>
    </w:p>
    <w:p w14:paraId="0D341EBD" w14:textId="588F7629" w:rsidR="00242E9E" w:rsidRPr="00347697" w:rsidRDefault="00242E9E"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Table </w:t>
      </w:r>
      <w:r w:rsidR="00BD24D9">
        <w:rPr>
          <w:rFonts w:ascii="Times New Roman" w:hAnsi="Times New Roman" w:cs="Times New Roman"/>
          <w:sz w:val="24"/>
          <w:szCs w:val="24"/>
        </w:rPr>
        <w:t>7</w:t>
      </w:r>
      <w:r w:rsidRPr="00347697">
        <w:rPr>
          <w:rFonts w:ascii="Times New Roman" w:hAnsi="Times New Roman" w:cs="Times New Roman"/>
          <w:sz w:val="24"/>
          <w:szCs w:val="24"/>
        </w:rPr>
        <w:t xml:space="preserve"> presents the distribution of </w:t>
      </w:r>
      <w:r w:rsidRPr="0072729B">
        <w:rPr>
          <w:rFonts w:ascii="Times New Roman" w:hAnsi="Times New Roman" w:cs="Times New Roman"/>
          <w:i/>
          <w:sz w:val="24"/>
          <w:szCs w:val="24"/>
        </w:rPr>
        <w:t>third</w:t>
      </w:r>
      <w:r w:rsidRPr="00347697">
        <w:rPr>
          <w:rFonts w:ascii="Times New Roman" w:hAnsi="Times New Roman" w:cs="Times New Roman"/>
          <w:sz w:val="24"/>
          <w:szCs w:val="24"/>
        </w:rPr>
        <w:t xml:space="preserve"> </w:t>
      </w:r>
      <w:r w:rsidR="00740320" w:rsidRPr="00347697">
        <w:rPr>
          <w:rFonts w:ascii="Times New Roman" w:hAnsi="Times New Roman" w:cs="Times New Roman"/>
          <w:sz w:val="24"/>
          <w:szCs w:val="24"/>
        </w:rPr>
        <w:t xml:space="preserve">quantitative </w:t>
      </w:r>
      <w:r w:rsidRPr="00347697">
        <w:rPr>
          <w:rFonts w:ascii="Times New Roman" w:hAnsi="Times New Roman" w:cs="Times New Roman"/>
          <w:sz w:val="24"/>
          <w:szCs w:val="24"/>
        </w:rPr>
        <w:t xml:space="preserve">course, if any, by math pathway </w:t>
      </w:r>
      <w:r w:rsidR="00325311">
        <w:rPr>
          <w:rFonts w:ascii="Times New Roman" w:hAnsi="Times New Roman" w:cs="Times New Roman"/>
          <w:sz w:val="24"/>
          <w:szCs w:val="24"/>
        </w:rPr>
        <w:t xml:space="preserve">and outcome in the </w:t>
      </w:r>
      <w:r w:rsidRPr="00347697">
        <w:rPr>
          <w:rFonts w:ascii="Times New Roman" w:hAnsi="Times New Roman" w:cs="Times New Roman"/>
          <w:i/>
          <w:sz w:val="24"/>
          <w:szCs w:val="24"/>
        </w:rPr>
        <w:t>second</w:t>
      </w:r>
      <w:r w:rsidRPr="00347697">
        <w:rPr>
          <w:rFonts w:ascii="Times New Roman" w:hAnsi="Times New Roman" w:cs="Times New Roman"/>
          <w:sz w:val="24"/>
          <w:szCs w:val="24"/>
        </w:rPr>
        <w:t xml:space="preserve"> </w:t>
      </w:r>
      <w:r w:rsidR="009A2706" w:rsidRPr="00347697">
        <w:rPr>
          <w:rFonts w:ascii="Times New Roman" w:hAnsi="Times New Roman" w:cs="Times New Roman"/>
          <w:sz w:val="24"/>
          <w:szCs w:val="24"/>
        </w:rPr>
        <w:t xml:space="preserve">quantitative </w:t>
      </w:r>
      <w:r w:rsidRPr="00347697">
        <w:rPr>
          <w:rFonts w:ascii="Times New Roman" w:hAnsi="Times New Roman" w:cs="Times New Roman"/>
          <w:sz w:val="24"/>
          <w:szCs w:val="24"/>
        </w:rPr>
        <w:t xml:space="preserve">course.  </w:t>
      </w:r>
      <w:r w:rsidR="00325311">
        <w:rPr>
          <w:rFonts w:ascii="Times New Roman" w:hAnsi="Times New Roman" w:cs="Times New Roman"/>
          <w:sz w:val="24"/>
          <w:szCs w:val="24"/>
        </w:rPr>
        <w:t>Again</w:t>
      </w:r>
      <w:r w:rsidRPr="00347697">
        <w:rPr>
          <w:rFonts w:ascii="Times New Roman" w:hAnsi="Times New Roman" w:cs="Times New Roman"/>
          <w:sz w:val="24"/>
          <w:szCs w:val="24"/>
        </w:rPr>
        <w:t xml:space="preserve">, only transfer-seeking students are included.  </w:t>
      </w:r>
      <w:r w:rsidR="0064567D">
        <w:rPr>
          <w:rFonts w:ascii="Times New Roman" w:hAnsi="Times New Roman" w:cs="Times New Roman"/>
          <w:sz w:val="24"/>
          <w:szCs w:val="24"/>
        </w:rPr>
        <w:t>C</w:t>
      </w:r>
      <w:r w:rsidR="00503460" w:rsidRPr="00347697">
        <w:rPr>
          <w:rFonts w:ascii="Times New Roman" w:hAnsi="Times New Roman" w:cs="Times New Roman"/>
          <w:sz w:val="24"/>
          <w:szCs w:val="24"/>
        </w:rPr>
        <w:t xml:space="preserve">omparatively rare combinations of first, second, and third math courses </w:t>
      </w:r>
      <w:r w:rsidR="00721E4B" w:rsidRPr="00347697">
        <w:rPr>
          <w:rFonts w:ascii="Times New Roman" w:hAnsi="Times New Roman" w:cs="Times New Roman"/>
          <w:sz w:val="24"/>
          <w:szCs w:val="24"/>
        </w:rPr>
        <w:t>are</w:t>
      </w:r>
      <w:r w:rsidR="00503460" w:rsidRPr="00347697">
        <w:rPr>
          <w:rFonts w:ascii="Times New Roman" w:hAnsi="Times New Roman" w:cs="Times New Roman"/>
          <w:sz w:val="24"/>
          <w:szCs w:val="24"/>
        </w:rPr>
        <w:t xml:space="preserve"> </w:t>
      </w:r>
      <w:r w:rsidR="0064567D">
        <w:rPr>
          <w:rFonts w:ascii="Times New Roman" w:hAnsi="Times New Roman" w:cs="Times New Roman"/>
          <w:sz w:val="24"/>
          <w:szCs w:val="24"/>
        </w:rPr>
        <w:t xml:space="preserve">again </w:t>
      </w:r>
      <w:r w:rsidR="00503460" w:rsidRPr="00347697">
        <w:rPr>
          <w:rFonts w:ascii="Times New Roman" w:hAnsi="Times New Roman" w:cs="Times New Roman"/>
          <w:sz w:val="24"/>
          <w:szCs w:val="24"/>
        </w:rPr>
        <w:t xml:space="preserve">collapsed into </w:t>
      </w:r>
      <w:r w:rsidR="00BD24D9">
        <w:rPr>
          <w:rFonts w:ascii="Times New Roman" w:hAnsi="Times New Roman" w:cs="Times New Roman"/>
          <w:sz w:val="24"/>
          <w:szCs w:val="24"/>
        </w:rPr>
        <w:t>the</w:t>
      </w:r>
      <w:r w:rsidR="00BD24D9" w:rsidRPr="00347697">
        <w:rPr>
          <w:rFonts w:ascii="Times New Roman" w:hAnsi="Times New Roman" w:cs="Times New Roman"/>
          <w:sz w:val="24"/>
          <w:szCs w:val="24"/>
        </w:rPr>
        <w:t xml:space="preserve"> </w:t>
      </w:r>
      <w:r w:rsidR="00325311">
        <w:rPr>
          <w:rFonts w:ascii="Times New Roman" w:hAnsi="Times New Roman" w:cs="Times New Roman"/>
          <w:i/>
          <w:sz w:val="24"/>
          <w:szCs w:val="24"/>
        </w:rPr>
        <w:t xml:space="preserve">Other </w:t>
      </w:r>
      <w:r w:rsidR="00503460" w:rsidRPr="00347697">
        <w:rPr>
          <w:rFonts w:ascii="Times New Roman" w:hAnsi="Times New Roman" w:cs="Times New Roman"/>
          <w:sz w:val="24"/>
          <w:szCs w:val="24"/>
        </w:rPr>
        <w:t>category, using the consolidation rules described earlier.</w:t>
      </w:r>
    </w:p>
    <w:p w14:paraId="238BF248" w14:textId="77777777" w:rsidR="00242E9E" w:rsidRPr="00347697" w:rsidRDefault="00242E9E" w:rsidP="00347697">
      <w:pPr>
        <w:spacing w:after="0" w:line="240" w:lineRule="auto"/>
        <w:rPr>
          <w:rFonts w:ascii="Times New Roman" w:hAnsi="Times New Roman" w:cs="Times New Roman"/>
          <w:sz w:val="24"/>
          <w:szCs w:val="24"/>
        </w:rPr>
      </w:pPr>
    </w:p>
    <w:p w14:paraId="34C4AE48" w14:textId="33538A1F" w:rsidR="00276DDF" w:rsidRPr="00347697" w:rsidRDefault="00276DDF" w:rsidP="00276DDF">
      <w:pPr>
        <w:spacing w:after="0" w:line="240" w:lineRule="auto"/>
        <w:rPr>
          <w:rFonts w:ascii="Times New Roman" w:hAnsi="Times New Roman" w:cs="Times New Roman"/>
          <w:sz w:val="24"/>
          <w:szCs w:val="24"/>
          <w:u w:val="single"/>
        </w:rPr>
      </w:pPr>
      <w:r w:rsidRPr="002D7910">
        <w:rPr>
          <w:rFonts w:ascii="Times New Roman" w:hAnsi="Times New Roman" w:cs="Times New Roman"/>
          <w:sz w:val="24"/>
          <w:szCs w:val="24"/>
          <w:u w:val="single"/>
        </w:rPr>
        <w:t xml:space="preserve">Students who </w:t>
      </w:r>
      <w:r w:rsidR="00BA187F" w:rsidRPr="002D7910">
        <w:rPr>
          <w:rFonts w:ascii="Times New Roman" w:hAnsi="Times New Roman" w:cs="Times New Roman"/>
          <w:sz w:val="24"/>
          <w:szCs w:val="24"/>
          <w:u w:val="single"/>
        </w:rPr>
        <w:t xml:space="preserve">Succeed </w:t>
      </w:r>
      <w:r w:rsidRPr="002D7910">
        <w:rPr>
          <w:rFonts w:ascii="Times New Roman" w:hAnsi="Times New Roman" w:cs="Times New Roman"/>
          <w:sz w:val="24"/>
          <w:szCs w:val="24"/>
          <w:u w:val="single"/>
        </w:rPr>
        <w:t xml:space="preserve">in their </w:t>
      </w:r>
      <w:r w:rsidR="00BA187F" w:rsidRPr="002D7910">
        <w:rPr>
          <w:rFonts w:ascii="Times New Roman" w:hAnsi="Times New Roman" w:cs="Times New Roman"/>
          <w:sz w:val="24"/>
          <w:szCs w:val="24"/>
          <w:u w:val="single"/>
        </w:rPr>
        <w:t xml:space="preserve">First and </w:t>
      </w:r>
      <w:r w:rsidRPr="002D7910">
        <w:rPr>
          <w:rFonts w:ascii="Times New Roman" w:hAnsi="Times New Roman" w:cs="Times New Roman"/>
          <w:sz w:val="24"/>
          <w:szCs w:val="24"/>
          <w:u w:val="single"/>
        </w:rPr>
        <w:t xml:space="preserve">Second </w:t>
      </w:r>
      <w:r w:rsidR="00BA187F" w:rsidRPr="002D7910">
        <w:rPr>
          <w:rFonts w:ascii="Times New Roman" w:hAnsi="Times New Roman" w:cs="Times New Roman"/>
          <w:sz w:val="24"/>
          <w:szCs w:val="24"/>
          <w:u w:val="single"/>
        </w:rPr>
        <w:t xml:space="preserve">Quantitative </w:t>
      </w:r>
      <w:r w:rsidRPr="002D7910">
        <w:rPr>
          <w:rFonts w:ascii="Times New Roman" w:hAnsi="Times New Roman" w:cs="Times New Roman"/>
          <w:sz w:val="24"/>
          <w:szCs w:val="24"/>
          <w:u w:val="single"/>
        </w:rPr>
        <w:t>Course</w:t>
      </w:r>
      <w:r w:rsidR="00BA187F" w:rsidRPr="002D7910">
        <w:rPr>
          <w:rFonts w:ascii="Times New Roman" w:hAnsi="Times New Roman" w:cs="Times New Roman"/>
          <w:sz w:val="24"/>
          <w:szCs w:val="24"/>
          <w:u w:val="single"/>
        </w:rPr>
        <w:t>s</w:t>
      </w:r>
    </w:p>
    <w:p w14:paraId="785EDBA4" w14:textId="77777777" w:rsidR="00276DDF" w:rsidRPr="00347697" w:rsidRDefault="00276DDF" w:rsidP="00276DDF">
      <w:pPr>
        <w:spacing w:after="0" w:line="240" w:lineRule="auto"/>
        <w:rPr>
          <w:rFonts w:ascii="Times New Roman" w:hAnsi="Times New Roman" w:cs="Times New Roman"/>
          <w:sz w:val="24"/>
          <w:szCs w:val="24"/>
        </w:rPr>
      </w:pPr>
    </w:p>
    <w:p w14:paraId="6A1D1A76" w14:textId="13E1CD4A" w:rsidR="00276DDF" w:rsidRPr="00347697" w:rsidRDefault="006B7D30" w:rsidP="00276DDF">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Fifty-</w:t>
      </w:r>
      <w:r w:rsidR="00BD24D9">
        <w:rPr>
          <w:rFonts w:ascii="Times New Roman" w:hAnsi="Times New Roman" w:cs="Times New Roman"/>
          <w:sz w:val="24"/>
          <w:szCs w:val="24"/>
        </w:rPr>
        <w:t>seven</w:t>
      </w:r>
      <w:r w:rsidR="00BD24D9" w:rsidRPr="00347697">
        <w:rPr>
          <w:rFonts w:ascii="Times New Roman" w:hAnsi="Times New Roman" w:cs="Times New Roman"/>
          <w:sz w:val="24"/>
          <w:szCs w:val="24"/>
        </w:rPr>
        <w:t xml:space="preserve"> </w:t>
      </w:r>
      <w:r w:rsidRPr="00347697">
        <w:rPr>
          <w:rFonts w:ascii="Times New Roman" w:hAnsi="Times New Roman" w:cs="Times New Roman"/>
          <w:sz w:val="24"/>
          <w:szCs w:val="24"/>
        </w:rPr>
        <w:t>percent of</w:t>
      </w:r>
      <w:r w:rsidR="00276DDF" w:rsidRPr="00347697">
        <w:rPr>
          <w:rFonts w:ascii="Times New Roman" w:hAnsi="Times New Roman" w:cs="Times New Roman"/>
          <w:sz w:val="24"/>
          <w:szCs w:val="24"/>
        </w:rPr>
        <w:t xml:space="preserve"> students </w:t>
      </w:r>
      <w:r w:rsidR="00A51C3B">
        <w:rPr>
          <w:rFonts w:ascii="Times New Roman" w:hAnsi="Times New Roman" w:cs="Times New Roman"/>
          <w:sz w:val="24"/>
          <w:szCs w:val="24"/>
        </w:rPr>
        <w:t xml:space="preserve">in the focal pathways </w:t>
      </w:r>
      <w:r w:rsidR="00276DDF" w:rsidRPr="00347697">
        <w:rPr>
          <w:rFonts w:ascii="Times New Roman" w:hAnsi="Times New Roman" w:cs="Times New Roman"/>
          <w:sz w:val="24"/>
          <w:szCs w:val="24"/>
        </w:rPr>
        <w:t xml:space="preserve">who pass both their first and second quantitative courses </w:t>
      </w:r>
      <w:r w:rsidR="009A296E" w:rsidRPr="00347697">
        <w:rPr>
          <w:rFonts w:ascii="Times New Roman" w:hAnsi="Times New Roman" w:cs="Times New Roman"/>
          <w:sz w:val="24"/>
          <w:szCs w:val="24"/>
        </w:rPr>
        <w:t xml:space="preserve">on the first attempt </w:t>
      </w:r>
      <w:r w:rsidRPr="00347697">
        <w:rPr>
          <w:rFonts w:ascii="Times New Roman" w:hAnsi="Times New Roman" w:cs="Times New Roman"/>
          <w:sz w:val="24"/>
          <w:szCs w:val="24"/>
        </w:rPr>
        <w:t xml:space="preserve">continue </w:t>
      </w:r>
      <w:r w:rsidR="00721E4B" w:rsidRPr="00347697">
        <w:rPr>
          <w:rFonts w:ascii="Times New Roman" w:hAnsi="Times New Roman" w:cs="Times New Roman"/>
          <w:sz w:val="24"/>
          <w:szCs w:val="24"/>
        </w:rPr>
        <w:t>in</w:t>
      </w:r>
      <w:r w:rsidRPr="00347697">
        <w:rPr>
          <w:rFonts w:ascii="Times New Roman" w:hAnsi="Times New Roman" w:cs="Times New Roman"/>
          <w:sz w:val="24"/>
          <w:szCs w:val="24"/>
        </w:rPr>
        <w:t xml:space="preserve">to a third quantitative course.  </w:t>
      </w:r>
      <w:r w:rsidR="007333F8" w:rsidRPr="00347697">
        <w:rPr>
          <w:rFonts w:ascii="Times New Roman" w:hAnsi="Times New Roman" w:cs="Times New Roman"/>
          <w:sz w:val="24"/>
          <w:szCs w:val="24"/>
        </w:rPr>
        <w:t xml:space="preserve">Table </w:t>
      </w:r>
      <w:r w:rsidR="00BD24D9">
        <w:rPr>
          <w:rFonts w:ascii="Times New Roman" w:hAnsi="Times New Roman" w:cs="Times New Roman"/>
          <w:sz w:val="24"/>
          <w:szCs w:val="24"/>
        </w:rPr>
        <w:t>7</w:t>
      </w:r>
      <w:r w:rsidR="007333F8" w:rsidRPr="00347697">
        <w:rPr>
          <w:rFonts w:ascii="Times New Roman" w:hAnsi="Times New Roman" w:cs="Times New Roman"/>
          <w:sz w:val="24"/>
          <w:szCs w:val="24"/>
        </w:rPr>
        <w:t xml:space="preserve"> reveals that s</w:t>
      </w:r>
      <w:r w:rsidR="00276DDF" w:rsidRPr="00347697">
        <w:rPr>
          <w:rFonts w:ascii="Times New Roman" w:hAnsi="Times New Roman" w:cs="Times New Roman"/>
          <w:sz w:val="24"/>
          <w:szCs w:val="24"/>
        </w:rPr>
        <w:t xml:space="preserve">tudents in certain pairs of first and second courses are especially </w:t>
      </w:r>
      <w:r w:rsidR="00276DDF" w:rsidRPr="00347697">
        <w:rPr>
          <w:rFonts w:ascii="Times New Roman" w:hAnsi="Times New Roman" w:cs="Times New Roman"/>
          <w:i/>
          <w:sz w:val="24"/>
          <w:szCs w:val="24"/>
        </w:rPr>
        <w:t>unlikely</w:t>
      </w:r>
      <w:r w:rsidR="00276DDF" w:rsidRPr="00347697">
        <w:rPr>
          <w:rFonts w:ascii="Times New Roman" w:hAnsi="Times New Roman" w:cs="Times New Roman"/>
          <w:sz w:val="24"/>
          <w:szCs w:val="24"/>
        </w:rPr>
        <w:t xml:space="preserve"> to attempt any third quantitative course.  These include Math B65-B22 (0% attempting a third quantitative course), Math B65-Psyc B5 (0%), and Math B70-Psyc B5 (</w:t>
      </w:r>
      <w:r w:rsidR="005459CC">
        <w:rPr>
          <w:rFonts w:ascii="Times New Roman" w:hAnsi="Times New Roman" w:cs="Times New Roman"/>
          <w:sz w:val="24"/>
          <w:szCs w:val="24"/>
        </w:rPr>
        <w:t>5</w:t>
      </w:r>
      <w:r w:rsidR="00276DDF" w:rsidRPr="00347697">
        <w:rPr>
          <w:rFonts w:ascii="Times New Roman" w:hAnsi="Times New Roman" w:cs="Times New Roman"/>
          <w:sz w:val="24"/>
          <w:szCs w:val="24"/>
        </w:rPr>
        <w:t>%).  A larger but still minority share of students in the Math B70- B22 pair continue</w:t>
      </w:r>
      <w:r w:rsidR="00A74CE5">
        <w:rPr>
          <w:rFonts w:ascii="Times New Roman" w:hAnsi="Times New Roman" w:cs="Times New Roman"/>
          <w:sz w:val="24"/>
          <w:szCs w:val="24"/>
        </w:rPr>
        <w:t>s</w:t>
      </w:r>
      <w:r w:rsidR="00276DDF" w:rsidRPr="00347697">
        <w:rPr>
          <w:rFonts w:ascii="Times New Roman" w:hAnsi="Times New Roman" w:cs="Times New Roman"/>
          <w:sz w:val="24"/>
          <w:szCs w:val="24"/>
        </w:rPr>
        <w:t xml:space="preserve"> </w:t>
      </w:r>
      <w:r w:rsidR="00A51C3B">
        <w:rPr>
          <w:rFonts w:ascii="Times New Roman" w:hAnsi="Times New Roman" w:cs="Times New Roman"/>
          <w:sz w:val="24"/>
          <w:szCs w:val="24"/>
        </w:rPr>
        <w:t>into</w:t>
      </w:r>
      <w:r w:rsidR="00276DDF" w:rsidRPr="00347697">
        <w:rPr>
          <w:rFonts w:ascii="Times New Roman" w:hAnsi="Times New Roman" w:cs="Times New Roman"/>
          <w:sz w:val="24"/>
          <w:szCs w:val="24"/>
        </w:rPr>
        <w:t xml:space="preserve"> a third course</w:t>
      </w:r>
      <w:r w:rsidR="009A296E" w:rsidRPr="00347697">
        <w:rPr>
          <w:rFonts w:ascii="Times New Roman" w:hAnsi="Times New Roman" w:cs="Times New Roman"/>
          <w:sz w:val="24"/>
          <w:szCs w:val="24"/>
        </w:rPr>
        <w:t xml:space="preserve"> (4</w:t>
      </w:r>
      <w:r w:rsidR="005459CC">
        <w:rPr>
          <w:rFonts w:ascii="Times New Roman" w:hAnsi="Times New Roman" w:cs="Times New Roman"/>
          <w:sz w:val="24"/>
          <w:szCs w:val="24"/>
        </w:rPr>
        <w:t>2</w:t>
      </w:r>
      <w:r w:rsidR="009A296E" w:rsidRPr="00347697">
        <w:rPr>
          <w:rFonts w:ascii="Times New Roman" w:hAnsi="Times New Roman" w:cs="Times New Roman"/>
          <w:sz w:val="24"/>
          <w:szCs w:val="24"/>
        </w:rPr>
        <w:t>%)</w:t>
      </w:r>
      <w:r w:rsidR="00276DDF" w:rsidRPr="00347697">
        <w:rPr>
          <w:rFonts w:ascii="Times New Roman" w:hAnsi="Times New Roman" w:cs="Times New Roman"/>
          <w:sz w:val="24"/>
          <w:szCs w:val="24"/>
        </w:rPr>
        <w:t xml:space="preserve">, with a significant fraction enrolling in Math B23, Finite Math.  </w:t>
      </w:r>
    </w:p>
    <w:p w14:paraId="798D12AE" w14:textId="77777777" w:rsidR="00276DDF" w:rsidRPr="00347697" w:rsidRDefault="00276DDF" w:rsidP="00276DDF">
      <w:pPr>
        <w:spacing w:after="0" w:line="240" w:lineRule="auto"/>
        <w:rPr>
          <w:rFonts w:ascii="Times New Roman" w:hAnsi="Times New Roman" w:cs="Times New Roman"/>
          <w:sz w:val="24"/>
          <w:szCs w:val="24"/>
        </w:rPr>
      </w:pPr>
    </w:p>
    <w:p w14:paraId="34129A0B" w14:textId="36CED04C" w:rsidR="00276DDF" w:rsidRPr="00347697" w:rsidRDefault="00276DDF" w:rsidP="00276DDF">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In contrast, the majority of students</w:t>
      </w:r>
      <w:r w:rsidR="00A51C3B">
        <w:rPr>
          <w:rFonts w:ascii="Times New Roman" w:hAnsi="Times New Roman" w:cs="Times New Roman"/>
          <w:sz w:val="24"/>
          <w:szCs w:val="24"/>
        </w:rPr>
        <w:t xml:space="preserve"> who are successful</w:t>
      </w:r>
      <w:r w:rsidRPr="00347697">
        <w:rPr>
          <w:rFonts w:ascii="Times New Roman" w:hAnsi="Times New Roman" w:cs="Times New Roman"/>
          <w:sz w:val="24"/>
          <w:szCs w:val="24"/>
        </w:rPr>
        <w:t xml:space="preserve"> </w:t>
      </w:r>
      <w:r w:rsidR="0076404C" w:rsidRPr="00347697">
        <w:rPr>
          <w:rFonts w:ascii="Times New Roman" w:hAnsi="Times New Roman" w:cs="Times New Roman"/>
          <w:sz w:val="24"/>
          <w:szCs w:val="24"/>
        </w:rPr>
        <w:t xml:space="preserve">in the </w:t>
      </w:r>
      <w:r w:rsidR="00A51C3B" w:rsidRPr="00347697">
        <w:rPr>
          <w:rFonts w:ascii="Times New Roman" w:hAnsi="Times New Roman" w:cs="Times New Roman"/>
          <w:sz w:val="24"/>
          <w:szCs w:val="24"/>
        </w:rPr>
        <w:t>LRNC B530</w:t>
      </w:r>
      <w:r w:rsidR="00A51C3B" w:rsidRPr="0072729B">
        <w:rPr>
          <w:rFonts w:ascii="Times New Roman" w:hAnsi="Times New Roman" w:cs="Times New Roman"/>
          <w:i/>
          <w:sz w:val="24"/>
          <w:szCs w:val="24"/>
        </w:rPr>
        <w:t>f</w:t>
      </w:r>
      <w:r w:rsidR="00A51C3B">
        <w:rPr>
          <w:rFonts w:ascii="Times New Roman" w:hAnsi="Times New Roman" w:cs="Times New Roman"/>
          <w:i/>
          <w:sz w:val="24"/>
          <w:szCs w:val="24"/>
        </w:rPr>
        <w:t>-</w:t>
      </w:r>
      <w:r w:rsidR="00A51C3B" w:rsidRPr="00347697">
        <w:rPr>
          <w:rFonts w:ascii="Times New Roman" w:hAnsi="Times New Roman" w:cs="Times New Roman"/>
          <w:sz w:val="24"/>
          <w:szCs w:val="24"/>
        </w:rPr>
        <w:t>B530</w:t>
      </w:r>
      <w:r w:rsidR="00A51C3B">
        <w:rPr>
          <w:rFonts w:ascii="Times New Roman" w:hAnsi="Times New Roman" w:cs="Times New Roman"/>
          <w:i/>
          <w:sz w:val="24"/>
          <w:szCs w:val="24"/>
        </w:rPr>
        <w:t>s</w:t>
      </w:r>
      <w:r w:rsidR="00A51C3B" w:rsidRPr="00347697">
        <w:rPr>
          <w:rFonts w:ascii="Times New Roman" w:hAnsi="Times New Roman" w:cs="Times New Roman"/>
          <w:sz w:val="24"/>
          <w:szCs w:val="24"/>
        </w:rPr>
        <w:t xml:space="preserve"> </w:t>
      </w:r>
      <w:r w:rsidR="0076404C" w:rsidRPr="00347697">
        <w:rPr>
          <w:rFonts w:ascii="Times New Roman" w:hAnsi="Times New Roman" w:cs="Times New Roman"/>
          <w:sz w:val="24"/>
          <w:szCs w:val="24"/>
        </w:rPr>
        <w:t xml:space="preserve">pair and </w:t>
      </w:r>
      <w:r w:rsidRPr="00347697">
        <w:rPr>
          <w:rFonts w:ascii="Times New Roman" w:hAnsi="Times New Roman" w:cs="Times New Roman"/>
          <w:sz w:val="24"/>
          <w:szCs w:val="24"/>
        </w:rPr>
        <w:t xml:space="preserve">in the Math B60-B70 pair continue </w:t>
      </w:r>
      <w:r w:rsidR="00B25A09">
        <w:rPr>
          <w:rFonts w:ascii="Times New Roman" w:hAnsi="Times New Roman" w:cs="Times New Roman"/>
          <w:sz w:val="24"/>
          <w:szCs w:val="24"/>
        </w:rPr>
        <w:t>in</w:t>
      </w:r>
      <w:r w:rsidRPr="00347697">
        <w:rPr>
          <w:rFonts w:ascii="Times New Roman" w:hAnsi="Times New Roman" w:cs="Times New Roman"/>
          <w:sz w:val="24"/>
          <w:szCs w:val="24"/>
        </w:rPr>
        <w:t>to a third course</w:t>
      </w:r>
      <w:r w:rsidR="0076404C" w:rsidRPr="00347697">
        <w:rPr>
          <w:rFonts w:ascii="Times New Roman" w:hAnsi="Times New Roman" w:cs="Times New Roman"/>
          <w:sz w:val="24"/>
          <w:szCs w:val="24"/>
        </w:rPr>
        <w:t xml:space="preserve"> (8</w:t>
      </w:r>
      <w:r w:rsidR="005459CC">
        <w:rPr>
          <w:rFonts w:ascii="Times New Roman" w:hAnsi="Times New Roman" w:cs="Times New Roman"/>
          <w:sz w:val="24"/>
          <w:szCs w:val="24"/>
        </w:rPr>
        <w:t>4</w:t>
      </w:r>
      <w:r w:rsidR="0076404C" w:rsidRPr="00347697">
        <w:rPr>
          <w:rFonts w:ascii="Times New Roman" w:hAnsi="Times New Roman" w:cs="Times New Roman"/>
          <w:sz w:val="24"/>
          <w:szCs w:val="24"/>
        </w:rPr>
        <w:t xml:space="preserve">% and </w:t>
      </w:r>
      <w:r w:rsidR="005459CC" w:rsidRPr="00347697">
        <w:rPr>
          <w:rFonts w:ascii="Times New Roman" w:hAnsi="Times New Roman" w:cs="Times New Roman"/>
          <w:sz w:val="24"/>
          <w:szCs w:val="24"/>
        </w:rPr>
        <w:t>6</w:t>
      </w:r>
      <w:r w:rsidR="005459CC">
        <w:rPr>
          <w:rFonts w:ascii="Times New Roman" w:hAnsi="Times New Roman" w:cs="Times New Roman"/>
          <w:sz w:val="24"/>
          <w:szCs w:val="24"/>
        </w:rPr>
        <w:t>1</w:t>
      </w:r>
      <w:r w:rsidR="0076404C" w:rsidRPr="00347697">
        <w:rPr>
          <w:rFonts w:ascii="Times New Roman" w:hAnsi="Times New Roman" w:cs="Times New Roman"/>
          <w:sz w:val="24"/>
          <w:szCs w:val="24"/>
        </w:rPr>
        <w:t>%, respectively)</w:t>
      </w:r>
      <w:r w:rsidRPr="00347697">
        <w:rPr>
          <w:rFonts w:ascii="Times New Roman" w:hAnsi="Times New Roman" w:cs="Times New Roman"/>
          <w:sz w:val="24"/>
          <w:szCs w:val="24"/>
        </w:rPr>
        <w:t xml:space="preserve">.  Although not transparent in Table </w:t>
      </w:r>
      <w:r w:rsidR="005459CC">
        <w:rPr>
          <w:rFonts w:ascii="Times New Roman" w:hAnsi="Times New Roman" w:cs="Times New Roman"/>
          <w:sz w:val="24"/>
          <w:szCs w:val="24"/>
        </w:rPr>
        <w:t>7</w:t>
      </w:r>
      <w:r w:rsidRPr="00347697">
        <w:rPr>
          <w:rFonts w:ascii="Times New Roman" w:hAnsi="Times New Roman" w:cs="Times New Roman"/>
          <w:sz w:val="24"/>
          <w:szCs w:val="24"/>
        </w:rPr>
        <w:t xml:space="preserve">, a reasonably similar share of students in the </w:t>
      </w:r>
      <w:r w:rsidR="00CA0AD3">
        <w:rPr>
          <w:rFonts w:ascii="Times New Roman" w:hAnsi="Times New Roman" w:cs="Times New Roman"/>
          <w:sz w:val="24"/>
          <w:szCs w:val="24"/>
        </w:rPr>
        <w:t xml:space="preserve">two pairs </w:t>
      </w:r>
      <w:r w:rsidRPr="00347697">
        <w:rPr>
          <w:rFonts w:ascii="Times New Roman" w:hAnsi="Times New Roman" w:cs="Times New Roman"/>
          <w:sz w:val="24"/>
          <w:szCs w:val="24"/>
        </w:rPr>
        <w:t>continue into Math B22 (</w:t>
      </w:r>
      <w:r w:rsidR="0076404C" w:rsidRPr="00347697">
        <w:rPr>
          <w:rFonts w:ascii="Times New Roman" w:hAnsi="Times New Roman" w:cs="Times New Roman"/>
          <w:sz w:val="24"/>
          <w:szCs w:val="24"/>
        </w:rPr>
        <w:t>2</w:t>
      </w:r>
      <w:r w:rsidR="005459CC">
        <w:rPr>
          <w:rFonts w:ascii="Times New Roman" w:hAnsi="Times New Roman" w:cs="Times New Roman"/>
          <w:sz w:val="24"/>
          <w:szCs w:val="24"/>
        </w:rPr>
        <w:t>8</w:t>
      </w:r>
      <w:r w:rsidR="0076404C" w:rsidRPr="00347697">
        <w:rPr>
          <w:rFonts w:ascii="Times New Roman" w:hAnsi="Times New Roman" w:cs="Times New Roman"/>
          <w:sz w:val="24"/>
          <w:szCs w:val="24"/>
        </w:rPr>
        <w:t>% and 2</w:t>
      </w:r>
      <w:r w:rsidR="005459CC">
        <w:rPr>
          <w:rFonts w:ascii="Times New Roman" w:hAnsi="Times New Roman" w:cs="Times New Roman"/>
          <w:sz w:val="24"/>
          <w:szCs w:val="24"/>
        </w:rPr>
        <w:t>2</w:t>
      </w:r>
      <w:r w:rsidR="0076404C" w:rsidRPr="00347697">
        <w:rPr>
          <w:rFonts w:ascii="Times New Roman" w:hAnsi="Times New Roman" w:cs="Times New Roman"/>
          <w:sz w:val="24"/>
          <w:szCs w:val="24"/>
        </w:rPr>
        <w:t>%, respectively)</w:t>
      </w:r>
      <w:r w:rsidRPr="00347697">
        <w:rPr>
          <w:rFonts w:ascii="Times New Roman" w:hAnsi="Times New Roman" w:cs="Times New Roman"/>
          <w:sz w:val="24"/>
          <w:szCs w:val="24"/>
        </w:rPr>
        <w:t xml:space="preserve"> and Psyc B5 (1</w:t>
      </w:r>
      <w:r w:rsidR="005459CC">
        <w:rPr>
          <w:rFonts w:ascii="Times New Roman" w:hAnsi="Times New Roman" w:cs="Times New Roman"/>
          <w:sz w:val="24"/>
          <w:szCs w:val="24"/>
        </w:rPr>
        <w:t>6</w:t>
      </w:r>
      <w:r w:rsidRPr="00347697">
        <w:rPr>
          <w:rFonts w:ascii="Times New Roman" w:hAnsi="Times New Roman" w:cs="Times New Roman"/>
          <w:sz w:val="24"/>
          <w:szCs w:val="24"/>
        </w:rPr>
        <w:t>%</w:t>
      </w:r>
      <w:r w:rsidR="0076404C" w:rsidRPr="00347697">
        <w:rPr>
          <w:rFonts w:ascii="Times New Roman" w:hAnsi="Times New Roman" w:cs="Times New Roman"/>
          <w:sz w:val="24"/>
          <w:szCs w:val="24"/>
        </w:rPr>
        <w:t xml:space="preserve"> and 1</w:t>
      </w:r>
      <w:r w:rsidR="005459CC">
        <w:rPr>
          <w:rFonts w:ascii="Times New Roman" w:hAnsi="Times New Roman" w:cs="Times New Roman"/>
          <w:sz w:val="24"/>
          <w:szCs w:val="24"/>
        </w:rPr>
        <w:t>5</w:t>
      </w:r>
      <w:r w:rsidR="0076404C" w:rsidRPr="00347697">
        <w:rPr>
          <w:rFonts w:ascii="Times New Roman" w:hAnsi="Times New Roman" w:cs="Times New Roman"/>
          <w:sz w:val="24"/>
          <w:szCs w:val="24"/>
        </w:rPr>
        <w:t>%, respectively</w:t>
      </w:r>
      <w:r w:rsidRPr="00347697">
        <w:rPr>
          <w:rFonts w:ascii="Times New Roman" w:hAnsi="Times New Roman" w:cs="Times New Roman"/>
          <w:sz w:val="24"/>
          <w:szCs w:val="24"/>
        </w:rPr>
        <w:t xml:space="preserve">).  </w:t>
      </w:r>
      <w:r w:rsidR="0034557E" w:rsidRPr="00347697">
        <w:rPr>
          <w:rFonts w:ascii="Times New Roman" w:hAnsi="Times New Roman" w:cs="Times New Roman"/>
          <w:sz w:val="24"/>
          <w:szCs w:val="24"/>
        </w:rPr>
        <w:t>However</w:t>
      </w:r>
      <w:r w:rsidRPr="00347697">
        <w:rPr>
          <w:rFonts w:ascii="Times New Roman" w:hAnsi="Times New Roman" w:cs="Times New Roman"/>
          <w:sz w:val="24"/>
          <w:szCs w:val="24"/>
        </w:rPr>
        <w:t xml:space="preserve">, a much </w:t>
      </w:r>
      <w:r w:rsidRPr="00347697">
        <w:rPr>
          <w:rFonts w:ascii="Times New Roman" w:hAnsi="Times New Roman" w:cs="Times New Roman"/>
          <w:sz w:val="24"/>
          <w:szCs w:val="24"/>
        </w:rPr>
        <w:lastRenderedPageBreak/>
        <w:t xml:space="preserve">larger share of students in the </w:t>
      </w:r>
      <w:r w:rsidR="00B25A09" w:rsidRPr="00347697">
        <w:rPr>
          <w:rFonts w:ascii="Times New Roman" w:hAnsi="Times New Roman" w:cs="Times New Roman"/>
          <w:sz w:val="24"/>
          <w:szCs w:val="24"/>
        </w:rPr>
        <w:t>LRNC B530</w:t>
      </w:r>
      <w:r w:rsidR="00B25A09" w:rsidRPr="001231FC">
        <w:rPr>
          <w:rFonts w:ascii="Times New Roman" w:hAnsi="Times New Roman" w:cs="Times New Roman"/>
          <w:i/>
          <w:sz w:val="24"/>
          <w:szCs w:val="24"/>
        </w:rPr>
        <w:t>f</w:t>
      </w:r>
      <w:r w:rsidR="00B25A09">
        <w:rPr>
          <w:rFonts w:ascii="Times New Roman" w:hAnsi="Times New Roman" w:cs="Times New Roman"/>
          <w:i/>
          <w:sz w:val="24"/>
          <w:szCs w:val="24"/>
        </w:rPr>
        <w:t>-</w:t>
      </w:r>
      <w:r w:rsidR="00B25A09" w:rsidRPr="00347697">
        <w:rPr>
          <w:rFonts w:ascii="Times New Roman" w:hAnsi="Times New Roman" w:cs="Times New Roman"/>
          <w:sz w:val="24"/>
          <w:szCs w:val="24"/>
        </w:rPr>
        <w:t>B530</w:t>
      </w:r>
      <w:r w:rsidR="00B25A09">
        <w:rPr>
          <w:rFonts w:ascii="Times New Roman" w:hAnsi="Times New Roman" w:cs="Times New Roman"/>
          <w:i/>
          <w:sz w:val="24"/>
          <w:szCs w:val="24"/>
        </w:rPr>
        <w:t>s</w:t>
      </w:r>
      <w:r w:rsidRPr="00347697">
        <w:rPr>
          <w:rFonts w:ascii="Times New Roman" w:hAnsi="Times New Roman" w:cs="Times New Roman"/>
          <w:sz w:val="24"/>
          <w:szCs w:val="24"/>
        </w:rPr>
        <w:t xml:space="preserve"> pair (</w:t>
      </w:r>
      <w:r w:rsidR="00DC2009">
        <w:rPr>
          <w:rFonts w:ascii="Times New Roman" w:hAnsi="Times New Roman" w:cs="Times New Roman"/>
          <w:sz w:val="24"/>
          <w:szCs w:val="24"/>
        </w:rPr>
        <w:t>40</w:t>
      </w:r>
      <w:r w:rsidRPr="00347697">
        <w:rPr>
          <w:rFonts w:ascii="Times New Roman" w:hAnsi="Times New Roman" w:cs="Times New Roman"/>
          <w:sz w:val="24"/>
          <w:szCs w:val="24"/>
        </w:rPr>
        <w:t>%) continue into Math B1A</w:t>
      </w:r>
      <w:r w:rsidR="0034557E" w:rsidRPr="00347697">
        <w:rPr>
          <w:rFonts w:ascii="Times New Roman" w:hAnsi="Times New Roman" w:cs="Times New Roman"/>
          <w:sz w:val="24"/>
          <w:szCs w:val="24"/>
        </w:rPr>
        <w:t xml:space="preserve"> (Pre-Calculus I)</w:t>
      </w:r>
      <w:r w:rsidRPr="00347697">
        <w:rPr>
          <w:rFonts w:ascii="Times New Roman" w:hAnsi="Times New Roman" w:cs="Times New Roman"/>
          <w:sz w:val="24"/>
          <w:szCs w:val="24"/>
        </w:rPr>
        <w:t xml:space="preserve">, as compared with students in the Math B60-B70 pair (21%).  </w:t>
      </w:r>
    </w:p>
    <w:p w14:paraId="186489C4" w14:textId="77777777" w:rsidR="00276DDF" w:rsidRPr="00347697" w:rsidRDefault="00276DDF" w:rsidP="00276DDF">
      <w:pPr>
        <w:spacing w:after="0" w:line="240" w:lineRule="auto"/>
        <w:rPr>
          <w:rFonts w:ascii="Times New Roman" w:hAnsi="Times New Roman" w:cs="Times New Roman"/>
          <w:sz w:val="24"/>
          <w:szCs w:val="24"/>
        </w:rPr>
      </w:pPr>
    </w:p>
    <w:p w14:paraId="6405D953" w14:textId="710BF9B8" w:rsidR="00276DDF" w:rsidRPr="00347697" w:rsidRDefault="007F50E9" w:rsidP="00276DDF">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Also o</w:t>
      </w:r>
      <w:r w:rsidR="00276DDF" w:rsidRPr="00347697">
        <w:rPr>
          <w:rFonts w:ascii="Times New Roman" w:hAnsi="Times New Roman" w:cs="Times New Roman"/>
          <w:sz w:val="24"/>
          <w:szCs w:val="24"/>
        </w:rPr>
        <w:t xml:space="preserve">f note, a majority of students in the Math </w:t>
      </w:r>
      <w:r w:rsidR="00BA187F" w:rsidRPr="00347697">
        <w:rPr>
          <w:rFonts w:ascii="Times New Roman" w:hAnsi="Times New Roman" w:cs="Times New Roman"/>
          <w:sz w:val="24"/>
          <w:szCs w:val="24"/>
        </w:rPr>
        <w:t>B70-B1A pair (6</w:t>
      </w:r>
      <w:r w:rsidR="00DC2009">
        <w:rPr>
          <w:rFonts w:ascii="Times New Roman" w:hAnsi="Times New Roman" w:cs="Times New Roman"/>
          <w:sz w:val="24"/>
          <w:szCs w:val="24"/>
        </w:rPr>
        <w:t>8</w:t>
      </w:r>
      <w:r w:rsidR="00BA187F" w:rsidRPr="00347697">
        <w:rPr>
          <w:rFonts w:ascii="Times New Roman" w:hAnsi="Times New Roman" w:cs="Times New Roman"/>
          <w:sz w:val="24"/>
          <w:szCs w:val="24"/>
        </w:rPr>
        <w:t xml:space="preserve">%) continue </w:t>
      </w:r>
      <w:r w:rsidR="00B25A09">
        <w:rPr>
          <w:rFonts w:ascii="Times New Roman" w:hAnsi="Times New Roman" w:cs="Times New Roman"/>
          <w:sz w:val="24"/>
          <w:szCs w:val="24"/>
        </w:rPr>
        <w:t>in</w:t>
      </w:r>
      <w:r w:rsidR="00BA187F" w:rsidRPr="00347697">
        <w:rPr>
          <w:rFonts w:ascii="Times New Roman" w:hAnsi="Times New Roman" w:cs="Times New Roman"/>
          <w:sz w:val="24"/>
          <w:szCs w:val="24"/>
        </w:rPr>
        <w:t>to a third course.  Most of these students enroll in Math B1B</w:t>
      </w:r>
      <w:r w:rsidR="0034557E" w:rsidRPr="00347697">
        <w:rPr>
          <w:rFonts w:ascii="Times New Roman" w:hAnsi="Times New Roman" w:cs="Times New Roman"/>
          <w:sz w:val="24"/>
          <w:szCs w:val="24"/>
        </w:rPr>
        <w:t xml:space="preserve"> (Pre-Calculus II)</w:t>
      </w:r>
      <w:r w:rsidR="00BA187F" w:rsidRPr="00347697">
        <w:rPr>
          <w:rFonts w:ascii="Times New Roman" w:hAnsi="Times New Roman" w:cs="Times New Roman"/>
          <w:sz w:val="24"/>
          <w:szCs w:val="24"/>
        </w:rPr>
        <w:t>.</w:t>
      </w:r>
    </w:p>
    <w:p w14:paraId="440FD465" w14:textId="77777777" w:rsidR="00BA187F" w:rsidRPr="00347697" w:rsidRDefault="00BA187F" w:rsidP="00276DDF">
      <w:pPr>
        <w:spacing w:after="0" w:line="240" w:lineRule="auto"/>
        <w:rPr>
          <w:rFonts w:ascii="Times New Roman" w:hAnsi="Times New Roman" w:cs="Times New Roman"/>
          <w:sz w:val="24"/>
          <w:szCs w:val="24"/>
        </w:rPr>
      </w:pPr>
    </w:p>
    <w:p w14:paraId="5593E443" w14:textId="2B4E9275" w:rsidR="00BA187F" w:rsidRPr="00347697" w:rsidRDefault="00BA187F" w:rsidP="00BA187F">
      <w:pPr>
        <w:spacing w:after="0" w:line="240" w:lineRule="auto"/>
        <w:rPr>
          <w:rFonts w:ascii="Times New Roman" w:hAnsi="Times New Roman" w:cs="Times New Roman"/>
          <w:sz w:val="24"/>
          <w:szCs w:val="24"/>
          <w:u w:val="single"/>
        </w:rPr>
      </w:pPr>
      <w:r w:rsidRPr="00347697">
        <w:rPr>
          <w:rFonts w:ascii="Times New Roman" w:hAnsi="Times New Roman" w:cs="Times New Roman"/>
          <w:sz w:val="24"/>
          <w:szCs w:val="24"/>
          <w:u w:val="single"/>
        </w:rPr>
        <w:t xml:space="preserve">Students who Succeed in their Second </w:t>
      </w:r>
      <w:r w:rsidR="007333F8" w:rsidRPr="00347697">
        <w:rPr>
          <w:rFonts w:ascii="Times New Roman" w:hAnsi="Times New Roman" w:cs="Times New Roman"/>
          <w:sz w:val="24"/>
          <w:szCs w:val="24"/>
          <w:u w:val="single"/>
        </w:rPr>
        <w:t xml:space="preserve">Quantitative </w:t>
      </w:r>
      <w:r w:rsidRPr="00347697">
        <w:rPr>
          <w:rFonts w:ascii="Times New Roman" w:hAnsi="Times New Roman" w:cs="Times New Roman"/>
          <w:sz w:val="24"/>
          <w:szCs w:val="24"/>
          <w:u w:val="single"/>
        </w:rPr>
        <w:t>Course after an Unsuccessful First Course</w:t>
      </w:r>
    </w:p>
    <w:p w14:paraId="69D899BA" w14:textId="77777777" w:rsidR="00BA187F" w:rsidRPr="00347697" w:rsidRDefault="00BA187F" w:rsidP="00276DDF">
      <w:pPr>
        <w:spacing w:after="0" w:line="240" w:lineRule="auto"/>
        <w:rPr>
          <w:rFonts w:ascii="Times New Roman" w:hAnsi="Times New Roman" w:cs="Times New Roman"/>
          <w:sz w:val="24"/>
          <w:szCs w:val="24"/>
        </w:rPr>
      </w:pPr>
    </w:p>
    <w:p w14:paraId="26E69783" w14:textId="6F6F0ED5" w:rsidR="00BA187F" w:rsidRPr="00347697" w:rsidRDefault="00A64792" w:rsidP="00276DDF">
      <w:pPr>
        <w:spacing w:after="0" w:line="240" w:lineRule="auto"/>
        <w:rPr>
          <w:rFonts w:ascii="Times New Roman" w:hAnsi="Times New Roman" w:cs="Times New Roman"/>
          <w:sz w:val="24"/>
          <w:szCs w:val="24"/>
        </w:rPr>
      </w:pPr>
      <w:r>
        <w:rPr>
          <w:rFonts w:ascii="Times New Roman" w:hAnsi="Times New Roman" w:cs="Times New Roman"/>
          <w:sz w:val="24"/>
          <w:szCs w:val="24"/>
        </w:rPr>
        <w:t>About t</w:t>
      </w:r>
      <w:r w:rsidR="006B7D30" w:rsidRPr="00347697">
        <w:rPr>
          <w:rFonts w:ascii="Times New Roman" w:hAnsi="Times New Roman" w:cs="Times New Roman"/>
          <w:sz w:val="24"/>
          <w:szCs w:val="24"/>
        </w:rPr>
        <w:t xml:space="preserve">hree in five </w:t>
      </w:r>
      <w:r w:rsidR="00DC1D6D" w:rsidRPr="00347697">
        <w:rPr>
          <w:rFonts w:ascii="Times New Roman" w:hAnsi="Times New Roman" w:cs="Times New Roman"/>
          <w:sz w:val="24"/>
          <w:szCs w:val="24"/>
        </w:rPr>
        <w:t xml:space="preserve">students </w:t>
      </w:r>
      <w:r w:rsidR="006B7D30" w:rsidRPr="00347697">
        <w:rPr>
          <w:rFonts w:ascii="Times New Roman" w:hAnsi="Times New Roman" w:cs="Times New Roman"/>
          <w:sz w:val="24"/>
          <w:szCs w:val="24"/>
        </w:rPr>
        <w:t>(</w:t>
      </w:r>
      <w:r w:rsidR="00DC1D6D">
        <w:rPr>
          <w:rFonts w:ascii="Times New Roman" w:hAnsi="Times New Roman" w:cs="Times New Roman"/>
          <w:sz w:val="24"/>
          <w:szCs w:val="24"/>
        </w:rPr>
        <w:t>56</w:t>
      </w:r>
      <w:r w:rsidR="006B7D30" w:rsidRPr="00347697">
        <w:rPr>
          <w:rFonts w:ascii="Times New Roman" w:hAnsi="Times New Roman" w:cs="Times New Roman"/>
          <w:sz w:val="24"/>
          <w:szCs w:val="24"/>
        </w:rPr>
        <w:t xml:space="preserve">%) </w:t>
      </w:r>
      <w:r w:rsidR="00261A4D">
        <w:rPr>
          <w:rFonts w:ascii="Times New Roman" w:hAnsi="Times New Roman" w:cs="Times New Roman"/>
          <w:sz w:val="24"/>
          <w:szCs w:val="24"/>
        </w:rPr>
        <w:t xml:space="preserve">in the </w:t>
      </w:r>
      <w:r w:rsidR="00B25A09">
        <w:rPr>
          <w:rFonts w:ascii="Times New Roman" w:hAnsi="Times New Roman" w:cs="Times New Roman"/>
          <w:sz w:val="24"/>
          <w:szCs w:val="24"/>
        </w:rPr>
        <w:t>common</w:t>
      </w:r>
      <w:r w:rsidR="00261A4D">
        <w:rPr>
          <w:rFonts w:ascii="Times New Roman" w:hAnsi="Times New Roman" w:cs="Times New Roman"/>
          <w:sz w:val="24"/>
          <w:szCs w:val="24"/>
        </w:rPr>
        <w:t xml:space="preserve"> pathways </w:t>
      </w:r>
      <w:r w:rsidR="006B7D30" w:rsidRPr="00347697">
        <w:rPr>
          <w:rFonts w:ascii="Times New Roman" w:hAnsi="Times New Roman" w:cs="Times New Roman"/>
          <w:sz w:val="24"/>
          <w:szCs w:val="24"/>
        </w:rPr>
        <w:t xml:space="preserve">who are unsuccessful in their first quantitative course but continue </w:t>
      </w:r>
      <w:r w:rsidR="00212D97" w:rsidRPr="00347697">
        <w:rPr>
          <w:rFonts w:ascii="Times New Roman" w:hAnsi="Times New Roman" w:cs="Times New Roman"/>
          <w:sz w:val="24"/>
          <w:szCs w:val="24"/>
        </w:rPr>
        <w:t xml:space="preserve">and succeed in a </w:t>
      </w:r>
      <w:r w:rsidR="006B7D30" w:rsidRPr="00347697">
        <w:rPr>
          <w:rFonts w:ascii="Times New Roman" w:hAnsi="Times New Roman" w:cs="Times New Roman"/>
          <w:sz w:val="24"/>
          <w:szCs w:val="24"/>
        </w:rPr>
        <w:t>second</w:t>
      </w:r>
      <w:r w:rsidR="00212D97" w:rsidRPr="00347697">
        <w:rPr>
          <w:rFonts w:ascii="Times New Roman" w:hAnsi="Times New Roman" w:cs="Times New Roman"/>
          <w:sz w:val="24"/>
          <w:szCs w:val="24"/>
        </w:rPr>
        <w:t xml:space="preserve"> course</w:t>
      </w:r>
      <w:r w:rsidR="006B7D30" w:rsidRPr="00347697">
        <w:rPr>
          <w:rFonts w:ascii="Times New Roman" w:hAnsi="Times New Roman" w:cs="Times New Roman"/>
          <w:sz w:val="24"/>
          <w:szCs w:val="24"/>
        </w:rPr>
        <w:t xml:space="preserve"> (including repeating the first</w:t>
      </w:r>
      <w:r w:rsidR="00212D97" w:rsidRPr="00347697">
        <w:rPr>
          <w:rFonts w:ascii="Times New Roman" w:hAnsi="Times New Roman" w:cs="Times New Roman"/>
          <w:sz w:val="24"/>
          <w:szCs w:val="24"/>
        </w:rPr>
        <w:t xml:space="preserve"> successfully</w:t>
      </w:r>
      <w:r w:rsidR="006B7D30" w:rsidRPr="00347697">
        <w:rPr>
          <w:rFonts w:ascii="Times New Roman" w:hAnsi="Times New Roman" w:cs="Times New Roman"/>
          <w:sz w:val="24"/>
          <w:szCs w:val="24"/>
        </w:rPr>
        <w:t xml:space="preserve">) </w:t>
      </w:r>
      <w:r w:rsidR="00B25A09">
        <w:rPr>
          <w:rFonts w:ascii="Times New Roman" w:hAnsi="Times New Roman" w:cs="Times New Roman"/>
          <w:sz w:val="24"/>
          <w:szCs w:val="24"/>
        </w:rPr>
        <w:t xml:space="preserve">ultimately </w:t>
      </w:r>
      <w:r w:rsidR="006B7D30" w:rsidRPr="00347697">
        <w:rPr>
          <w:rFonts w:ascii="Times New Roman" w:hAnsi="Times New Roman" w:cs="Times New Roman"/>
          <w:sz w:val="24"/>
          <w:szCs w:val="24"/>
        </w:rPr>
        <w:t xml:space="preserve">continue </w:t>
      </w:r>
      <w:r w:rsidR="00212D97" w:rsidRPr="00347697">
        <w:rPr>
          <w:rFonts w:ascii="Times New Roman" w:hAnsi="Times New Roman" w:cs="Times New Roman"/>
          <w:sz w:val="24"/>
          <w:szCs w:val="24"/>
        </w:rPr>
        <w:t>in</w:t>
      </w:r>
      <w:r w:rsidR="006B7D30" w:rsidRPr="00347697">
        <w:rPr>
          <w:rFonts w:ascii="Times New Roman" w:hAnsi="Times New Roman" w:cs="Times New Roman"/>
          <w:sz w:val="24"/>
          <w:szCs w:val="24"/>
        </w:rPr>
        <w:t xml:space="preserve">to a third course.  Students </w:t>
      </w:r>
      <w:r w:rsidR="00212D97" w:rsidRPr="00347697">
        <w:rPr>
          <w:rFonts w:ascii="Times New Roman" w:hAnsi="Times New Roman" w:cs="Times New Roman"/>
          <w:sz w:val="24"/>
          <w:szCs w:val="24"/>
        </w:rPr>
        <w:t>who repeat Math B6</w:t>
      </w:r>
      <w:r w:rsidR="00DC1D6D">
        <w:rPr>
          <w:rFonts w:ascii="Times New Roman" w:hAnsi="Times New Roman" w:cs="Times New Roman"/>
          <w:sz w:val="24"/>
          <w:szCs w:val="24"/>
        </w:rPr>
        <w:t>0 successfully</w:t>
      </w:r>
      <w:r w:rsidR="00212D97" w:rsidRPr="00347697">
        <w:rPr>
          <w:rFonts w:ascii="Times New Roman" w:hAnsi="Times New Roman" w:cs="Times New Roman"/>
          <w:sz w:val="24"/>
          <w:szCs w:val="24"/>
        </w:rPr>
        <w:t xml:space="preserve"> are especially likely to continue</w:t>
      </w:r>
      <w:r w:rsidR="007F50E9" w:rsidRPr="00347697">
        <w:rPr>
          <w:rFonts w:ascii="Times New Roman" w:hAnsi="Times New Roman" w:cs="Times New Roman"/>
          <w:sz w:val="24"/>
          <w:szCs w:val="24"/>
        </w:rPr>
        <w:t xml:space="preserve"> into a third course</w:t>
      </w:r>
      <w:r w:rsidR="00944EB1">
        <w:rPr>
          <w:rFonts w:ascii="Times New Roman" w:hAnsi="Times New Roman" w:cs="Times New Roman"/>
          <w:sz w:val="24"/>
          <w:szCs w:val="24"/>
        </w:rPr>
        <w:t>, with two-thirds (67%) doing so</w:t>
      </w:r>
      <w:r w:rsidR="007333F8" w:rsidRPr="00347697">
        <w:rPr>
          <w:rFonts w:ascii="Times New Roman" w:hAnsi="Times New Roman" w:cs="Times New Roman"/>
          <w:sz w:val="24"/>
          <w:szCs w:val="24"/>
        </w:rPr>
        <w:t xml:space="preserve">.  </w:t>
      </w:r>
    </w:p>
    <w:p w14:paraId="774F44AB" w14:textId="77777777" w:rsidR="00BA187F" w:rsidRPr="00347697" w:rsidRDefault="00BA187F" w:rsidP="00276DDF">
      <w:pPr>
        <w:spacing w:after="0" w:line="240" w:lineRule="auto"/>
        <w:rPr>
          <w:rFonts w:ascii="Times New Roman" w:hAnsi="Times New Roman" w:cs="Times New Roman"/>
          <w:sz w:val="24"/>
          <w:szCs w:val="24"/>
        </w:rPr>
      </w:pPr>
    </w:p>
    <w:p w14:paraId="00312C93" w14:textId="09A40D29" w:rsidR="00AA3AF7" w:rsidRPr="00347697" w:rsidRDefault="00AA3AF7" w:rsidP="00AA3AF7">
      <w:pPr>
        <w:spacing w:after="0" w:line="240" w:lineRule="auto"/>
        <w:rPr>
          <w:rFonts w:ascii="Times New Roman" w:hAnsi="Times New Roman" w:cs="Times New Roman"/>
          <w:sz w:val="24"/>
          <w:szCs w:val="24"/>
          <w:u w:val="single"/>
        </w:rPr>
      </w:pPr>
      <w:r w:rsidRPr="00347697">
        <w:rPr>
          <w:rFonts w:ascii="Times New Roman" w:hAnsi="Times New Roman" w:cs="Times New Roman"/>
          <w:sz w:val="24"/>
          <w:szCs w:val="24"/>
          <w:u w:val="single"/>
        </w:rPr>
        <w:t xml:space="preserve">Students who </w:t>
      </w:r>
      <w:r w:rsidR="007D057F" w:rsidRPr="00347697">
        <w:rPr>
          <w:rFonts w:ascii="Times New Roman" w:hAnsi="Times New Roman" w:cs="Times New Roman"/>
          <w:sz w:val="24"/>
          <w:szCs w:val="24"/>
          <w:u w:val="single"/>
        </w:rPr>
        <w:t xml:space="preserve">are Unsuccessful in their Second </w:t>
      </w:r>
      <w:r w:rsidR="007333F8" w:rsidRPr="00347697">
        <w:rPr>
          <w:rFonts w:ascii="Times New Roman" w:hAnsi="Times New Roman" w:cs="Times New Roman"/>
          <w:sz w:val="24"/>
          <w:szCs w:val="24"/>
          <w:u w:val="single"/>
        </w:rPr>
        <w:t>Quantitative</w:t>
      </w:r>
      <w:r w:rsidR="007D057F" w:rsidRPr="00347697">
        <w:rPr>
          <w:rFonts w:ascii="Times New Roman" w:hAnsi="Times New Roman" w:cs="Times New Roman"/>
          <w:sz w:val="24"/>
          <w:szCs w:val="24"/>
          <w:u w:val="single"/>
        </w:rPr>
        <w:t xml:space="preserve"> Course</w:t>
      </w:r>
    </w:p>
    <w:p w14:paraId="4CDB1001" w14:textId="77777777" w:rsidR="00503460" w:rsidRPr="00347697" w:rsidRDefault="00503460" w:rsidP="00347697">
      <w:pPr>
        <w:spacing w:after="0" w:line="240" w:lineRule="auto"/>
        <w:rPr>
          <w:rFonts w:ascii="Times New Roman" w:hAnsi="Times New Roman" w:cs="Times New Roman"/>
          <w:sz w:val="24"/>
          <w:szCs w:val="24"/>
        </w:rPr>
      </w:pPr>
    </w:p>
    <w:p w14:paraId="0B01E5A3" w14:textId="58329865" w:rsidR="00503460" w:rsidRPr="00347697" w:rsidRDefault="009A2706"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One will note in Table </w:t>
      </w:r>
      <w:r w:rsidR="00AB47FC">
        <w:rPr>
          <w:rFonts w:ascii="Times New Roman" w:hAnsi="Times New Roman" w:cs="Times New Roman"/>
          <w:sz w:val="24"/>
          <w:szCs w:val="24"/>
        </w:rPr>
        <w:t>7</w:t>
      </w:r>
      <w:r w:rsidRPr="00347697">
        <w:rPr>
          <w:rFonts w:ascii="Times New Roman" w:hAnsi="Times New Roman" w:cs="Times New Roman"/>
          <w:sz w:val="24"/>
          <w:szCs w:val="24"/>
        </w:rPr>
        <w:t xml:space="preserve"> that very </w:t>
      </w:r>
      <w:r w:rsidR="006F07C9" w:rsidRPr="00347697">
        <w:rPr>
          <w:rFonts w:ascii="Times New Roman" w:hAnsi="Times New Roman" w:cs="Times New Roman"/>
          <w:sz w:val="24"/>
          <w:szCs w:val="24"/>
        </w:rPr>
        <w:t xml:space="preserve">few students </w:t>
      </w:r>
      <w:r w:rsidR="00454B6D">
        <w:rPr>
          <w:rFonts w:ascii="Times New Roman" w:hAnsi="Times New Roman" w:cs="Times New Roman"/>
          <w:sz w:val="24"/>
          <w:szCs w:val="24"/>
        </w:rPr>
        <w:t xml:space="preserve">in the </w:t>
      </w:r>
      <w:r w:rsidR="00B25A09">
        <w:rPr>
          <w:rFonts w:ascii="Times New Roman" w:hAnsi="Times New Roman" w:cs="Times New Roman"/>
          <w:sz w:val="24"/>
          <w:szCs w:val="24"/>
        </w:rPr>
        <w:t>common</w:t>
      </w:r>
      <w:r w:rsidR="00454B6D">
        <w:rPr>
          <w:rFonts w:ascii="Times New Roman" w:hAnsi="Times New Roman" w:cs="Times New Roman"/>
          <w:sz w:val="24"/>
          <w:szCs w:val="24"/>
        </w:rPr>
        <w:t xml:space="preserve"> pathways </w:t>
      </w:r>
      <w:r w:rsidR="006F07C9" w:rsidRPr="00347697">
        <w:rPr>
          <w:rFonts w:ascii="Times New Roman" w:hAnsi="Times New Roman" w:cs="Times New Roman"/>
          <w:sz w:val="24"/>
          <w:szCs w:val="24"/>
        </w:rPr>
        <w:t xml:space="preserve">who </w:t>
      </w:r>
      <w:r w:rsidR="004C0CD1" w:rsidRPr="00347697">
        <w:rPr>
          <w:rFonts w:ascii="Times New Roman" w:hAnsi="Times New Roman" w:cs="Times New Roman"/>
          <w:sz w:val="24"/>
          <w:szCs w:val="24"/>
        </w:rPr>
        <w:t xml:space="preserve">have </w:t>
      </w:r>
      <w:r w:rsidR="00454B6D">
        <w:rPr>
          <w:rFonts w:ascii="Times New Roman" w:hAnsi="Times New Roman" w:cs="Times New Roman"/>
          <w:sz w:val="24"/>
          <w:szCs w:val="24"/>
        </w:rPr>
        <w:t xml:space="preserve">two </w:t>
      </w:r>
      <w:r w:rsidR="004C0CD1" w:rsidRPr="00347697">
        <w:rPr>
          <w:rFonts w:ascii="Times New Roman" w:hAnsi="Times New Roman" w:cs="Times New Roman"/>
          <w:sz w:val="24"/>
          <w:szCs w:val="24"/>
        </w:rPr>
        <w:t xml:space="preserve">consecutive unsuccessful attempts in quantitative courses </w:t>
      </w:r>
      <w:r w:rsidR="006F07C9" w:rsidRPr="00347697">
        <w:rPr>
          <w:rFonts w:ascii="Times New Roman" w:hAnsi="Times New Roman" w:cs="Times New Roman"/>
          <w:sz w:val="24"/>
          <w:szCs w:val="24"/>
        </w:rPr>
        <w:t xml:space="preserve">make additional attempts of any </w:t>
      </w:r>
      <w:r w:rsidR="00A8192E" w:rsidRPr="00347697">
        <w:rPr>
          <w:rFonts w:ascii="Times New Roman" w:hAnsi="Times New Roman" w:cs="Times New Roman"/>
          <w:sz w:val="24"/>
          <w:szCs w:val="24"/>
        </w:rPr>
        <w:t xml:space="preserve">quantitative </w:t>
      </w:r>
      <w:r w:rsidR="006F07C9" w:rsidRPr="00347697">
        <w:rPr>
          <w:rFonts w:ascii="Times New Roman" w:hAnsi="Times New Roman" w:cs="Times New Roman"/>
          <w:sz w:val="24"/>
          <w:szCs w:val="24"/>
        </w:rPr>
        <w:t>course.</w:t>
      </w:r>
      <w:r w:rsidR="00CD6E11">
        <w:rPr>
          <w:rStyle w:val="FootnoteReference"/>
          <w:rFonts w:ascii="Times New Roman" w:hAnsi="Times New Roman" w:cs="Times New Roman"/>
          <w:sz w:val="24"/>
          <w:szCs w:val="24"/>
        </w:rPr>
        <w:footnoteReference w:id="4"/>
      </w:r>
      <w:r w:rsidR="006F07C9" w:rsidRPr="00347697">
        <w:rPr>
          <w:rFonts w:ascii="Times New Roman" w:hAnsi="Times New Roman" w:cs="Times New Roman"/>
          <w:sz w:val="24"/>
          <w:szCs w:val="24"/>
        </w:rPr>
        <w:t xml:space="preserve">  </w:t>
      </w:r>
      <w:r w:rsidR="00714C5A" w:rsidRPr="00347697">
        <w:rPr>
          <w:rFonts w:ascii="Times New Roman" w:hAnsi="Times New Roman" w:cs="Times New Roman"/>
          <w:sz w:val="24"/>
          <w:szCs w:val="24"/>
        </w:rPr>
        <w:t xml:space="preserve">In other words, the occurrence of two consecutive unsuccessful attempts strongly predicts the end of </w:t>
      </w:r>
      <w:r w:rsidR="00B25A09">
        <w:rPr>
          <w:rFonts w:ascii="Times New Roman" w:hAnsi="Times New Roman" w:cs="Times New Roman"/>
          <w:sz w:val="24"/>
          <w:szCs w:val="24"/>
        </w:rPr>
        <w:t xml:space="preserve">a </w:t>
      </w:r>
      <w:r w:rsidR="00714C5A" w:rsidRPr="00347697">
        <w:rPr>
          <w:rFonts w:ascii="Times New Roman" w:hAnsi="Times New Roman" w:cs="Times New Roman"/>
          <w:sz w:val="24"/>
          <w:szCs w:val="24"/>
        </w:rPr>
        <w:t>student</w:t>
      </w:r>
      <w:r w:rsidR="00B25A09">
        <w:rPr>
          <w:rFonts w:ascii="Times New Roman" w:hAnsi="Times New Roman" w:cs="Times New Roman"/>
          <w:sz w:val="24"/>
          <w:szCs w:val="24"/>
        </w:rPr>
        <w:t>’</w:t>
      </w:r>
      <w:r w:rsidR="00714C5A" w:rsidRPr="00347697">
        <w:rPr>
          <w:rFonts w:ascii="Times New Roman" w:hAnsi="Times New Roman" w:cs="Times New Roman"/>
          <w:sz w:val="24"/>
          <w:szCs w:val="24"/>
        </w:rPr>
        <w:t xml:space="preserve">s </w:t>
      </w:r>
      <w:r w:rsidR="00A8192E" w:rsidRPr="00347697">
        <w:rPr>
          <w:rFonts w:ascii="Times New Roman" w:hAnsi="Times New Roman" w:cs="Times New Roman"/>
          <w:sz w:val="24"/>
          <w:szCs w:val="24"/>
        </w:rPr>
        <w:t xml:space="preserve">quantitative </w:t>
      </w:r>
      <w:r w:rsidR="00714C5A" w:rsidRPr="00347697">
        <w:rPr>
          <w:rFonts w:ascii="Times New Roman" w:hAnsi="Times New Roman" w:cs="Times New Roman"/>
          <w:sz w:val="24"/>
          <w:szCs w:val="24"/>
        </w:rPr>
        <w:t xml:space="preserve">course-taking, with just </w:t>
      </w:r>
      <w:r w:rsidR="000B4DDB">
        <w:rPr>
          <w:rFonts w:ascii="Times New Roman" w:hAnsi="Times New Roman" w:cs="Times New Roman"/>
          <w:sz w:val="24"/>
          <w:szCs w:val="24"/>
        </w:rPr>
        <w:t>11</w:t>
      </w:r>
      <w:r w:rsidR="00714C5A" w:rsidRPr="00347697">
        <w:rPr>
          <w:rFonts w:ascii="Times New Roman" w:hAnsi="Times New Roman" w:cs="Times New Roman"/>
          <w:sz w:val="24"/>
          <w:szCs w:val="24"/>
        </w:rPr>
        <w:t>% of students making a third attempt of a</w:t>
      </w:r>
      <w:r w:rsidR="004C0CD1" w:rsidRPr="00347697">
        <w:rPr>
          <w:rFonts w:ascii="Times New Roman" w:hAnsi="Times New Roman" w:cs="Times New Roman"/>
          <w:sz w:val="24"/>
          <w:szCs w:val="24"/>
        </w:rPr>
        <w:t>ny</w:t>
      </w:r>
      <w:r w:rsidR="00714C5A" w:rsidRPr="00347697">
        <w:rPr>
          <w:rFonts w:ascii="Times New Roman" w:hAnsi="Times New Roman" w:cs="Times New Roman"/>
          <w:sz w:val="24"/>
          <w:szCs w:val="24"/>
        </w:rPr>
        <w:t xml:space="preserve"> </w:t>
      </w:r>
      <w:r w:rsidR="00A8192E" w:rsidRPr="00347697">
        <w:rPr>
          <w:rFonts w:ascii="Times New Roman" w:hAnsi="Times New Roman" w:cs="Times New Roman"/>
          <w:sz w:val="24"/>
          <w:szCs w:val="24"/>
        </w:rPr>
        <w:t xml:space="preserve">quantitative </w:t>
      </w:r>
      <w:r w:rsidR="00714C5A" w:rsidRPr="00347697">
        <w:rPr>
          <w:rFonts w:ascii="Times New Roman" w:hAnsi="Times New Roman" w:cs="Times New Roman"/>
          <w:sz w:val="24"/>
          <w:szCs w:val="24"/>
        </w:rPr>
        <w:t>course.</w:t>
      </w:r>
    </w:p>
    <w:p w14:paraId="7F7CF260" w14:textId="77777777" w:rsidR="006F07C9" w:rsidRPr="00347697" w:rsidRDefault="006F07C9" w:rsidP="00347697">
      <w:pPr>
        <w:spacing w:after="0" w:line="240" w:lineRule="auto"/>
        <w:rPr>
          <w:rFonts w:ascii="Times New Roman" w:hAnsi="Times New Roman" w:cs="Times New Roman"/>
          <w:sz w:val="24"/>
          <w:szCs w:val="24"/>
        </w:rPr>
      </w:pPr>
    </w:p>
    <w:p w14:paraId="0F598341" w14:textId="13FE6348" w:rsidR="00C233D5" w:rsidRPr="00347697" w:rsidRDefault="000B4DDB" w:rsidP="00347697">
      <w:pPr>
        <w:spacing w:after="0" w:line="240" w:lineRule="auto"/>
        <w:rPr>
          <w:rFonts w:ascii="Times New Roman" w:hAnsi="Times New Roman" w:cs="Times New Roman"/>
          <w:sz w:val="24"/>
          <w:szCs w:val="24"/>
        </w:rPr>
      </w:pPr>
      <w:r>
        <w:rPr>
          <w:rFonts w:ascii="Times New Roman" w:hAnsi="Times New Roman" w:cs="Times New Roman"/>
          <w:sz w:val="24"/>
          <w:szCs w:val="24"/>
        </w:rPr>
        <w:t>On the other hand, a</w:t>
      </w:r>
      <w:r w:rsidRPr="00347697">
        <w:rPr>
          <w:rFonts w:ascii="Times New Roman" w:hAnsi="Times New Roman" w:cs="Times New Roman"/>
          <w:sz w:val="24"/>
          <w:szCs w:val="24"/>
        </w:rPr>
        <w:t xml:space="preserve"> </w:t>
      </w:r>
      <w:r w:rsidR="00714C5A" w:rsidRPr="00347697">
        <w:rPr>
          <w:rFonts w:ascii="Times New Roman" w:hAnsi="Times New Roman" w:cs="Times New Roman"/>
          <w:sz w:val="24"/>
          <w:szCs w:val="24"/>
        </w:rPr>
        <w:t>little more than half (</w:t>
      </w:r>
      <w:r>
        <w:rPr>
          <w:rFonts w:ascii="Times New Roman" w:hAnsi="Times New Roman" w:cs="Times New Roman"/>
          <w:sz w:val="24"/>
          <w:szCs w:val="24"/>
        </w:rPr>
        <w:t>54</w:t>
      </w:r>
      <w:r w:rsidR="00714C5A" w:rsidRPr="00347697">
        <w:rPr>
          <w:rFonts w:ascii="Times New Roman" w:hAnsi="Times New Roman" w:cs="Times New Roman"/>
          <w:sz w:val="24"/>
          <w:szCs w:val="24"/>
        </w:rPr>
        <w:t xml:space="preserve">%) of students </w:t>
      </w:r>
      <w:r>
        <w:rPr>
          <w:rFonts w:ascii="Times New Roman" w:hAnsi="Times New Roman" w:cs="Times New Roman"/>
          <w:sz w:val="24"/>
          <w:szCs w:val="24"/>
        </w:rPr>
        <w:t xml:space="preserve">in the </w:t>
      </w:r>
      <w:r w:rsidR="00B25A09">
        <w:rPr>
          <w:rFonts w:ascii="Times New Roman" w:hAnsi="Times New Roman" w:cs="Times New Roman"/>
          <w:sz w:val="24"/>
          <w:szCs w:val="24"/>
        </w:rPr>
        <w:t>common</w:t>
      </w:r>
      <w:r>
        <w:rPr>
          <w:rFonts w:ascii="Times New Roman" w:hAnsi="Times New Roman" w:cs="Times New Roman"/>
          <w:sz w:val="24"/>
          <w:szCs w:val="24"/>
        </w:rPr>
        <w:t xml:space="preserve"> pathways </w:t>
      </w:r>
      <w:r w:rsidR="00714C5A" w:rsidRPr="00347697">
        <w:rPr>
          <w:rFonts w:ascii="Times New Roman" w:hAnsi="Times New Roman" w:cs="Times New Roman"/>
          <w:sz w:val="24"/>
          <w:szCs w:val="24"/>
        </w:rPr>
        <w:t xml:space="preserve">who are </w:t>
      </w:r>
      <w:r w:rsidR="00714C5A" w:rsidRPr="00347697">
        <w:rPr>
          <w:rFonts w:ascii="Times New Roman" w:hAnsi="Times New Roman" w:cs="Times New Roman"/>
          <w:i/>
          <w:sz w:val="24"/>
          <w:szCs w:val="24"/>
        </w:rPr>
        <w:t>successful</w:t>
      </w:r>
      <w:r w:rsidR="00714C5A" w:rsidRPr="00347697">
        <w:rPr>
          <w:rFonts w:ascii="Times New Roman" w:hAnsi="Times New Roman" w:cs="Times New Roman"/>
          <w:sz w:val="24"/>
          <w:szCs w:val="24"/>
        </w:rPr>
        <w:t xml:space="preserve"> in the first attempt of their first </w:t>
      </w:r>
      <w:r w:rsidR="00A8192E" w:rsidRPr="00347697">
        <w:rPr>
          <w:rFonts w:ascii="Times New Roman" w:hAnsi="Times New Roman" w:cs="Times New Roman"/>
          <w:sz w:val="24"/>
          <w:szCs w:val="24"/>
        </w:rPr>
        <w:t xml:space="preserve">quantitative </w:t>
      </w:r>
      <w:r w:rsidR="00714C5A" w:rsidRPr="00347697">
        <w:rPr>
          <w:rFonts w:ascii="Times New Roman" w:hAnsi="Times New Roman" w:cs="Times New Roman"/>
          <w:sz w:val="24"/>
          <w:szCs w:val="24"/>
        </w:rPr>
        <w:t xml:space="preserve">course but who are </w:t>
      </w:r>
      <w:r w:rsidR="00714C5A" w:rsidRPr="00347697">
        <w:rPr>
          <w:rFonts w:ascii="Times New Roman" w:hAnsi="Times New Roman" w:cs="Times New Roman"/>
          <w:i/>
          <w:sz w:val="24"/>
          <w:szCs w:val="24"/>
        </w:rPr>
        <w:t>unsuccessful</w:t>
      </w:r>
      <w:r w:rsidR="00714C5A" w:rsidRPr="00347697">
        <w:rPr>
          <w:rFonts w:ascii="Times New Roman" w:hAnsi="Times New Roman" w:cs="Times New Roman"/>
          <w:sz w:val="24"/>
          <w:szCs w:val="24"/>
        </w:rPr>
        <w:t xml:space="preserve"> in the first attempt of their second </w:t>
      </w:r>
      <w:r w:rsidR="00A8192E" w:rsidRPr="00347697">
        <w:rPr>
          <w:rFonts w:ascii="Times New Roman" w:hAnsi="Times New Roman" w:cs="Times New Roman"/>
          <w:sz w:val="24"/>
          <w:szCs w:val="24"/>
        </w:rPr>
        <w:t xml:space="preserve">quantitative </w:t>
      </w:r>
      <w:r w:rsidR="00714C5A" w:rsidRPr="00347697">
        <w:rPr>
          <w:rFonts w:ascii="Times New Roman" w:hAnsi="Times New Roman" w:cs="Times New Roman"/>
          <w:sz w:val="24"/>
          <w:szCs w:val="24"/>
        </w:rPr>
        <w:t xml:space="preserve">course </w:t>
      </w:r>
      <w:r w:rsidR="00B25A09">
        <w:rPr>
          <w:rFonts w:ascii="Times New Roman" w:hAnsi="Times New Roman" w:cs="Times New Roman"/>
          <w:sz w:val="24"/>
          <w:szCs w:val="24"/>
        </w:rPr>
        <w:t xml:space="preserve">ultimately </w:t>
      </w:r>
      <w:r w:rsidR="00C233D5" w:rsidRPr="00347697">
        <w:rPr>
          <w:rFonts w:ascii="Times New Roman" w:hAnsi="Times New Roman" w:cs="Times New Roman"/>
          <w:sz w:val="24"/>
          <w:szCs w:val="24"/>
        </w:rPr>
        <w:t xml:space="preserve">attempt a third course.  The majority of these third courses are repeats of the second course.    </w:t>
      </w:r>
    </w:p>
    <w:p w14:paraId="6AB9E860" w14:textId="77777777" w:rsidR="00163AC5" w:rsidRPr="00347697" w:rsidRDefault="00163AC5" w:rsidP="00E32131">
      <w:pPr>
        <w:spacing w:after="0" w:line="240" w:lineRule="auto"/>
        <w:ind w:left="1080"/>
        <w:rPr>
          <w:rFonts w:ascii="Times New Roman" w:hAnsi="Times New Roman" w:cs="Times New Roman"/>
          <w:sz w:val="24"/>
          <w:szCs w:val="24"/>
        </w:rPr>
      </w:pPr>
    </w:p>
    <w:p w14:paraId="3AABF274" w14:textId="24CF3313" w:rsidR="00E32131" w:rsidRPr="00347697" w:rsidRDefault="00C13116" w:rsidP="00E32131">
      <w:pPr>
        <w:spacing w:after="0" w:line="240" w:lineRule="auto"/>
        <w:rPr>
          <w:rFonts w:ascii="Times New Roman" w:hAnsi="Times New Roman" w:cs="Times New Roman"/>
          <w:b/>
          <w:sz w:val="24"/>
          <w:szCs w:val="24"/>
        </w:rPr>
      </w:pPr>
      <w:r w:rsidRPr="00DE65E2">
        <w:rPr>
          <w:rFonts w:ascii="Times New Roman" w:hAnsi="Times New Roman" w:cs="Times New Roman"/>
          <w:b/>
          <w:sz w:val="24"/>
          <w:szCs w:val="24"/>
        </w:rPr>
        <w:t>5</w:t>
      </w:r>
      <w:r w:rsidR="004F61FA" w:rsidRPr="00DE65E2">
        <w:rPr>
          <w:rFonts w:ascii="Times New Roman" w:hAnsi="Times New Roman" w:cs="Times New Roman"/>
          <w:b/>
          <w:sz w:val="24"/>
          <w:szCs w:val="24"/>
        </w:rPr>
        <w:t>.</w:t>
      </w:r>
      <w:r w:rsidR="00C43974" w:rsidRPr="00DE65E2">
        <w:rPr>
          <w:rFonts w:ascii="Times New Roman" w:hAnsi="Times New Roman" w:cs="Times New Roman"/>
          <w:b/>
          <w:sz w:val="24"/>
          <w:szCs w:val="24"/>
        </w:rPr>
        <w:t>6</w:t>
      </w:r>
      <w:r w:rsidR="00E32131" w:rsidRPr="00DE65E2">
        <w:rPr>
          <w:rFonts w:ascii="Times New Roman" w:hAnsi="Times New Roman" w:cs="Times New Roman"/>
          <w:b/>
          <w:sz w:val="24"/>
          <w:szCs w:val="24"/>
        </w:rPr>
        <w:t xml:space="preserve"> </w:t>
      </w:r>
      <w:r w:rsidR="00F13CBA" w:rsidRPr="00DE65E2">
        <w:rPr>
          <w:rFonts w:ascii="Times New Roman" w:hAnsi="Times New Roman" w:cs="Times New Roman"/>
          <w:b/>
          <w:sz w:val="24"/>
          <w:szCs w:val="24"/>
        </w:rPr>
        <w:t xml:space="preserve">Structural Characteristics </w:t>
      </w:r>
      <w:r w:rsidR="00E14CC8" w:rsidRPr="00DE65E2">
        <w:rPr>
          <w:rFonts w:ascii="Times New Roman" w:hAnsi="Times New Roman" w:cs="Times New Roman"/>
          <w:b/>
          <w:sz w:val="24"/>
          <w:szCs w:val="24"/>
        </w:rPr>
        <w:t xml:space="preserve">versus </w:t>
      </w:r>
      <w:r w:rsidR="000B6413" w:rsidRPr="00DE65E2">
        <w:rPr>
          <w:rFonts w:ascii="Times New Roman" w:hAnsi="Times New Roman" w:cs="Times New Roman"/>
          <w:b/>
          <w:sz w:val="24"/>
          <w:szCs w:val="24"/>
        </w:rPr>
        <w:t>Student Characteristics</w:t>
      </w:r>
      <w:r w:rsidR="00E14CC8" w:rsidRPr="00347697">
        <w:rPr>
          <w:rFonts w:ascii="Times New Roman" w:hAnsi="Times New Roman" w:cs="Times New Roman"/>
          <w:b/>
          <w:sz w:val="24"/>
          <w:szCs w:val="24"/>
        </w:rPr>
        <w:t xml:space="preserve"> </w:t>
      </w:r>
    </w:p>
    <w:p w14:paraId="7181309E" w14:textId="77777777" w:rsidR="00E32131" w:rsidRPr="00347697" w:rsidRDefault="00E32131" w:rsidP="00E32131">
      <w:pPr>
        <w:spacing w:after="0" w:line="240" w:lineRule="auto"/>
        <w:rPr>
          <w:rFonts w:ascii="Times New Roman" w:hAnsi="Times New Roman" w:cs="Times New Roman"/>
          <w:i/>
          <w:sz w:val="24"/>
          <w:szCs w:val="24"/>
        </w:rPr>
      </w:pPr>
    </w:p>
    <w:p w14:paraId="25452B71" w14:textId="288E6550" w:rsidR="00500A49" w:rsidRPr="00347697" w:rsidRDefault="00500A49" w:rsidP="00500A49">
      <w:pPr>
        <w:spacing w:after="0" w:line="240" w:lineRule="auto"/>
        <w:rPr>
          <w:rFonts w:ascii="Times New Roman" w:hAnsi="Times New Roman" w:cs="Times New Roman"/>
          <w:sz w:val="24"/>
          <w:szCs w:val="24"/>
        </w:rPr>
      </w:pPr>
      <w:r w:rsidRPr="00347697">
        <w:rPr>
          <w:rFonts w:ascii="Times New Roman" w:hAnsi="Times New Roman" w:cs="Times New Roman"/>
          <w:sz w:val="24"/>
          <w:szCs w:val="24"/>
          <w:u w:val="single"/>
        </w:rPr>
        <w:t>Question</w:t>
      </w:r>
    </w:p>
    <w:p w14:paraId="69A065B7" w14:textId="77777777" w:rsidR="00500A49" w:rsidRPr="00347697" w:rsidRDefault="00500A49" w:rsidP="00E32131">
      <w:pPr>
        <w:spacing w:after="0" w:line="240" w:lineRule="auto"/>
        <w:ind w:left="1080"/>
        <w:rPr>
          <w:rFonts w:ascii="Times New Roman" w:hAnsi="Times New Roman" w:cs="Times New Roman"/>
          <w:sz w:val="24"/>
          <w:szCs w:val="24"/>
        </w:rPr>
      </w:pPr>
    </w:p>
    <w:p w14:paraId="35996A6C" w14:textId="52D2D639" w:rsidR="00E32131" w:rsidRDefault="002B587F">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D26EF" w:rsidRPr="00347697">
        <w:rPr>
          <w:rFonts w:ascii="Times New Roman" w:hAnsi="Times New Roman" w:cs="Times New Roman"/>
          <w:sz w:val="24"/>
          <w:szCs w:val="24"/>
        </w:rPr>
        <w:t xml:space="preserve">t </w:t>
      </w:r>
      <w:r w:rsidR="007333F8" w:rsidRPr="00347697">
        <w:rPr>
          <w:rFonts w:ascii="Times New Roman" w:hAnsi="Times New Roman" w:cs="Times New Roman"/>
          <w:sz w:val="24"/>
          <w:szCs w:val="24"/>
        </w:rPr>
        <w:t xml:space="preserve">is clear that there are marked </w:t>
      </w:r>
      <w:r w:rsidR="00E14CC8" w:rsidRPr="00347697">
        <w:rPr>
          <w:rFonts w:ascii="Times New Roman" w:hAnsi="Times New Roman" w:cs="Times New Roman"/>
          <w:sz w:val="24"/>
          <w:szCs w:val="24"/>
        </w:rPr>
        <w:t xml:space="preserve">differences </w:t>
      </w:r>
      <w:r>
        <w:rPr>
          <w:rFonts w:ascii="Times New Roman" w:hAnsi="Times New Roman" w:cs="Times New Roman"/>
          <w:sz w:val="24"/>
          <w:szCs w:val="24"/>
        </w:rPr>
        <w:t xml:space="preserve">in outcomes </w:t>
      </w:r>
      <w:r w:rsidR="007333F8" w:rsidRPr="00347697">
        <w:rPr>
          <w:rFonts w:ascii="Times New Roman" w:hAnsi="Times New Roman" w:cs="Times New Roman"/>
          <w:sz w:val="24"/>
          <w:szCs w:val="24"/>
        </w:rPr>
        <w:t xml:space="preserve">between students </w:t>
      </w:r>
      <w:r>
        <w:rPr>
          <w:rFonts w:ascii="Times New Roman" w:hAnsi="Times New Roman" w:cs="Times New Roman"/>
          <w:sz w:val="24"/>
          <w:szCs w:val="24"/>
        </w:rPr>
        <w:t xml:space="preserve">who enter the developmental math curriculum </w:t>
      </w:r>
      <w:r w:rsidR="002724B8">
        <w:rPr>
          <w:rFonts w:ascii="Times New Roman" w:hAnsi="Times New Roman" w:cs="Times New Roman"/>
          <w:sz w:val="24"/>
          <w:szCs w:val="24"/>
        </w:rPr>
        <w:t>through different courses</w:t>
      </w:r>
      <w:r w:rsidR="00E14CC8" w:rsidRPr="00347697">
        <w:rPr>
          <w:rFonts w:ascii="Times New Roman" w:hAnsi="Times New Roman" w:cs="Times New Roman"/>
          <w:sz w:val="24"/>
          <w:szCs w:val="24"/>
        </w:rPr>
        <w:t xml:space="preserve">.  However, </w:t>
      </w:r>
      <w:r w:rsidR="00802776" w:rsidRPr="00347697">
        <w:rPr>
          <w:rFonts w:ascii="Times New Roman" w:hAnsi="Times New Roman" w:cs="Times New Roman"/>
          <w:sz w:val="24"/>
          <w:szCs w:val="24"/>
        </w:rPr>
        <w:t xml:space="preserve">none of the analyses presented in this report up to this point have been able to determine </w:t>
      </w:r>
      <w:r w:rsidR="001F2A10" w:rsidRPr="00347697">
        <w:rPr>
          <w:rFonts w:ascii="Times New Roman" w:hAnsi="Times New Roman" w:cs="Times New Roman"/>
          <w:sz w:val="24"/>
          <w:szCs w:val="24"/>
        </w:rPr>
        <w:t xml:space="preserve">the extent to which </w:t>
      </w:r>
      <w:r w:rsidR="00802776" w:rsidRPr="00347697">
        <w:rPr>
          <w:rFonts w:ascii="Times New Roman" w:hAnsi="Times New Roman" w:cs="Times New Roman"/>
          <w:sz w:val="24"/>
          <w:szCs w:val="24"/>
        </w:rPr>
        <w:t>the</w:t>
      </w:r>
      <w:r w:rsidR="00957CE7">
        <w:rPr>
          <w:rFonts w:ascii="Times New Roman" w:hAnsi="Times New Roman" w:cs="Times New Roman"/>
          <w:sz w:val="24"/>
          <w:szCs w:val="24"/>
        </w:rPr>
        <w:t>se</w:t>
      </w:r>
      <w:r w:rsidR="00802776" w:rsidRPr="00347697">
        <w:rPr>
          <w:rFonts w:ascii="Times New Roman" w:hAnsi="Times New Roman" w:cs="Times New Roman"/>
          <w:sz w:val="24"/>
          <w:szCs w:val="24"/>
        </w:rPr>
        <w:t xml:space="preserve"> </w:t>
      </w:r>
      <w:r w:rsidR="00E14CC8" w:rsidRPr="00347697">
        <w:rPr>
          <w:rFonts w:ascii="Times New Roman" w:hAnsi="Times New Roman" w:cs="Times New Roman"/>
          <w:sz w:val="24"/>
          <w:szCs w:val="24"/>
        </w:rPr>
        <w:t xml:space="preserve">differences </w:t>
      </w:r>
      <w:r w:rsidR="007C7A0C" w:rsidRPr="00347697">
        <w:rPr>
          <w:rFonts w:ascii="Times New Roman" w:hAnsi="Times New Roman" w:cs="Times New Roman"/>
          <w:sz w:val="24"/>
          <w:szCs w:val="24"/>
        </w:rPr>
        <w:t xml:space="preserve">are </w:t>
      </w:r>
      <w:r w:rsidR="00E14CC8" w:rsidRPr="00347697">
        <w:rPr>
          <w:rFonts w:ascii="Times New Roman" w:hAnsi="Times New Roman" w:cs="Times New Roman"/>
          <w:sz w:val="24"/>
          <w:szCs w:val="24"/>
        </w:rPr>
        <w:t xml:space="preserve">due to the characteristics of students who tend to select particular </w:t>
      </w:r>
      <w:r w:rsidR="00F67E63">
        <w:rPr>
          <w:rFonts w:ascii="Times New Roman" w:hAnsi="Times New Roman" w:cs="Times New Roman"/>
          <w:sz w:val="24"/>
          <w:szCs w:val="24"/>
        </w:rPr>
        <w:t>entry points</w:t>
      </w:r>
      <w:r w:rsidR="00F67E63" w:rsidRPr="00347697">
        <w:rPr>
          <w:rFonts w:ascii="Times New Roman" w:hAnsi="Times New Roman" w:cs="Times New Roman"/>
          <w:sz w:val="24"/>
          <w:szCs w:val="24"/>
        </w:rPr>
        <w:t xml:space="preserve"> </w:t>
      </w:r>
      <w:r w:rsidR="00957CE7">
        <w:rPr>
          <w:rFonts w:ascii="Times New Roman" w:hAnsi="Times New Roman" w:cs="Times New Roman"/>
          <w:sz w:val="24"/>
          <w:szCs w:val="24"/>
        </w:rPr>
        <w:t>as opposed to</w:t>
      </w:r>
      <w:r w:rsidR="00957CE7" w:rsidRPr="00347697">
        <w:rPr>
          <w:rFonts w:ascii="Times New Roman" w:hAnsi="Times New Roman" w:cs="Times New Roman"/>
          <w:sz w:val="24"/>
          <w:szCs w:val="24"/>
        </w:rPr>
        <w:t xml:space="preserve"> </w:t>
      </w:r>
      <w:r w:rsidR="00D62D30" w:rsidRPr="00347697">
        <w:rPr>
          <w:rFonts w:ascii="Times New Roman" w:hAnsi="Times New Roman" w:cs="Times New Roman"/>
          <w:sz w:val="24"/>
          <w:szCs w:val="24"/>
        </w:rPr>
        <w:t>the structure of the curriculum</w:t>
      </w:r>
      <w:r w:rsidR="00802776" w:rsidRPr="00347697">
        <w:rPr>
          <w:rFonts w:ascii="Times New Roman" w:hAnsi="Times New Roman" w:cs="Times New Roman"/>
          <w:sz w:val="24"/>
          <w:szCs w:val="24"/>
        </w:rPr>
        <w:t xml:space="preserve"> itself</w:t>
      </w:r>
      <w:r w:rsidR="00D62D30" w:rsidRPr="00347697">
        <w:rPr>
          <w:rFonts w:ascii="Times New Roman" w:hAnsi="Times New Roman" w:cs="Times New Roman"/>
          <w:sz w:val="24"/>
          <w:szCs w:val="24"/>
        </w:rPr>
        <w:t xml:space="preserve">, the nature of instruction, and other related </w:t>
      </w:r>
      <w:r w:rsidR="001F2A10" w:rsidRPr="00347697">
        <w:rPr>
          <w:rFonts w:ascii="Times New Roman" w:hAnsi="Times New Roman" w:cs="Times New Roman"/>
          <w:sz w:val="24"/>
          <w:szCs w:val="24"/>
        </w:rPr>
        <w:t xml:space="preserve">institutional </w:t>
      </w:r>
      <w:r w:rsidR="00D62D30" w:rsidRPr="00347697">
        <w:rPr>
          <w:rFonts w:ascii="Times New Roman" w:hAnsi="Times New Roman" w:cs="Times New Roman"/>
          <w:sz w:val="24"/>
          <w:szCs w:val="24"/>
        </w:rPr>
        <w:t xml:space="preserve">factors.  </w:t>
      </w:r>
      <w:r w:rsidR="004754C6">
        <w:rPr>
          <w:rFonts w:ascii="Times New Roman" w:hAnsi="Times New Roman" w:cs="Times New Roman"/>
          <w:sz w:val="24"/>
          <w:szCs w:val="24"/>
        </w:rPr>
        <w:t>Said another way</w:t>
      </w:r>
      <w:r w:rsidR="00B04BBA" w:rsidRPr="00347697">
        <w:rPr>
          <w:rFonts w:ascii="Times New Roman" w:hAnsi="Times New Roman" w:cs="Times New Roman"/>
          <w:sz w:val="24"/>
          <w:szCs w:val="24"/>
        </w:rPr>
        <w:t>, o</w:t>
      </w:r>
      <w:r w:rsidR="00C863B1" w:rsidRPr="00347697">
        <w:rPr>
          <w:rFonts w:ascii="Times New Roman" w:hAnsi="Times New Roman" w:cs="Times New Roman"/>
          <w:sz w:val="24"/>
          <w:szCs w:val="24"/>
        </w:rPr>
        <w:t xml:space="preserve">ne could ask whether </w:t>
      </w:r>
      <w:r w:rsidR="00B04BBA" w:rsidRPr="00347697">
        <w:rPr>
          <w:rFonts w:ascii="Times New Roman" w:hAnsi="Times New Roman" w:cs="Times New Roman"/>
          <w:sz w:val="24"/>
          <w:szCs w:val="24"/>
        </w:rPr>
        <w:t xml:space="preserve">the students </w:t>
      </w:r>
      <w:r w:rsidR="004754C6">
        <w:rPr>
          <w:rFonts w:ascii="Times New Roman" w:hAnsi="Times New Roman" w:cs="Times New Roman"/>
          <w:sz w:val="24"/>
          <w:szCs w:val="24"/>
        </w:rPr>
        <w:t xml:space="preserve">who enter through a given course </w:t>
      </w:r>
      <w:r w:rsidR="00B25A09">
        <w:rPr>
          <w:rFonts w:ascii="Times New Roman" w:hAnsi="Times New Roman" w:cs="Times New Roman"/>
          <w:i/>
          <w:sz w:val="24"/>
          <w:szCs w:val="24"/>
        </w:rPr>
        <w:t>A</w:t>
      </w:r>
      <w:r w:rsidR="00B25A09">
        <w:rPr>
          <w:rFonts w:ascii="Times New Roman" w:hAnsi="Times New Roman" w:cs="Times New Roman"/>
          <w:sz w:val="24"/>
          <w:szCs w:val="24"/>
        </w:rPr>
        <w:t xml:space="preserve"> </w:t>
      </w:r>
      <w:r w:rsidR="00B04BBA" w:rsidRPr="00347697">
        <w:rPr>
          <w:rFonts w:ascii="Times New Roman" w:hAnsi="Times New Roman" w:cs="Times New Roman"/>
          <w:sz w:val="24"/>
          <w:szCs w:val="24"/>
        </w:rPr>
        <w:t xml:space="preserve">achieve </w:t>
      </w:r>
      <w:r w:rsidR="0002110A">
        <w:rPr>
          <w:rFonts w:ascii="Times New Roman" w:hAnsi="Times New Roman" w:cs="Times New Roman"/>
          <w:sz w:val="24"/>
          <w:szCs w:val="24"/>
        </w:rPr>
        <w:t xml:space="preserve">favorable outcomes </w:t>
      </w:r>
      <w:r w:rsidR="00EA52B3" w:rsidRPr="00347697">
        <w:rPr>
          <w:rFonts w:ascii="Times New Roman" w:hAnsi="Times New Roman" w:cs="Times New Roman"/>
          <w:sz w:val="24"/>
          <w:szCs w:val="24"/>
        </w:rPr>
        <w:t xml:space="preserve">at a higher rate </w:t>
      </w:r>
      <w:r w:rsidR="00B04BBA" w:rsidRPr="00347697">
        <w:rPr>
          <w:rFonts w:ascii="Times New Roman" w:hAnsi="Times New Roman" w:cs="Times New Roman"/>
          <w:sz w:val="24"/>
          <w:szCs w:val="24"/>
        </w:rPr>
        <w:t xml:space="preserve">than do students </w:t>
      </w:r>
      <w:r w:rsidR="004754C6">
        <w:rPr>
          <w:rFonts w:ascii="Times New Roman" w:hAnsi="Times New Roman" w:cs="Times New Roman"/>
          <w:sz w:val="24"/>
          <w:szCs w:val="24"/>
        </w:rPr>
        <w:t xml:space="preserve">who enter through another course </w:t>
      </w:r>
      <w:r w:rsidR="00B25A09" w:rsidRPr="0072729B">
        <w:rPr>
          <w:rFonts w:ascii="Times New Roman" w:hAnsi="Times New Roman" w:cs="Times New Roman"/>
          <w:i/>
          <w:sz w:val="24"/>
          <w:szCs w:val="24"/>
        </w:rPr>
        <w:t>B</w:t>
      </w:r>
      <w:r w:rsidR="00B25A09">
        <w:rPr>
          <w:rFonts w:ascii="Times New Roman" w:hAnsi="Times New Roman" w:cs="Times New Roman"/>
          <w:sz w:val="24"/>
          <w:szCs w:val="24"/>
        </w:rPr>
        <w:t xml:space="preserve"> </w:t>
      </w:r>
      <w:r w:rsidR="00EA52B3" w:rsidRPr="00347697">
        <w:rPr>
          <w:rFonts w:ascii="Times New Roman" w:hAnsi="Times New Roman" w:cs="Times New Roman"/>
          <w:sz w:val="24"/>
          <w:szCs w:val="24"/>
        </w:rPr>
        <w:t xml:space="preserve">because students with advantageous </w:t>
      </w:r>
      <w:r w:rsidR="00D500AB" w:rsidRPr="00347697">
        <w:rPr>
          <w:rFonts w:ascii="Times New Roman" w:hAnsi="Times New Roman" w:cs="Times New Roman"/>
          <w:sz w:val="24"/>
          <w:szCs w:val="24"/>
        </w:rPr>
        <w:t xml:space="preserve">characteristics </w:t>
      </w:r>
      <w:r w:rsidR="005B2028" w:rsidRPr="00347697">
        <w:rPr>
          <w:rFonts w:ascii="Times New Roman" w:hAnsi="Times New Roman" w:cs="Times New Roman"/>
          <w:sz w:val="24"/>
          <w:szCs w:val="24"/>
        </w:rPr>
        <w:t xml:space="preserve">that predispose them to achieve </w:t>
      </w:r>
      <w:r w:rsidR="0002110A">
        <w:rPr>
          <w:rFonts w:ascii="Times New Roman" w:hAnsi="Times New Roman" w:cs="Times New Roman"/>
          <w:sz w:val="24"/>
          <w:szCs w:val="24"/>
        </w:rPr>
        <w:t>favorable outcomes</w:t>
      </w:r>
      <w:r w:rsidR="005B2028" w:rsidRPr="00347697">
        <w:rPr>
          <w:rFonts w:ascii="Times New Roman" w:hAnsi="Times New Roman" w:cs="Times New Roman"/>
          <w:sz w:val="24"/>
          <w:szCs w:val="24"/>
        </w:rPr>
        <w:t xml:space="preserve"> </w:t>
      </w:r>
      <w:r w:rsidR="00D500AB" w:rsidRPr="00347697">
        <w:rPr>
          <w:rFonts w:ascii="Times New Roman" w:hAnsi="Times New Roman" w:cs="Times New Roman"/>
          <w:sz w:val="24"/>
          <w:szCs w:val="24"/>
        </w:rPr>
        <w:t xml:space="preserve">tend </w:t>
      </w:r>
      <w:r w:rsidR="0097288E">
        <w:rPr>
          <w:rFonts w:ascii="Times New Roman" w:hAnsi="Times New Roman" w:cs="Times New Roman"/>
          <w:sz w:val="24"/>
          <w:szCs w:val="24"/>
        </w:rPr>
        <w:t xml:space="preserve">more often </w:t>
      </w:r>
      <w:r w:rsidR="00D500AB" w:rsidRPr="00347697">
        <w:rPr>
          <w:rFonts w:ascii="Times New Roman" w:hAnsi="Times New Roman" w:cs="Times New Roman"/>
          <w:sz w:val="24"/>
          <w:szCs w:val="24"/>
        </w:rPr>
        <w:t>to choose</w:t>
      </w:r>
      <w:r w:rsidR="005B2028" w:rsidRPr="00347697">
        <w:rPr>
          <w:rFonts w:ascii="Times New Roman" w:hAnsi="Times New Roman" w:cs="Times New Roman"/>
          <w:sz w:val="24"/>
          <w:szCs w:val="24"/>
        </w:rPr>
        <w:t xml:space="preserve"> </w:t>
      </w:r>
      <w:r w:rsidR="00B25A09" w:rsidRPr="0072729B">
        <w:rPr>
          <w:rFonts w:ascii="Times New Roman" w:hAnsi="Times New Roman" w:cs="Times New Roman"/>
          <w:i/>
          <w:sz w:val="24"/>
          <w:szCs w:val="24"/>
        </w:rPr>
        <w:t>A</w:t>
      </w:r>
      <w:r w:rsidR="00B25A09">
        <w:rPr>
          <w:rFonts w:ascii="Times New Roman" w:hAnsi="Times New Roman" w:cs="Times New Roman"/>
          <w:sz w:val="24"/>
          <w:szCs w:val="24"/>
        </w:rPr>
        <w:t xml:space="preserve"> over </w:t>
      </w:r>
      <w:r w:rsidR="00B25A09" w:rsidRPr="0072729B">
        <w:rPr>
          <w:rFonts w:ascii="Times New Roman" w:hAnsi="Times New Roman" w:cs="Times New Roman"/>
          <w:i/>
          <w:sz w:val="24"/>
          <w:szCs w:val="24"/>
        </w:rPr>
        <w:t>B</w:t>
      </w:r>
      <w:r w:rsidR="0097288E">
        <w:rPr>
          <w:rFonts w:ascii="Times New Roman" w:hAnsi="Times New Roman" w:cs="Times New Roman"/>
          <w:sz w:val="24"/>
          <w:szCs w:val="24"/>
        </w:rPr>
        <w:t>,</w:t>
      </w:r>
      <w:r w:rsidR="004754C6">
        <w:rPr>
          <w:rFonts w:ascii="Times New Roman" w:hAnsi="Times New Roman" w:cs="Times New Roman"/>
          <w:sz w:val="24"/>
          <w:szCs w:val="24"/>
        </w:rPr>
        <w:t xml:space="preserve"> or </w:t>
      </w:r>
      <w:r w:rsidR="0097288E">
        <w:rPr>
          <w:rFonts w:ascii="Times New Roman" w:hAnsi="Times New Roman" w:cs="Times New Roman"/>
          <w:sz w:val="24"/>
          <w:szCs w:val="24"/>
        </w:rPr>
        <w:t xml:space="preserve">whether differences in outcomes are due to </w:t>
      </w:r>
      <w:r w:rsidR="004754C6">
        <w:rPr>
          <w:rFonts w:ascii="Times New Roman" w:hAnsi="Times New Roman" w:cs="Times New Roman"/>
          <w:sz w:val="24"/>
          <w:szCs w:val="24"/>
        </w:rPr>
        <w:t>course</w:t>
      </w:r>
      <w:r w:rsidR="00DA718C">
        <w:rPr>
          <w:rFonts w:ascii="Times New Roman" w:hAnsi="Times New Roman" w:cs="Times New Roman"/>
          <w:sz w:val="24"/>
          <w:szCs w:val="24"/>
        </w:rPr>
        <w:t xml:space="preserve">, curricular, or </w:t>
      </w:r>
      <w:r w:rsidR="00B25A09">
        <w:rPr>
          <w:rFonts w:ascii="Times New Roman" w:hAnsi="Times New Roman" w:cs="Times New Roman"/>
          <w:sz w:val="24"/>
          <w:szCs w:val="24"/>
        </w:rPr>
        <w:t>structural</w:t>
      </w:r>
      <w:r w:rsidR="00DA718C">
        <w:rPr>
          <w:rFonts w:ascii="Times New Roman" w:hAnsi="Times New Roman" w:cs="Times New Roman"/>
          <w:sz w:val="24"/>
          <w:szCs w:val="24"/>
        </w:rPr>
        <w:t xml:space="preserve"> factors</w:t>
      </w:r>
      <w:r w:rsidR="00B25A09">
        <w:rPr>
          <w:rFonts w:ascii="Times New Roman" w:hAnsi="Times New Roman" w:cs="Times New Roman"/>
          <w:sz w:val="24"/>
          <w:szCs w:val="24"/>
        </w:rPr>
        <w:t xml:space="preserve"> that differ between </w:t>
      </w:r>
      <w:r w:rsidR="00B25A09" w:rsidRPr="0072729B">
        <w:rPr>
          <w:rFonts w:ascii="Times New Roman" w:hAnsi="Times New Roman" w:cs="Times New Roman"/>
          <w:i/>
          <w:sz w:val="24"/>
          <w:szCs w:val="24"/>
        </w:rPr>
        <w:t>A</w:t>
      </w:r>
      <w:r w:rsidR="00B25A09">
        <w:rPr>
          <w:rFonts w:ascii="Times New Roman" w:hAnsi="Times New Roman" w:cs="Times New Roman"/>
          <w:sz w:val="24"/>
          <w:szCs w:val="24"/>
        </w:rPr>
        <w:t xml:space="preserve"> and </w:t>
      </w:r>
      <w:r w:rsidR="00B25A09" w:rsidRPr="0072729B">
        <w:rPr>
          <w:rFonts w:ascii="Times New Roman" w:hAnsi="Times New Roman" w:cs="Times New Roman"/>
          <w:i/>
          <w:sz w:val="24"/>
          <w:szCs w:val="24"/>
        </w:rPr>
        <w:t>B</w:t>
      </w:r>
      <w:r w:rsidR="00D500AB" w:rsidRPr="00347697">
        <w:rPr>
          <w:rFonts w:ascii="Times New Roman" w:hAnsi="Times New Roman" w:cs="Times New Roman"/>
          <w:sz w:val="24"/>
          <w:szCs w:val="24"/>
        </w:rPr>
        <w:t xml:space="preserve">.  </w:t>
      </w:r>
      <w:r w:rsidR="00D62D30" w:rsidRPr="00347697">
        <w:rPr>
          <w:rFonts w:ascii="Times New Roman" w:hAnsi="Times New Roman" w:cs="Times New Roman"/>
          <w:sz w:val="24"/>
          <w:szCs w:val="24"/>
        </w:rPr>
        <w:t xml:space="preserve">To differentiate between the </w:t>
      </w:r>
      <w:r w:rsidR="005B2028" w:rsidRPr="00347697">
        <w:rPr>
          <w:rFonts w:ascii="Times New Roman" w:hAnsi="Times New Roman" w:cs="Times New Roman"/>
          <w:sz w:val="24"/>
          <w:szCs w:val="24"/>
        </w:rPr>
        <w:t>two explanations</w:t>
      </w:r>
      <w:r w:rsidR="00D62D30" w:rsidRPr="00347697">
        <w:rPr>
          <w:rFonts w:ascii="Times New Roman" w:hAnsi="Times New Roman" w:cs="Times New Roman"/>
          <w:sz w:val="24"/>
          <w:szCs w:val="24"/>
        </w:rPr>
        <w:t xml:space="preserve">, one needs to measure </w:t>
      </w:r>
      <w:r w:rsidR="00F83590" w:rsidRPr="00347697">
        <w:rPr>
          <w:rFonts w:ascii="Times New Roman" w:hAnsi="Times New Roman" w:cs="Times New Roman"/>
          <w:sz w:val="24"/>
          <w:szCs w:val="24"/>
        </w:rPr>
        <w:t xml:space="preserve">(1) </w:t>
      </w:r>
      <w:r w:rsidR="00D62D30" w:rsidRPr="00347697">
        <w:rPr>
          <w:rFonts w:ascii="Times New Roman" w:hAnsi="Times New Roman" w:cs="Times New Roman"/>
          <w:sz w:val="24"/>
          <w:szCs w:val="24"/>
        </w:rPr>
        <w:t xml:space="preserve">the association between </w:t>
      </w:r>
      <w:r w:rsidR="00DA718C">
        <w:rPr>
          <w:rFonts w:ascii="Times New Roman" w:hAnsi="Times New Roman" w:cs="Times New Roman"/>
          <w:sz w:val="24"/>
          <w:szCs w:val="24"/>
        </w:rPr>
        <w:t>entry points</w:t>
      </w:r>
      <w:r w:rsidR="00DA718C" w:rsidRPr="00347697">
        <w:rPr>
          <w:rFonts w:ascii="Times New Roman" w:hAnsi="Times New Roman" w:cs="Times New Roman"/>
          <w:sz w:val="24"/>
          <w:szCs w:val="24"/>
        </w:rPr>
        <w:t xml:space="preserve"> </w:t>
      </w:r>
      <w:r w:rsidR="00D62D30" w:rsidRPr="00347697">
        <w:rPr>
          <w:rFonts w:ascii="Times New Roman" w:hAnsi="Times New Roman" w:cs="Times New Roman"/>
          <w:sz w:val="24"/>
          <w:szCs w:val="24"/>
        </w:rPr>
        <w:t xml:space="preserve">and outcomes while accounting for </w:t>
      </w:r>
      <w:r w:rsidR="00F83590" w:rsidRPr="00347697">
        <w:rPr>
          <w:rFonts w:ascii="Times New Roman" w:hAnsi="Times New Roman" w:cs="Times New Roman"/>
          <w:sz w:val="24"/>
          <w:szCs w:val="24"/>
        </w:rPr>
        <w:t xml:space="preserve">(2) </w:t>
      </w:r>
      <w:r w:rsidR="00640E28" w:rsidRPr="00347697">
        <w:rPr>
          <w:rFonts w:ascii="Times New Roman" w:hAnsi="Times New Roman" w:cs="Times New Roman"/>
          <w:sz w:val="24"/>
          <w:szCs w:val="24"/>
        </w:rPr>
        <w:t xml:space="preserve">associations between student characteristics and </w:t>
      </w:r>
      <w:r w:rsidR="00DA718C">
        <w:rPr>
          <w:rFonts w:ascii="Times New Roman" w:hAnsi="Times New Roman" w:cs="Times New Roman"/>
          <w:sz w:val="24"/>
          <w:szCs w:val="24"/>
        </w:rPr>
        <w:t xml:space="preserve">entry points </w:t>
      </w:r>
      <w:r w:rsidR="00640E28" w:rsidRPr="00347697">
        <w:rPr>
          <w:rFonts w:ascii="Times New Roman" w:hAnsi="Times New Roman" w:cs="Times New Roman"/>
          <w:sz w:val="24"/>
          <w:szCs w:val="24"/>
        </w:rPr>
        <w:t xml:space="preserve">and </w:t>
      </w:r>
      <w:r w:rsidR="00F83590" w:rsidRPr="00347697">
        <w:rPr>
          <w:rFonts w:ascii="Times New Roman" w:hAnsi="Times New Roman" w:cs="Times New Roman"/>
          <w:sz w:val="24"/>
          <w:szCs w:val="24"/>
        </w:rPr>
        <w:t xml:space="preserve">(3) </w:t>
      </w:r>
      <w:r w:rsidR="00640E28" w:rsidRPr="00347697">
        <w:rPr>
          <w:rFonts w:ascii="Times New Roman" w:hAnsi="Times New Roman" w:cs="Times New Roman"/>
          <w:sz w:val="24"/>
          <w:szCs w:val="24"/>
        </w:rPr>
        <w:t xml:space="preserve">associations between student characteristics and outcomes. </w:t>
      </w:r>
    </w:p>
    <w:p w14:paraId="55B118A1" w14:textId="628FF65A" w:rsidR="00A10FA5" w:rsidRDefault="00A10FA5">
      <w:pPr>
        <w:spacing w:after="0" w:line="240" w:lineRule="auto"/>
        <w:rPr>
          <w:rFonts w:ascii="Times New Roman" w:hAnsi="Times New Roman" w:cs="Times New Roman"/>
          <w:sz w:val="24"/>
          <w:szCs w:val="24"/>
        </w:rPr>
      </w:pPr>
    </w:p>
    <w:p w14:paraId="78CAE0BE" w14:textId="7C3FF198" w:rsidR="00A10FA5" w:rsidRPr="00347697" w:rsidRDefault="00A10FA5" w:rsidP="00A10FA5">
      <w:pPr>
        <w:spacing w:after="0" w:line="240" w:lineRule="auto"/>
        <w:rPr>
          <w:rFonts w:ascii="Times New Roman" w:hAnsi="Times New Roman" w:cs="Times New Roman"/>
          <w:sz w:val="24"/>
          <w:szCs w:val="24"/>
        </w:rPr>
      </w:pPr>
      <w:r>
        <w:rPr>
          <w:rFonts w:ascii="Times New Roman" w:hAnsi="Times New Roman" w:cs="Times New Roman"/>
          <w:sz w:val="24"/>
          <w:szCs w:val="24"/>
        </w:rPr>
        <w:t>Moreover, a</w:t>
      </w:r>
      <w:r w:rsidRPr="00347697">
        <w:rPr>
          <w:rFonts w:ascii="Times New Roman" w:hAnsi="Times New Roman" w:cs="Times New Roman"/>
          <w:sz w:val="24"/>
          <w:szCs w:val="24"/>
        </w:rPr>
        <w:t>lthough the achievement of transfer-level quantitative competency is a</w:t>
      </w:r>
      <w:r>
        <w:rPr>
          <w:rFonts w:ascii="Times New Roman" w:hAnsi="Times New Roman" w:cs="Times New Roman"/>
          <w:sz w:val="24"/>
          <w:szCs w:val="24"/>
        </w:rPr>
        <w:t>n</w:t>
      </w:r>
      <w:r w:rsidRPr="00347697">
        <w:rPr>
          <w:rFonts w:ascii="Times New Roman" w:hAnsi="Times New Roman" w:cs="Times New Roman"/>
          <w:sz w:val="24"/>
          <w:szCs w:val="24"/>
        </w:rPr>
        <w:t xml:space="preserve"> important outcome, the courses that fulfill this outcome differ in the subsequent educational opportunities that they provide.  Chief among these differences is the opportunity to pursue advanced studies in science, mathematics, and engineering.  Advanced studies of this sort typically require students to complete one or more calculus courses, and the gateway for calculus at BC is the pre-calculus series.  Thus, we are led to ask whether some developmental math </w:t>
      </w:r>
      <w:r>
        <w:rPr>
          <w:rFonts w:ascii="Times New Roman" w:hAnsi="Times New Roman" w:cs="Times New Roman"/>
          <w:sz w:val="24"/>
          <w:szCs w:val="24"/>
        </w:rPr>
        <w:t xml:space="preserve">entry points or </w:t>
      </w:r>
      <w:r w:rsidRPr="00347697">
        <w:rPr>
          <w:rFonts w:ascii="Times New Roman" w:hAnsi="Times New Roman" w:cs="Times New Roman"/>
          <w:sz w:val="24"/>
          <w:szCs w:val="24"/>
        </w:rPr>
        <w:t>pathways better support readiness for advanced STEM-track mathematics once differences in the characteristics of student</w:t>
      </w:r>
      <w:r>
        <w:rPr>
          <w:rFonts w:ascii="Times New Roman" w:hAnsi="Times New Roman" w:cs="Times New Roman"/>
          <w:sz w:val="24"/>
          <w:szCs w:val="24"/>
        </w:rPr>
        <w:t>s</w:t>
      </w:r>
      <w:r w:rsidRPr="00347697">
        <w:rPr>
          <w:rFonts w:ascii="Times New Roman" w:hAnsi="Times New Roman" w:cs="Times New Roman"/>
          <w:sz w:val="24"/>
          <w:szCs w:val="24"/>
        </w:rPr>
        <w:t xml:space="preserve"> are taken into account. </w:t>
      </w:r>
    </w:p>
    <w:p w14:paraId="47EABFD9" w14:textId="77777777" w:rsidR="00A10FA5" w:rsidRPr="00347697" w:rsidRDefault="00A10FA5">
      <w:pPr>
        <w:spacing w:after="0" w:line="240" w:lineRule="auto"/>
        <w:rPr>
          <w:rFonts w:ascii="Times New Roman" w:hAnsi="Times New Roman" w:cs="Times New Roman"/>
          <w:sz w:val="24"/>
          <w:szCs w:val="24"/>
        </w:rPr>
      </w:pPr>
    </w:p>
    <w:p w14:paraId="35F26F33" w14:textId="244BA1CE" w:rsidR="005C3DAC" w:rsidRPr="00347697" w:rsidRDefault="00F47F77" w:rsidP="00E32131">
      <w:pPr>
        <w:spacing w:after="0" w:line="240" w:lineRule="auto"/>
        <w:rPr>
          <w:rFonts w:ascii="Times New Roman" w:hAnsi="Times New Roman" w:cs="Times New Roman"/>
          <w:sz w:val="24"/>
          <w:szCs w:val="24"/>
          <w:u w:val="single"/>
        </w:rPr>
      </w:pPr>
      <w:r w:rsidRPr="0081606F">
        <w:rPr>
          <w:rFonts w:ascii="Times New Roman" w:hAnsi="Times New Roman" w:cs="Times New Roman"/>
          <w:sz w:val="24"/>
          <w:szCs w:val="24"/>
          <w:u w:val="single"/>
        </w:rPr>
        <w:t>Analytic Strategy</w:t>
      </w:r>
    </w:p>
    <w:p w14:paraId="2208F1CB" w14:textId="77777777" w:rsidR="005C3DAC" w:rsidRPr="00347697" w:rsidRDefault="005C3DAC" w:rsidP="00E32131">
      <w:pPr>
        <w:spacing w:after="0" w:line="240" w:lineRule="auto"/>
        <w:rPr>
          <w:rFonts w:ascii="Times New Roman" w:hAnsi="Times New Roman" w:cs="Times New Roman"/>
          <w:sz w:val="24"/>
          <w:szCs w:val="24"/>
        </w:rPr>
      </w:pPr>
    </w:p>
    <w:p w14:paraId="7C826867" w14:textId="5A3494A1" w:rsidR="00DA718C" w:rsidRDefault="005C3DAC" w:rsidP="00E32131">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To address </w:t>
      </w:r>
      <w:r w:rsidR="00A10FA5">
        <w:rPr>
          <w:rFonts w:ascii="Times New Roman" w:hAnsi="Times New Roman" w:cs="Times New Roman"/>
          <w:sz w:val="24"/>
          <w:szCs w:val="24"/>
        </w:rPr>
        <w:t>these</w:t>
      </w:r>
      <w:r w:rsidR="00A10FA5" w:rsidRPr="00347697">
        <w:rPr>
          <w:rFonts w:ascii="Times New Roman" w:hAnsi="Times New Roman" w:cs="Times New Roman"/>
          <w:sz w:val="24"/>
          <w:szCs w:val="24"/>
        </w:rPr>
        <w:t xml:space="preserve"> </w:t>
      </w:r>
      <w:r w:rsidR="005B2028" w:rsidRPr="00347697">
        <w:rPr>
          <w:rFonts w:ascii="Times New Roman" w:hAnsi="Times New Roman" w:cs="Times New Roman"/>
          <w:sz w:val="24"/>
          <w:szCs w:val="24"/>
        </w:rPr>
        <w:t>question</w:t>
      </w:r>
      <w:r w:rsidR="00A10FA5">
        <w:rPr>
          <w:rFonts w:ascii="Times New Roman" w:hAnsi="Times New Roman" w:cs="Times New Roman"/>
          <w:sz w:val="24"/>
          <w:szCs w:val="24"/>
        </w:rPr>
        <w:t>s</w:t>
      </w:r>
      <w:r w:rsidRPr="00347697">
        <w:rPr>
          <w:rFonts w:ascii="Times New Roman" w:hAnsi="Times New Roman" w:cs="Times New Roman"/>
          <w:sz w:val="24"/>
          <w:szCs w:val="24"/>
        </w:rPr>
        <w:t xml:space="preserve">, I used logistic regression to analyze natural variation in the likelihood of </w:t>
      </w:r>
      <w:r w:rsidR="00DA718C">
        <w:rPr>
          <w:rFonts w:ascii="Times New Roman" w:hAnsi="Times New Roman" w:cs="Times New Roman"/>
          <w:sz w:val="24"/>
          <w:szCs w:val="24"/>
        </w:rPr>
        <w:t xml:space="preserve">three </w:t>
      </w:r>
      <w:r w:rsidR="00A140AE">
        <w:rPr>
          <w:rFonts w:ascii="Times New Roman" w:hAnsi="Times New Roman" w:cs="Times New Roman"/>
          <w:sz w:val="24"/>
          <w:szCs w:val="24"/>
        </w:rPr>
        <w:t xml:space="preserve">separate </w:t>
      </w:r>
      <w:r w:rsidR="00DA718C">
        <w:rPr>
          <w:rFonts w:ascii="Times New Roman" w:hAnsi="Times New Roman" w:cs="Times New Roman"/>
          <w:sz w:val="24"/>
          <w:szCs w:val="24"/>
        </w:rPr>
        <w:t>outcomes</w:t>
      </w:r>
      <w:r w:rsidR="00D7679A">
        <w:rPr>
          <w:rFonts w:ascii="Times New Roman" w:hAnsi="Times New Roman" w:cs="Times New Roman"/>
          <w:sz w:val="24"/>
          <w:szCs w:val="24"/>
        </w:rPr>
        <w:t xml:space="preserve"> among students who entered </w:t>
      </w:r>
      <w:r w:rsidR="00D7679A" w:rsidRPr="00A5489B">
        <w:rPr>
          <w:rFonts w:ascii="Times New Roman" w:hAnsi="Times New Roman" w:cs="Times New Roman"/>
          <w:sz w:val="24"/>
          <w:szCs w:val="24"/>
        </w:rPr>
        <w:t>the developmental math curriculum through</w:t>
      </w:r>
      <w:r w:rsidR="00D7679A">
        <w:rPr>
          <w:rFonts w:ascii="Times New Roman" w:hAnsi="Times New Roman" w:cs="Times New Roman"/>
          <w:sz w:val="24"/>
          <w:szCs w:val="24"/>
        </w:rPr>
        <w:t xml:space="preserve"> </w:t>
      </w:r>
      <w:r w:rsidR="00D7679A" w:rsidRPr="00A5489B">
        <w:rPr>
          <w:rFonts w:ascii="Times New Roman" w:hAnsi="Times New Roman" w:cs="Times New Roman"/>
          <w:sz w:val="24"/>
          <w:szCs w:val="24"/>
        </w:rPr>
        <w:t>Math B60, Math B65,</w:t>
      </w:r>
      <w:r w:rsidR="002D7910">
        <w:rPr>
          <w:rFonts w:ascii="Times New Roman" w:hAnsi="Times New Roman" w:cs="Times New Roman"/>
          <w:sz w:val="24"/>
          <w:szCs w:val="24"/>
        </w:rPr>
        <w:t xml:space="preserve"> the first half of LRNC B530 (</w:t>
      </w:r>
      <w:r w:rsidR="00D7679A" w:rsidRPr="00A5489B">
        <w:rPr>
          <w:rFonts w:ascii="Times New Roman" w:hAnsi="Times New Roman" w:cs="Times New Roman"/>
          <w:sz w:val="24"/>
          <w:szCs w:val="24"/>
        </w:rPr>
        <w:t>LRNC B530</w:t>
      </w:r>
      <w:r w:rsidR="00D7679A" w:rsidRPr="00A5489B">
        <w:rPr>
          <w:rFonts w:ascii="Times New Roman" w:hAnsi="Times New Roman" w:cs="Times New Roman"/>
          <w:i/>
          <w:sz w:val="24"/>
          <w:szCs w:val="24"/>
        </w:rPr>
        <w:t>f</w:t>
      </w:r>
      <w:r w:rsidR="002D7910">
        <w:rPr>
          <w:rFonts w:ascii="Times New Roman" w:hAnsi="Times New Roman" w:cs="Times New Roman"/>
          <w:sz w:val="24"/>
          <w:szCs w:val="24"/>
        </w:rPr>
        <w:t>)</w:t>
      </w:r>
      <w:r w:rsidR="00D7679A" w:rsidRPr="00A5489B">
        <w:rPr>
          <w:rFonts w:ascii="Times New Roman" w:hAnsi="Times New Roman" w:cs="Times New Roman"/>
          <w:sz w:val="24"/>
          <w:szCs w:val="24"/>
        </w:rPr>
        <w:t>, or Math B70</w:t>
      </w:r>
      <w:r w:rsidR="00602C32">
        <w:rPr>
          <w:rFonts w:ascii="Times New Roman" w:hAnsi="Times New Roman" w:cs="Times New Roman"/>
          <w:sz w:val="24"/>
          <w:szCs w:val="24"/>
        </w:rPr>
        <w:t>.  The three outcomes include</w:t>
      </w:r>
      <w:r w:rsidR="00DA718C">
        <w:rPr>
          <w:rFonts w:ascii="Times New Roman" w:hAnsi="Times New Roman" w:cs="Times New Roman"/>
          <w:sz w:val="24"/>
          <w:szCs w:val="24"/>
        </w:rPr>
        <w:t>:</w:t>
      </w:r>
    </w:p>
    <w:p w14:paraId="340216F2" w14:textId="3C1FEED1" w:rsidR="00DA718C" w:rsidRDefault="002415A9" w:rsidP="00EF6CD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A718C">
        <w:rPr>
          <w:rFonts w:ascii="Times New Roman" w:hAnsi="Times New Roman" w:cs="Times New Roman"/>
          <w:sz w:val="24"/>
          <w:szCs w:val="24"/>
        </w:rPr>
        <w:t xml:space="preserve">ompleting successfully any course that satisfies associate-level </w:t>
      </w:r>
      <w:r w:rsidR="0081606F">
        <w:rPr>
          <w:rFonts w:ascii="Times New Roman" w:hAnsi="Times New Roman" w:cs="Times New Roman"/>
          <w:sz w:val="24"/>
          <w:szCs w:val="24"/>
        </w:rPr>
        <w:t xml:space="preserve">quantitative competency </w:t>
      </w:r>
      <w:r w:rsidR="00DA718C">
        <w:rPr>
          <w:rFonts w:ascii="Times New Roman" w:hAnsi="Times New Roman" w:cs="Times New Roman"/>
          <w:sz w:val="24"/>
          <w:szCs w:val="24"/>
        </w:rPr>
        <w:t>or transfer-level quantitative competency</w:t>
      </w:r>
      <w:r>
        <w:rPr>
          <w:rFonts w:ascii="Times New Roman" w:hAnsi="Times New Roman" w:cs="Times New Roman"/>
          <w:sz w:val="24"/>
          <w:szCs w:val="24"/>
        </w:rPr>
        <w:t>.</w:t>
      </w:r>
      <w:r w:rsidR="0081606F">
        <w:rPr>
          <w:rFonts w:ascii="Times New Roman" w:hAnsi="Times New Roman" w:cs="Times New Roman"/>
          <w:sz w:val="24"/>
          <w:szCs w:val="24"/>
        </w:rPr>
        <w:t xml:space="preserve"> </w:t>
      </w:r>
    </w:p>
    <w:p w14:paraId="1022BB97" w14:textId="0A07C243" w:rsidR="00DA718C" w:rsidRDefault="002415A9" w:rsidP="00EF6CD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A718C">
        <w:rPr>
          <w:rFonts w:ascii="Times New Roman" w:hAnsi="Times New Roman" w:cs="Times New Roman"/>
          <w:sz w:val="24"/>
          <w:szCs w:val="24"/>
        </w:rPr>
        <w:t>ompleting successfully any course that satisfies transfer-level quantitative competency</w:t>
      </w:r>
      <w:r>
        <w:rPr>
          <w:rFonts w:ascii="Times New Roman" w:hAnsi="Times New Roman" w:cs="Times New Roman"/>
          <w:sz w:val="24"/>
          <w:szCs w:val="24"/>
        </w:rPr>
        <w:t>.</w:t>
      </w:r>
    </w:p>
    <w:p w14:paraId="1EAE6117" w14:textId="2E36D987" w:rsidR="00DA718C" w:rsidRDefault="002415A9" w:rsidP="00EF6CD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A718C">
        <w:rPr>
          <w:rFonts w:ascii="Times New Roman" w:hAnsi="Times New Roman" w:cs="Times New Roman"/>
          <w:sz w:val="24"/>
          <w:szCs w:val="24"/>
        </w:rPr>
        <w:t xml:space="preserve">ompleting successfully a </w:t>
      </w:r>
      <w:r w:rsidR="00A140AE" w:rsidRPr="00347697">
        <w:rPr>
          <w:rFonts w:ascii="Times New Roman" w:hAnsi="Times New Roman" w:cs="Times New Roman"/>
          <w:sz w:val="24"/>
          <w:szCs w:val="24"/>
        </w:rPr>
        <w:t>STEM-track transfer-level math course</w:t>
      </w:r>
      <w:r w:rsidR="0097288E">
        <w:rPr>
          <w:rFonts w:ascii="Times New Roman" w:hAnsi="Times New Roman" w:cs="Times New Roman"/>
          <w:sz w:val="24"/>
          <w:szCs w:val="24"/>
        </w:rPr>
        <w:t xml:space="preserve">, including </w:t>
      </w:r>
      <w:r w:rsidR="00A140AE" w:rsidRPr="00347697">
        <w:rPr>
          <w:rFonts w:ascii="Times New Roman" w:hAnsi="Times New Roman" w:cs="Times New Roman"/>
          <w:sz w:val="24"/>
          <w:szCs w:val="24"/>
        </w:rPr>
        <w:t>Math B1A, Math B1B, Math B6A, Math B6B, Math B6C, Math B6D, or Math B6E</w:t>
      </w:r>
      <w:r>
        <w:rPr>
          <w:rFonts w:ascii="Times New Roman" w:hAnsi="Times New Roman" w:cs="Times New Roman"/>
          <w:sz w:val="24"/>
          <w:szCs w:val="24"/>
        </w:rPr>
        <w:t>.</w:t>
      </w:r>
    </w:p>
    <w:p w14:paraId="34D774E0" w14:textId="77777777" w:rsidR="00E94BEE" w:rsidRDefault="00E94BEE" w:rsidP="00A140AE">
      <w:pPr>
        <w:spacing w:after="0" w:line="240" w:lineRule="auto"/>
        <w:rPr>
          <w:rFonts w:ascii="Times New Roman" w:hAnsi="Times New Roman" w:cs="Times New Roman"/>
          <w:sz w:val="24"/>
          <w:szCs w:val="24"/>
        </w:rPr>
      </w:pPr>
    </w:p>
    <w:p w14:paraId="73BB9601" w14:textId="6107C1CC" w:rsidR="00AC4518" w:rsidRDefault="00E94BEE" w:rsidP="00A140AE">
      <w:pPr>
        <w:spacing w:after="0" w:line="240" w:lineRule="auto"/>
        <w:rPr>
          <w:rFonts w:ascii="Times New Roman" w:hAnsi="Times New Roman" w:cs="Times New Roman"/>
          <w:sz w:val="24"/>
          <w:szCs w:val="24"/>
        </w:rPr>
      </w:pPr>
      <w:r>
        <w:rPr>
          <w:rFonts w:ascii="Times New Roman" w:hAnsi="Times New Roman" w:cs="Times New Roman"/>
          <w:sz w:val="24"/>
          <w:szCs w:val="24"/>
        </w:rPr>
        <w:t>Data for six subsamples were used to regress each of</w:t>
      </w:r>
      <w:r w:rsidR="00845D79">
        <w:rPr>
          <w:rFonts w:ascii="Times New Roman" w:hAnsi="Times New Roman" w:cs="Times New Roman"/>
          <w:sz w:val="24"/>
          <w:szCs w:val="24"/>
        </w:rPr>
        <w:t xml:space="preserve"> the</w:t>
      </w:r>
      <w:r>
        <w:rPr>
          <w:rFonts w:ascii="Times New Roman" w:hAnsi="Times New Roman" w:cs="Times New Roman"/>
          <w:sz w:val="24"/>
          <w:szCs w:val="24"/>
        </w:rPr>
        <w:t xml:space="preserve"> three outcomes </w:t>
      </w:r>
      <w:r w:rsidR="00A140AE">
        <w:rPr>
          <w:rFonts w:ascii="Times New Roman" w:hAnsi="Times New Roman" w:cs="Times New Roman"/>
          <w:sz w:val="24"/>
          <w:szCs w:val="24"/>
        </w:rPr>
        <w:t xml:space="preserve">on </w:t>
      </w:r>
      <w:r w:rsidR="00602C32">
        <w:rPr>
          <w:rFonts w:ascii="Times New Roman" w:hAnsi="Times New Roman" w:cs="Times New Roman"/>
          <w:sz w:val="24"/>
          <w:szCs w:val="24"/>
        </w:rPr>
        <w:t xml:space="preserve">point of entry to the developmental math curriculum </w:t>
      </w:r>
      <w:r w:rsidR="00522BC0">
        <w:rPr>
          <w:rFonts w:ascii="Times New Roman" w:hAnsi="Times New Roman" w:cs="Times New Roman"/>
          <w:sz w:val="24"/>
          <w:szCs w:val="24"/>
        </w:rPr>
        <w:t xml:space="preserve">and a set of selected covariates, resulting in a total of 18 regression models.  In the </w:t>
      </w:r>
      <w:r w:rsidR="00767214">
        <w:rPr>
          <w:rFonts w:ascii="Times New Roman" w:hAnsi="Times New Roman" w:cs="Times New Roman"/>
          <w:sz w:val="24"/>
          <w:szCs w:val="24"/>
        </w:rPr>
        <w:t>case</w:t>
      </w:r>
      <w:r w:rsidR="00886574">
        <w:rPr>
          <w:rFonts w:ascii="Times New Roman" w:hAnsi="Times New Roman" w:cs="Times New Roman"/>
          <w:sz w:val="24"/>
          <w:szCs w:val="24"/>
        </w:rPr>
        <w:t>s</w:t>
      </w:r>
      <w:r w:rsidR="00767214">
        <w:rPr>
          <w:rFonts w:ascii="Times New Roman" w:hAnsi="Times New Roman" w:cs="Times New Roman"/>
          <w:sz w:val="24"/>
          <w:szCs w:val="24"/>
        </w:rPr>
        <w:t xml:space="preserve"> of subsample #3 and subsample #6, </w:t>
      </w:r>
      <w:r w:rsidR="00886574">
        <w:rPr>
          <w:rFonts w:ascii="Times New Roman" w:hAnsi="Times New Roman" w:cs="Times New Roman"/>
          <w:sz w:val="24"/>
          <w:szCs w:val="24"/>
        </w:rPr>
        <w:t xml:space="preserve">the three outcomes were regressed on </w:t>
      </w:r>
      <w:r w:rsidR="00767214">
        <w:rPr>
          <w:rFonts w:ascii="Times New Roman" w:hAnsi="Times New Roman" w:cs="Times New Roman"/>
          <w:sz w:val="24"/>
          <w:szCs w:val="24"/>
        </w:rPr>
        <w:t>math pathway</w:t>
      </w:r>
      <w:r w:rsidR="00886574">
        <w:rPr>
          <w:rFonts w:ascii="Times New Roman" w:hAnsi="Times New Roman" w:cs="Times New Roman"/>
          <w:sz w:val="24"/>
          <w:szCs w:val="24"/>
        </w:rPr>
        <w:t xml:space="preserve">s, which </w:t>
      </w:r>
      <w:r w:rsidR="004F5D12">
        <w:rPr>
          <w:rFonts w:ascii="Times New Roman" w:hAnsi="Times New Roman" w:cs="Times New Roman"/>
          <w:sz w:val="24"/>
          <w:szCs w:val="24"/>
        </w:rPr>
        <w:t>incorporate point of entry</w:t>
      </w:r>
      <w:r>
        <w:rPr>
          <w:rFonts w:ascii="Times New Roman" w:hAnsi="Times New Roman" w:cs="Times New Roman"/>
          <w:sz w:val="24"/>
          <w:szCs w:val="24"/>
        </w:rPr>
        <w:t xml:space="preserve">.  </w:t>
      </w:r>
      <w:r w:rsidR="00767214">
        <w:rPr>
          <w:rFonts w:ascii="Times New Roman" w:hAnsi="Times New Roman" w:cs="Times New Roman"/>
          <w:sz w:val="24"/>
          <w:szCs w:val="24"/>
        </w:rPr>
        <w:t>The six subsamples</w:t>
      </w:r>
      <w:r w:rsidR="00AC4518">
        <w:rPr>
          <w:rFonts w:ascii="Times New Roman" w:hAnsi="Times New Roman" w:cs="Times New Roman"/>
          <w:sz w:val="24"/>
          <w:szCs w:val="24"/>
        </w:rPr>
        <w:t xml:space="preserve"> </w:t>
      </w:r>
      <w:r w:rsidR="00767214">
        <w:rPr>
          <w:rFonts w:ascii="Times New Roman" w:hAnsi="Times New Roman" w:cs="Times New Roman"/>
          <w:sz w:val="24"/>
          <w:szCs w:val="24"/>
        </w:rPr>
        <w:t xml:space="preserve">were </w:t>
      </w:r>
      <w:r w:rsidR="00AC4518">
        <w:rPr>
          <w:rFonts w:ascii="Times New Roman" w:hAnsi="Times New Roman" w:cs="Times New Roman"/>
          <w:sz w:val="24"/>
          <w:szCs w:val="24"/>
        </w:rPr>
        <w:t xml:space="preserve">defined by </w:t>
      </w:r>
      <w:r w:rsidR="00E21A9C">
        <w:rPr>
          <w:rFonts w:ascii="Times New Roman" w:hAnsi="Times New Roman" w:cs="Times New Roman"/>
          <w:sz w:val="24"/>
          <w:szCs w:val="24"/>
        </w:rPr>
        <w:t xml:space="preserve">combinations of </w:t>
      </w:r>
      <w:r w:rsidR="00AC4518">
        <w:rPr>
          <w:rFonts w:ascii="Times New Roman" w:hAnsi="Times New Roman" w:cs="Times New Roman"/>
          <w:sz w:val="24"/>
          <w:szCs w:val="24"/>
        </w:rPr>
        <w:t xml:space="preserve">self-reported goal, </w:t>
      </w:r>
      <w:r w:rsidR="00E21A9C">
        <w:rPr>
          <w:rFonts w:ascii="Times New Roman" w:hAnsi="Times New Roman" w:cs="Times New Roman"/>
          <w:sz w:val="24"/>
          <w:szCs w:val="24"/>
        </w:rPr>
        <w:t>outcome in first quantitative course, and second quantitative course</w:t>
      </w:r>
      <w:r w:rsidR="00845D79">
        <w:rPr>
          <w:rFonts w:ascii="Times New Roman" w:hAnsi="Times New Roman" w:cs="Times New Roman"/>
          <w:sz w:val="24"/>
          <w:szCs w:val="24"/>
        </w:rPr>
        <w:t>, if any</w:t>
      </w:r>
      <w:r w:rsidR="00E21A9C">
        <w:rPr>
          <w:rFonts w:ascii="Times New Roman" w:hAnsi="Times New Roman" w:cs="Times New Roman"/>
          <w:sz w:val="24"/>
          <w:szCs w:val="24"/>
        </w:rPr>
        <w:t>.</w:t>
      </w:r>
      <w:r w:rsidR="00AC4518">
        <w:rPr>
          <w:rFonts w:ascii="Times New Roman" w:hAnsi="Times New Roman" w:cs="Times New Roman"/>
          <w:sz w:val="24"/>
          <w:szCs w:val="24"/>
        </w:rPr>
        <w:t xml:space="preserve">  </w:t>
      </w:r>
      <w:r w:rsidR="00522BC0">
        <w:rPr>
          <w:rFonts w:ascii="Times New Roman" w:hAnsi="Times New Roman" w:cs="Times New Roman"/>
          <w:sz w:val="24"/>
          <w:szCs w:val="24"/>
        </w:rPr>
        <w:t>The subsamples are as follows:</w:t>
      </w:r>
    </w:p>
    <w:p w14:paraId="3669772A" w14:textId="0E7B9362" w:rsidR="00561299" w:rsidRDefault="00767214" w:rsidP="00EF6CD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All t</w:t>
      </w:r>
      <w:r w:rsidR="00AC4518">
        <w:rPr>
          <w:rFonts w:ascii="Times New Roman" w:hAnsi="Times New Roman" w:cs="Times New Roman"/>
          <w:sz w:val="24"/>
          <w:szCs w:val="24"/>
        </w:rPr>
        <w:t>ransfer</w:t>
      </w:r>
      <w:r w:rsidR="00561299">
        <w:rPr>
          <w:rFonts w:ascii="Times New Roman" w:hAnsi="Times New Roman" w:cs="Times New Roman"/>
          <w:sz w:val="24"/>
          <w:szCs w:val="24"/>
        </w:rPr>
        <w:t>-seeking</w:t>
      </w:r>
      <w:r w:rsidR="00AC4518">
        <w:rPr>
          <w:rFonts w:ascii="Times New Roman" w:hAnsi="Times New Roman" w:cs="Times New Roman"/>
          <w:sz w:val="24"/>
          <w:szCs w:val="24"/>
        </w:rPr>
        <w:t xml:space="preserve"> students</w:t>
      </w:r>
      <w:r w:rsidR="00D7679A">
        <w:rPr>
          <w:rFonts w:ascii="Times New Roman" w:hAnsi="Times New Roman" w:cs="Times New Roman"/>
          <w:sz w:val="24"/>
          <w:szCs w:val="24"/>
        </w:rPr>
        <w:t xml:space="preserve"> who entered the curriculum through one of the </w:t>
      </w:r>
      <w:r w:rsidR="001D23B0">
        <w:rPr>
          <w:rFonts w:ascii="Times New Roman" w:hAnsi="Times New Roman" w:cs="Times New Roman"/>
          <w:sz w:val="24"/>
          <w:szCs w:val="24"/>
        </w:rPr>
        <w:t>fo</w:t>
      </w:r>
      <w:r w:rsidR="00D7679A">
        <w:rPr>
          <w:rFonts w:ascii="Times New Roman" w:hAnsi="Times New Roman" w:cs="Times New Roman"/>
          <w:sz w:val="24"/>
          <w:szCs w:val="24"/>
        </w:rPr>
        <w:t xml:space="preserve">cal </w:t>
      </w:r>
      <w:r w:rsidR="001D23B0">
        <w:rPr>
          <w:rFonts w:ascii="Times New Roman" w:hAnsi="Times New Roman" w:cs="Times New Roman"/>
          <w:sz w:val="24"/>
          <w:szCs w:val="24"/>
        </w:rPr>
        <w:t>courses</w:t>
      </w:r>
      <w:r w:rsidR="009E337E">
        <w:rPr>
          <w:rFonts w:ascii="Times New Roman" w:hAnsi="Times New Roman" w:cs="Times New Roman"/>
          <w:sz w:val="24"/>
          <w:szCs w:val="24"/>
        </w:rPr>
        <w:t>,</w:t>
      </w:r>
      <w:r w:rsidR="001D23B0">
        <w:rPr>
          <w:rFonts w:ascii="Times New Roman" w:hAnsi="Times New Roman" w:cs="Times New Roman"/>
          <w:sz w:val="24"/>
          <w:szCs w:val="24"/>
        </w:rPr>
        <w:t xml:space="preserve"> regardless of whether they passed </w:t>
      </w:r>
      <w:r>
        <w:rPr>
          <w:rFonts w:ascii="Times New Roman" w:hAnsi="Times New Roman" w:cs="Times New Roman"/>
          <w:sz w:val="24"/>
          <w:szCs w:val="24"/>
        </w:rPr>
        <w:t>this course</w:t>
      </w:r>
      <w:r w:rsidR="001D23B0">
        <w:rPr>
          <w:rFonts w:ascii="Times New Roman" w:hAnsi="Times New Roman" w:cs="Times New Roman"/>
          <w:sz w:val="24"/>
          <w:szCs w:val="24"/>
        </w:rPr>
        <w:t xml:space="preserve"> on the first attempt or not, and regardless of whether they attempted a second course or not</w:t>
      </w:r>
      <w:r w:rsidR="00E21A9C" w:rsidRPr="0072729B">
        <w:rPr>
          <w:rFonts w:ascii="Times New Roman" w:hAnsi="Times New Roman" w:cs="Times New Roman"/>
          <w:sz w:val="24"/>
          <w:szCs w:val="24"/>
        </w:rPr>
        <w:t xml:space="preserve">.  </w:t>
      </w:r>
    </w:p>
    <w:p w14:paraId="3441BFDC" w14:textId="77777777" w:rsidR="00BB4286" w:rsidRDefault="00BB4286" w:rsidP="00EF6CD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transfer-seeking students who entered the curriculum through one of the focal courses </w:t>
      </w:r>
      <w:r w:rsidRPr="000205A6">
        <w:rPr>
          <w:rFonts w:ascii="Times New Roman" w:hAnsi="Times New Roman" w:cs="Times New Roman"/>
          <w:i/>
          <w:sz w:val="24"/>
          <w:szCs w:val="24"/>
        </w:rPr>
        <w:t>and passed it on the first attempt</w:t>
      </w:r>
      <w:r>
        <w:rPr>
          <w:rFonts w:ascii="Times New Roman" w:hAnsi="Times New Roman" w:cs="Times New Roman"/>
          <w:sz w:val="24"/>
          <w:szCs w:val="24"/>
        </w:rPr>
        <w:t>, but may or may not have attempted a second course</w:t>
      </w:r>
      <w:r w:rsidRPr="00A5489B">
        <w:rPr>
          <w:rFonts w:ascii="Times New Roman" w:hAnsi="Times New Roman" w:cs="Times New Roman"/>
          <w:sz w:val="24"/>
          <w:szCs w:val="24"/>
        </w:rPr>
        <w:t>.</w:t>
      </w:r>
    </w:p>
    <w:p w14:paraId="08001F08" w14:textId="5613056D" w:rsidR="00BB4286" w:rsidRPr="00523FED" w:rsidRDefault="00BB4286" w:rsidP="00EF6CD7">
      <w:pPr>
        <w:pStyle w:val="ListParagraph"/>
        <w:numPr>
          <w:ilvl w:val="0"/>
          <w:numId w:val="11"/>
        </w:numPr>
        <w:spacing w:after="0" w:line="240" w:lineRule="auto"/>
        <w:rPr>
          <w:rFonts w:ascii="Times New Roman" w:hAnsi="Times New Roman" w:cs="Times New Roman"/>
          <w:sz w:val="24"/>
          <w:szCs w:val="24"/>
        </w:rPr>
      </w:pPr>
      <w:r w:rsidRPr="00523FED">
        <w:rPr>
          <w:rFonts w:ascii="Times New Roman" w:hAnsi="Times New Roman" w:cs="Times New Roman"/>
          <w:sz w:val="24"/>
          <w:szCs w:val="24"/>
        </w:rPr>
        <w:t xml:space="preserve">All transfer-seeking students who entered the curriculum through one of the focal courses, </w:t>
      </w:r>
      <w:r w:rsidRPr="000205A6">
        <w:rPr>
          <w:rFonts w:ascii="Times New Roman" w:hAnsi="Times New Roman" w:cs="Times New Roman"/>
          <w:sz w:val="24"/>
          <w:szCs w:val="24"/>
        </w:rPr>
        <w:t>passed it on the first attempt</w:t>
      </w:r>
      <w:r w:rsidRPr="00523FED">
        <w:rPr>
          <w:rFonts w:ascii="Times New Roman" w:hAnsi="Times New Roman" w:cs="Times New Roman"/>
          <w:sz w:val="24"/>
          <w:szCs w:val="24"/>
        </w:rPr>
        <w:t>, and then attempted a second course that, in combination with the first course and the outcome of the first course, place</w:t>
      </w:r>
      <w:r w:rsidR="00522BC0">
        <w:rPr>
          <w:rFonts w:ascii="Times New Roman" w:hAnsi="Times New Roman" w:cs="Times New Roman"/>
          <w:sz w:val="24"/>
          <w:szCs w:val="24"/>
        </w:rPr>
        <w:t>d</w:t>
      </w:r>
      <w:r w:rsidRPr="00523FED">
        <w:rPr>
          <w:rFonts w:ascii="Times New Roman" w:hAnsi="Times New Roman" w:cs="Times New Roman"/>
          <w:sz w:val="24"/>
          <w:szCs w:val="24"/>
        </w:rPr>
        <w:t xml:space="preserve"> them in </w:t>
      </w:r>
      <w:r w:rsidR="00E871D2">
        <w:rPr>
          <w:rFonts w:ascii="Times New Roman" w:hAnsi="Times New Roman" w:cs="Times New Roman"/>
          <w:sz w:val="24"/>
          <w:szCs w:val="24"/>
        </w:rPr>
        <w:t>one of the</w:t>
      </w:r>
      <w:r w:rsidRPr="00523FED">
        <w:rPr>
          <w:rFonts w:ascii="Times New Roman" w:hAnsi="Times New Roman" w:cs="Times New Roman"/>
          <w:sz w:val="24"/>
          <w:szCs w:val="24"/>
        </w:rPr>
        <w:t xml:space="preserve"> common math pathway</w:t>
      </w:r>
      <w:r w:rsidR="00E871D2">
        <w:rPr>
          <w:rFonts w:ascii="Times New Roman" w:hAnsi="Times New Roman" w:cs="Times New Roman"/>
          <w:sz w:val="24"/>
          <w:szCs w:val="24"/>
        </w:rPr>
        <w:t>s</w:t>
      </w:r>
      <w:r w:rsidRPr="00523FED">
        <w:rPr>
          <w:rFonts w:ascii="Times New Roman" w:hAnsi="Times New Roman" w:cs="Times New Roman"/>
          <w:sz w:val="24"/>
          <w:szCs w:val="24"/>
        </w:rPr>
        <w:t xml:space="preserve"> </w:t>
      </w:r>
      <w:r w:rsidR="00E871D2">
        <w:rPr>
          <w:rFonts w:ascii="Times New Roman" w:hAnsi="Times New Roman" w:cs="Times New Roman"/>
          <w:sz w:val="24"/>
          <w:szCs w:val="24"/>
        </w:rPr>
        <w:t xml:space="preserve">identified </w:t>
      </w:r>
      <w:r w:rsidRPr="00523FED">
        <w:rPr>
          <w:rFonts w:ascii="Times New Roman" w:hAnsi="Times New Roman" w:cs="Times New Roman"/>
          <w:sz w:val="24"/>
          <w:szCs w:val="24"/>
        </w:rPr>
        <w:t xml:space="preserve">in this study.  </w:t>
      </w:r>
    </w:p>
    <w:p w14:paraId="69DFDC2A" w14:textId="4C7A7B9F" w:rsidR="00561299" w:rsidRDefault="007F7A7A" w:rsidP="00EF6CD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All s</w:t>
      </w:r>
      <w:r w:rsidR="00561299">
        <w:rPr>
          <w:rFonts w:ascii="Times New Roman" w:hAnsi="Times New Roman" w:cs="Times New Roman"/>
          <w:sz w:val="24"/>
          <w:szCs w:val="24"/>
        </w:rPr>
        <w:t>tudents pursuing a goal other than transfer who</w:t>
      </w:r>
      <w:r w:rsidR="001D23B0">
        <w:rPr>
          <w:rFonts w:ascii="Times New Roman" w:hAnsi="Times New Roman" w:cs="Times New Roman"/>
          <w:sz w:val="24"/>
          <w:szCs w:val="24"/>
        </w:rPr>
        <w:t xml:space="preserve">, like the students in </w:t>
      </w:r>
      <w:r>
        <w:rPr>
          <w:rFonts w:ascii="Times New Roman" w:hAnsi="Times New Roman" w:cs="Times New Roman"/>
          <w:sz w:val="24"/>
          <w:szCs w:val="24"/>
        </w:rPr>
        <w:t xml:space="preserve">subsample </w:t>
      </w:r>
      <w:r w:rsidR="001D23B0">
        <w:rPr>
          <w:rFonts w:ascii="Times New Roman" w:hAnsi="Times New Roman" w:cs="Times New Roman"/>
          <w:sz w:val="24"/>
          <w:szCs w:val="24"/>
        </w:rPr>
        <w:t>#1 above,</w:t>
      </w:r>
      <w:r w:rsidR="00561299">
        <w:rPr>
          <w:rFonts w:ascii="Times New Roman" w:hAnsi="Times New Roman" w:cs="Times New Roman"/>
          <w:sz w:val="24"/>
          <w:szCs w:val="24"/>
        </w:rPr>
        <w:t xml:space="preserve"> entered the developmental math curriculum through one of the </w:t>
      </w:r>
      <w:r w:rsidR="001D23B0">
        <w:rPr>
          <w:rFonts w:ascii="Times New Roman" w:hAnsi="Times New Roman" w:cs="Times New Roman"/>
          <w:sz w:val="24"/>
          <w:szCs w:val="24"/>
        </w:rPr>
        <w:t>focal</w:t>
      </w:r>
      <w:r w:rsidR="00561299">
        <w:rPr>
          <w:rFonts w:ascii="Times New Roman" w:hAnsi="Times New Roman" w:cs="Times New Roman"/>
          <w:sz w:val="24"/>
          <w:szCs w:val="24"/>
        </w:rPr>
        <w:t xml:space="preserve"> courses</w:t>
      </w:r>
      <w:r w:rsidR="009E337E">
        <w:rPr>
          <w:rFonts w:ascii="Times New Roman" w:hAnsi="Times New Roman" w:cs="Times New Roman"/>
          <w:sz w:val="24"/>
          <w:szCs w:val="24"/>
        </w:rPr>
        <w:t>,</w:t>
      </w:r>
      <w:r w:rsidR="009E337E" w:rsidRPr="009E337E">
        <w:rPr>
          <w:rFonts w:ascii="Times New Roman" w:hAnsi="Times New Roman" w:cs="Times New Roman"/>
          <w:sz w:val="24"/>
          <w:szCs w:val="24"/>
        </w:rPr>
        <w:t xml:space="preserve"> </w:t>
      </w:r>
      <w:r>
        <w:rPr>
          <w:rFonts w:ascii="Times New Roman" w:hAnsi="Times New Roman" w:cs="Times New Roman"/>
          <w:sz w:val="24"/>
          <w:szCs w:val="24"/>
        </w:rPr>
        <w:t xml:space="preserve">but may or may not have </w:t>
      </w:r>
      <w:r w:rsidR="009E337E">
        <w:rPr>
          <w:rFonts w:ascii="Times New Roman" w:hAnsi="Times New Roman" w:cs="Times New Roman"/>
          <w:sz w:val="24"/>
          <w:szCs w:val="24"/>
        </w:rPr>
        <w:t xml:space="preserve">passed it on the first attempt, and </w:t>
      </w:r>
      <w:r>
        <w:rPr>
          <w:rFonts w:ascii="Times New Roman" w:hAnsi="Times New Roman" w:cs="Times New Roman"/>
          <w:sz w:val="24"/>
          <w:szCs w:val="24"/>
        </w:rPr>
        <w:t>may or may not</w:t>
      </w:r>
      <w:r w:rsidR="009E337E">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9E337E">
        <w:rPr>
          <w:rFonts w:ascii="Times New Roman" w:hAnsi="Times New Roman" w:cs="Times New Roman"/>
          <w:sz w:val="24"/>
          <w:szCs w:val="24"/>
        </w:rPr>
        <w:t>attempted a second course</w:t>
      </w:r>
      <w:r w:rsidR="00561299">
        <w:rPr>
          <w:rFonts w:ascii="Times New Roman" w:hAnsi="Times New Roman" w:cs="Times New Roman"/>
          <w:sz w:val="24"/>
          <w:szCs w:val="24"/>
        </w:rPr>
        <w:t>.</w:t>
      </w:r>
    </w:p>
    <w:p w14:paraId="7FB6FE46" w14:textId="7E1D3CCB" w:rsidR="00A140AE" w:rsidRDefault="007F7A7A" w:rsidP="00EF6CD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All students pursuing a goal other than transfer who, like the students in subsample #</w:t>
      </w:r>
      <w:r w:rsidR="00E871D2">
        <w:rPr>
          <w:rFonts w:ascii="Times New Roman" w:hAnsi="Times New Roman" w:cs="Times New Roman"/>
          <w:sz w:val="24"/>
          <w:szCs w:val="24"/>
        </w:rPr>
        <w:t>2</w:t>
      </w:r>
      <w:r>
        <w:rPr>
          <w:rFonts w:ascii="Times New Roman" w:hAnsi="Times New Roman" w:cs="Times New Roman"/>
          <w:sz w:val="24"/>
          <w:szCs w:val="24"/>
        </w:rPr>
        <w:t xml:space="preserve"> above, entered the curriculum through one of the focal courses </w:t>
      </w:r>
      <w:r w:rsidRPr="0072729B">
        <w:rPr>
          <w:rFonts w:ascii="Times New Roman" w:hAnsi="Times New Roman" w:cs="Times New Roman"/>
          <w:i/>
          <w:sz w:val="24"/>
          <w:szCs w:val="24"/>
        </w:rPr>
        <w:t>and passed it on the first attempt</w:t>
      </w:r>
      <w:r>
        <w:rPr>
          <w:rFonts w:ascii="Times New Roman" w:hAnsi="Times New Roman" w:cs="Times New Roman"/>
          <w:sz w:val="24"/>
          <w:szCs w:val="24"/>
        </w:rPr>
        <w:t xml:space="preserve">, </w:t>
      </w:r>
      <w:r w:rsidR="001F3F47">
        <w:rPr>
          <w:rFonts w:ascii="Times New Roman" w:hAnsi="Times New Roman" w:cs="Times New Roman"/>
          <w:sz w:val="24"/>
          <w:szCs w:val="24"/>
        </w:rPr>
        <w:t>but may or may not have attempted a second course.</w:t>
      </w:r>
    </w:p>
    <w:p w14:paraId="2EA0D361" w14:textId="27FABBAA" w:rsidR="00A35AE0" w:rsidRPr="00523FED" w:rsidRDefault="002A5CA7" w:rsidP="00EF6CD7">
      <w:pPr>
        <w:pStyle w:val="ListParagraph"/>
        <w:numPr>
          <w:ilvl w:val="0"/>
          <w:numId w:val="11"/>
        </w:numPr>
        <w:spacing w:after="0" w:line="240" w:lineRule="auto"/>
        <w:rPr>
          <w:rFonts w:ascii="Times New Roman" w:hAnsi="Times New Roman" w:cs="Times New Roman"/>
          <w:sz w:val="24"/>
          <w:szCs w:val="24"/>
        </w:rPr>
      </w:pPr>
      <w:r w:rsidRPr="00523FED">
        <w:rPr>
          <w:rFonts w:ascii="Times New Roman" w:hAnsi="Times New Roman" w:cs="Times New Roman"/>
          <w:sz w:val="24"/>
          <w:szCs w:val="24"/>
        </w:rPr>
        <w:lastRenderedPageBreak/>
        <w:t>All students pursuing a goal other than transfer who, like the students in subsample #</w:t>
      </w:r>
      <w:r w:rsidR="00E871D2">
        <w:rPr>
          <w:rFonts w:ascii="Times New Roman" w:hAnsi="Times New Roman" w:cs="Times New Roman"/>
          <w:sz w:val="24"/>
          <w:szCs w:val="24"/>
        </w:rPr>
        <w:t>3</w:t>
      </w:r>
      <w:r w:rsidRPr="00523FED">
        <w:rPr>
          <w:rFonts w:ascii="Times New Roman" w:hAnsi="Times New Roman" w:cs="Times New Roman"/>
          <w:sz w:val="24"/>
          <w:szCs w:val="24"/>
        </w:rPr>
        <w:t xml:space="preserve"> above, entered the curriculum through one of the focal courses, </w:t>
      </w:r>
      <w:r w:rsidRPr="0072729B">
        <w:rPr>
          <w:rFonts w:ascii="Times New Roman" w:hAnsi="Times New Roman" w:cs="Times New Roman"/>
          <w:sz w:val="24"/>
          <w:szCs w:val="24"/>
        </w:rPr>
        <w:t>passed it on the first attempt</w:t>
      </w:r>
      <w:r w:rsidRPr="00523FED">
        <w:rPr>
          <w:rFonts w:ascii="Times New Roman" w:hAnsi="Times New Roman" w:cs="Times New Roman"/>
          <w:sz w:val="24"/>
          <w:szCs w:val="24"/>
        </w:rPr>
        <w:t>, and then attempted a second course that, in combination with the first course and the outcome of the first course, place</w:t>
      </w:r>
      <w:r w:rsidR="00522BC0">
        <w:rPr>
          <w:rFonts w:ascii="Times New Roman" w:hAnsi="Times New Roman" w:cs="Times New Roman"/>
          <w:sz w:val="24"/>
          <w:szCs w:val="24"/>
        </w:rPr>
        <w:t>d</w:t>
      </w:r>
      <w:r w:rsidRPr="00523FED">
        <w:rPr>
          <w:rFonts w:ascii="Times New Roman" w:hAnsi="Times New Roman" w:cs="Times New Roman"/>
          <w:sz w:val="24"/>
          <w:szCs w:val="24"/>
        </w:rPr>
        <w:t xml:space="preserve"> them in </w:t>
      </w:r>
      <w:r w:rsidR="00E871D2">
        <w:rPr>
          <w:rFonts w:ascii="Times New Roman" w:hAnsi="Times New Roman" w:cs="Times New Roman"/>
          <w:sz w:val="24"/>
          <w:szCs w:val="24"/>
        </w:rPr>
        <w:t>one of the</w:t>
      </w:r>
      <w:r w:rsidRPr="00523FED">
        <w:rPr>
          <w:rFonts w:ascii="Times New Roman" w:hAnsi="Times New Roman" w:cs="Times New Roman"/>
          <w:sz w:val="24"/>
          <w:szCs w:val="24"/>
        </w:rPr>
        <w:t xml:space="preserve"> common math pathway</w:t>
      </w:r>
      <w:r w:rsidR="00E871D2">
        <w:rPr>
          <w:rFonts w:ascii="Times New Roman" w:hAnsi="Times New Roman" w:cs="Times New Roman"/>
          <w:sz w:val="24"/>
          <w:szCs w:val="24"/>
        </w:rPr>
        <w:t>s</w:t>
      </w:r>
      <w:r w:rsidRPr="00523FED">
        <w:rPr>
          <w:rFonts w:ascii="Times New Roman" w:hAnsi="Times New Roman" w:cs="Times New Roman"/>
          <w:sz w:val="24"/>
          <w:szCs w:val="24"/>
        </w:rPr>
        <w:t xml:space="preserve"> </w:t>
      </w:r>
      <w:r w:rsidR="00E871D2">
        <w:rPr>
          <w:rFonts w:ascii="Times New Roman" w:hAnsi="Times New Roman" w:cs="Times New Roman"/>
          <w:sz w:val="24"/>
          <w:szCs w:val="24"/>
        </w:rPr>
        <w:t xml:space="preserve">identified </w:t>
      </w:r>
      <w:r w:rsidRPr="00523FED">
        <w:rPr>
          <w:rFonts w:ascii="Times New Roman" w:hAnsi="Times New Roman" w:cs="Times New Roman"/>
          <w:sz w:val="24"/>
          <w:szCs w:val="24"/>
        </w:rPr>
        <w:t>in this study.</w:t>
      </w:r>
    </w:p>
    <w:p w14:paraId="3B32BB48" w14:textId="77777777" w:rsidR="00E94BEE" w:rsidRDefault="00E94BEE" w:rsidP="00E94BEE">
      <w:pPr>
        <w:spacing w:after="0" w:line="240" w:lineRule="auto"/>
        <w:rPr>
          <w:rFonts w:ascii="Times New Roman" w:hAnsi="Times New Roman" w:cs="Times New Roman"/>
          <w:sz w:val="24"/>
          <w:szCs w:val="24"/>
        </w:rPr>
      </w:pPr>
    </w:p>
    <w:p w14:paraId="3D99156B" w14:textId="5D0CC238" w:rsidR="00E94BEE" w:rsidRPr="0072729B" w:rsidRDefault="004F5D12" w:rsidP="00E94BEE">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831B5">
        <w:rPr>
          <w:rFonts w:ascii="Times New Roman" w:hAnsi="Times New Roman" w:cs="Times New Roman"/>
          <w:sz w:val="24"/>
          <w:szCs w:val="24"/>
        </w:rPr>
        <w:t xml:space="preserve">elected covariates were included in </w:t>
      </w:r>
      <w:r w:rsidR="00212BB4">
        <w:rPr>
          <w:rFonts w:ascii="Times New Roman" w:hAnsi="Times New Roman" w:cs="Times New Roman"/>
          <w:sz w:val="24"/>
          <w:szCs w:val="24"/>
        </w:rPr>
        <w:t xml:space="preserve">each of </w:t>
      </w:r>
      <w:r w:rsidR="003831B5">
        <w:rPr>
          <w:rFonts w:ascii="Times New Roman" w:hAnsi="Times New Roman" w:cs="Times New Roman"/>
          <w:sz w:val="24"/>
          <w:szCs w:val="24"/>
        </w:rPr>
        <w:t>the regression models as statistical controls</w:t>
      </w:r>
      <w:r w:rsidR="00522BC0">
        <w:rPr>
          <w:rFonts w:ascii="Times New Roman" w:hAnsi="Times New Roman" w:cs="Times New Roman"/>
          <w:sz w:val="24"/>
          <w:szCs w:val="24"/>
        </w:rPr>
        <w:t>.  These are as</w:t>
      </w:r>
      <w:r w:rsidR="00BC4251">
        <w:rPr>
          <w:rFonts w:ascii="Times New Roman" w:hAnsi="Times New Roman" w:cs="Times New Roman"/>
          <w:sz w:val="24"/>
          <w:szCs w:val="24"/>
        </w:rPr>
        <w:t xml:space="preserve"> follows</w:t>
      </w:r>
      <w:r w:rsidR="003831B5">
        <w:rPr>
          <w:rFonts w:ascii="Times New Roman" w:hAnsi="Times New Roman" w:cs="Times New Roman"/>
          <w:sz w:val="24"/>
          <w:szCs w:val="24"/>
        </w:rPr>
        <w:t>:</w:t>
      </w:r>
    </w:p>
    <w:p w14:paraId="39D2812F" w14:textId="3E7FB008" w:rsidR="00AF04BB" w:rsidRPr="00347697" w:rsidRDefault="00135D59" w:rsidP="00EF6CD7">
      <w:pPr>
        <w:pStyle w:val="ListParagraph"/>
        <w:numPr>
          <w:ilvl w:val="1"/>
          <w:numId w:val="3"/>
        </w:numPr>
        <w:spacing w:after="0" w:line="240" w:lineRule="auto"/>
        <w:ind w:left="1080"/>
        <w:rPr>
          <w:rFonts w:ascii="Times New Roman" w:hAnsi="Times New Roman" w:cs="Times New Roman"/>
          <w:sz w:val="24"/>
          <w:szCs w:val="24"/>
        </w:rPr>
      </w:pPr>
      <w:r w:rsidRPr="00347697">
        <w:rPr>
          <w:rFonts w:ascii="Times New Roman" w:hAnsi="Times New Roman" w:cs="Times New Roman"/>
          <w:sz w:val="24"/>
          <w:szCs w:val="24"/>
        </w:rPr>
        <w:t>P</w:t>
      </w:r>
      <w:r w:rsidR="00AF04BB" w:rsidRPr="00347697">
        <w:rPr>
          <w:rFonts w:ascii="Times New Roman" w:hAnsi="Times New Roman" w:cs="Times New Roman"/>
          <w:sz w:val="24"/>
          <w:szCs w:val="24"/>
        </w:rPr>
        <w:t xml:space="preserve">art-time enrollment in </w:t>
      </w:r>
      <w:r w:rsidR="005B2028" w:rsidRPr="00347697">
        <w:rPr>
          <w:rFonts w:ascii="Times New Roman" w:hAnsi="Times New Roman" w:cs="Times New Roman"/>
          <w:sz w:val="24"/>
          <w:szCs w:val="24"/>
        </w:rPr>
        <w:t xml:space="preserve">the </w:t>
      </w:r>
      <w:r w:rsidR="00845D79">
        <w:rPr>
          <w:rFonts w:ascii="Times New Roman" w:hAnsi="Times New Roman" w:cs="Times New Roman"/>
          <w:sz w:val="24"/>
          <w:szCs w:val="24"/>
        </w:rPr>
        <w:t xml:space="preserve">student’s </w:t>
      </w:r>
      <w:r w:rsidR="00AF04BB" w:rsidRPr="00347697">
        <w:rPr>
          <w:rFonts w:ascii="Times New Roman" w:hAnsi="Times New Roman" w:cs="Times New Roman"/>
          <w:sz w:val="24"/>
          <w:szCs w:val="24"/>
        </w:rPr>
        <w:t xml:space="preserve">first term </w:t>
      </w:r>
      <w:r w:rsidR="00BC4251">
        <w:rPr>
          <w:rFonts w:ascii="Times New Roman" w:hAnsi="Times New Roman" w:cs="Times New Roman"/>
          <w:sz w:val="24"/>
          <w:szCs w:val="24"/>
        </w:rPr>
        <w:t xml:space="preserve">of for-credit course-taking at </w:t>
      </w:r>
      <w:r w:rsidR="00AF04BB" w:rsidRPr="00347697">
        <w:rPr>
          <w:rFonts w:ascii="Times New Roman" w:hAnsi="Times New Roman" w:cs="Times New Roman"/>
          <w:sz w:val="24"/>
          <w:szCs w:val="24"/>
        </w:rPr>
        <w:t>BC</w:t>
      </w:r>
      <w:r w:rsidRPr="00347697">
        <w:rPr>
          <w:rFonts w:ascii="Times New Roman" w:hAnsi="Times New Roman" w:cs="Times New Roman"/>
          <w:sz w:val="24"/>
          <w:szCs w:val="24"/>
        </w:rPr>
        <w:t xml:space="preserve"> (</w:t>
      </w:r>
      <w:r w:rsidR="005B2028" w:rsidRPr="00347697">
        <w:rPr>
          <w:rFonts w:ascii="Times New Roman" w:hAnsi="Times New Roman" w:cs="Times New Roman"/>
          <w:sz w:val="24"/>
          <w:szCs w:val="24"/>
        </w:rPr>
        <w:t xml:space="preserve">treated as </w:t>
      </w:r>
      <w:r w:rsidRPr="00347697">
        <w:rPr>
          <w:rFonts w:ascii="Times New Roman" w:hAnsi="Times New Roman" w:cs="Times New Roman"/>
          <w:sz w:val="24"/>
          <w:szCs w:val="24"/>
        </w:rPr>
        <w:t>dichotomous)</w:t>
      </w:r>
    </w:p>
    <w:p w14:paraId="03F25F4B" w14:textId="3FFB4976" w:rsidR="00AF04BB" w:rsidRPr="00347697" w:rsidRDefault="0097288E"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Age at </w:t>
      </w:r>
      <w:r w:rsidR="00AF04BB" w:rsidRPr="00347697">
        <w:rPr>
          <w:rFonts w:ascii="Times New Roman" w:hAnsi="Times New Roman" w:cs="Times New Roman"/>
          <w:sz w:val="24"/>
          <w:szCs w:val="24"/>
        </w:rPr>
        <w:t>college entry (</w:t>
      </w:r>
      <w:r w:rsidR="005B2028" w:rsidRPr="00347697">
        <w:rPr>
          <w:rFonts w:ascii="Times New Roman" w:hAnsi="Times New Roman" w:cs="Times New Roman"/>
          <w:sz w:val="24"/>
          <w:szCs w:val="24"/>
        </w:rPr>
        <w:t xml:space="preserve">treated as </w:t>
      </w:r>
      <w:r w:rsidR="00135D59" w:rsidRPr="00347697">
        <w:rPr>
          <w:rFonts w:ascii="Times New Roman" w:hAnsi="Times New Roman" w:cs="Times New Roman"/>
          <w:sz w:val="24"/>
          <w:szCs w:val="24"/>
        </w:rPr>
        <w:t>dichotomous</w:t>
      </w:r>
      <w:r w:rsidR="003625EF">
        <w:rPr>
          <w:rFonts w:ascii="Times New Roman" w:hAnsi="Times New Roman" w:cs="Times New Roman"/>
          <w:sz w:val="24"/>
          <w:szCs w:val="24"/>
        </w:rPr>
        <w:t xml:space="preserve"> and coded to </w:t>
      </w:r>
      <w:r>
        <w:rPr>
          <w:rFonts w:ascii="Times New Roman" w:hAnsi="Times New Roman" w:cs="Times New Roman"/>
          <w:sz w:val="24"/>
          <w:szCs w:val="24"/>
        </w:rPr>
        <w:t>distinguish between students who were less than 20 years of age at coll</w:t>
      </w:r>
      <w:r w:rsidR="00523FED">
        <w:rPr>
          <w:rFonts w:ascii="Times New Roman" w:hAnsi="Times New Roman" w:cs="Times New Roman"/>
          <w:sz w:val="24"/>
          <w:szCs w:val="24"/>
        </w:rPr>
        <w:t>ege entry versus those who were 20 years of age or older</w:t>
      </w:r>
      <w:r w:rsidR="00AF04BB" w:rsidRPr="00347697">
        <w:rPr>
          <w:rFonts w:ascii="Times New Roman" w:hAnsi="Times New Roman" w:cs="Times New Roman"/>
          <w:sz w:val="24"/>
          <w:szCs w:val="24"/>
        </w:rPr>
        <w:t>)</w:t>
      </w:r>
    </w:p>
    <w:p w14:paraId="68173117" w14:textId="717EB7F1" w:rsidR="00AF04BB" w:rsidRPr="00347697" w:rsidRDefault="00BC4251"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Self-reported g</w:t>
      </w:r>
      <w:r w:rsidRPr="00347697">
        <w:rPr>
          <w:rFonts w:ascii="Times New Roman" w:hAnsi="Times New Roman" w:cs="Times New Roman"/>
          <w:sz w:val="24"/>
          <w:szCs w:val="24"/>
        </w:rPr>
        <w:t xml:space="preserve">ender </w:t>
      </w:r>
      <w:r w:rsidR="00D30BFD" w:rsidRPr="00347697">
        <w:rPr>
          <w:rFonts w:ascii="Times New Roman" w:hAnsi="Times New Roman" w:cs="Times New Roman"/>
          <w:sz w:val="24"/>
          <w:szCs w:val="24"/>
        </w:rPr>
        <w:t>(</w:t>
      </w:r>
      <w:r w:rsidR="005B2028" w:rsidRPr="00347697">
        <w:rPr>
          <w:rFonts w:ascii="Times New Roman" w:hAnsi="Times New Roman" w:cs="Times New Roman"/>
          <w:sz w:val="24"/>
          <w:szCs w:val="24"/>
        </w:rPr>
        <w:t xml:space="preserve">treated as </w:t>
      </w:r>
      <w:r w:rsidR="00D30BFD" w:rsidRPr="00347697">
        <w:rPr>
          <w:rFonts w:ascii="Times New Roman" w:hAnsi="Times New Roman" w:cs="Times New Roman"/>
          <w:sz w:val="24"/>
          <w:szCs w:val="24"/>
        </w:rPr>
        <w:t>dichotomous)</w:t>
      </w:r>
    </w:p>
    <w:p w14:paraId="32768FB2" w14:textId="2B84A86A" w:rsidR="00AF04BB" w:rsidRPr="00347697" w:rsidRDefault="00BC4251"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Self-reported </w:t>
      </w:r>
      <w:r w:rsidR="00AF04BB" w:rsidRPr="00347697">
        <w:rPr>
          <w:rFonts w:ascii="Times New Roman" w:hAnsi="Times New Roman" w:cs="Times New Roman"/>
          <w:sz w:val="24"/>
          <w:szCs w:val="24"/>
        </w:rPr>
        <w:t>race/ethnicity (</w:t>
      </w:r>
      <w:r w:rsidR="005B2028" w:rsidRPr="00347697">
        <w:rPr>
          <w:rFonts w:ascii="Times New Roman" w:hAnsi="Times New Roman" w:cs="Times New Roman"/>
          <w:sz w:val="24"/>
          <w:szCs w:val="24"/>
        </w:rPr>
        <w:t xml:space="preserve">treated as </w:t>
      </w:r>
      <w:r w:rsidR="00D30BFD" w:rsidRPr="00347697">
        <w:rPr>
          <w:rFonts w:ascii="Times New Roman" w:hAnsi="Times New Roman" w:cs="Times New Roman"/>
          <w:sz w:val="24"/>
          <w:szCs w:val="24"/>
        </w:rPr>
        <w:t>dichotomous</w:t>
      </w:r>
      <w:r>
        <w:rPr>
          <w:rFonts w:ascii="Times New Roman" w:hAnsi="Times New Roman" w:cs="Times New Roman"/>
          <w:sz w:val="24"/>
          <w:szCs w:val="24"/>
        </w:rPr>
        <w:t xml:space="preserve"> and coded to distinguish </w:t>
      </w:r>
      <w:r w:rsidR="00D30BFD" w:rsidRPr="00347697">
        <w:rPr>
          <w:rFonts w:ascii="Times New Roman" w:hAnsi="Times New Roman" w:cs="Times New Roman"/>
          <w:sz w:val="24"/>
          <w:szCs w:val="24"/>
        </w:rPr>
        <w:t xml:space="preserve">historically </w:t>
      </w:r>
      <w:r>
        <w:rPr>
          <w:rFonts w:ascii="Times New Roman" w:hAnsi="Times New Roman" w:cs="Times New Roman"/>
          <w:sz w:val="24"/>
          <w:szCs w:val="24"/>
        </w:rPr>
        <w:t xml:space="preserve">advantaged and </w:t>
      </w:r>
      <w:r w:rsidR="00D30BFD" w:rsidRPr="00347697">
        <w:rPr>
          <w:rFonts w:ascii="Times New Roman" w:hAnsi="Times New Roman" w:cs="Times New Roman"/>
          <w:sz w:val="24"/>
          <w:szCs w:val="24"/>
        </w:rPr>
        <w:t xml:space="preserve">disadvantaged </w:t>
      </w:r>
      <w:r>
        <w:rPr>
          <w:rFonts w:ascii="Times New Roman" w:hAnsi="Times New Roman" w:cs="Times New Roman"/>
          <w:sz w:val="24"/>
          <w:szCs w:val="24"/>
        </w:rPr>
        <w:t xml:space="preserve">groups, with the latter </w:t>
      </w:r>
      <w:r w:rsidR="00D30BFD" w:rsidRPr="00347697">
        <w:rPr>
          <w:rFonts w:ascii="Times New Roman" w:hAnsi="Times New Roman" w:cs="Times New Roman"/>
          <w:sz w:val="24"/>
          <w:szCs w:val="24"/>
        </w:rPr>
        <w:t xml:space="preserve">defined as </w:t>
      </w:r>
      <w:r w:rsidR="00AF04BB" w:rsidRPr="00347697">
        <w:rPr>
          <w:rFonts w:ascii="Times New Roman" w:hAnsi="Times New Roman" w:cs="Times New Roman"/>
          <w:sz w:val="24"/>
          <w:szCs w:val="24"/>
        </w:rPr>
        <w:t>Black, Hispanic,</w:t>
      </w:r>
      <w:r w:rsidR="00135D59" w:rsidRPr="00347697">
        <w:rPr>
          <w:rFonts w:ascii="Times New Roman" w:hAnsi="Times New Roman" w:cs="Times New Roman"/>
          <w:sz w:val="24"/>
          <w:szCs w:val="24"/>
        </w:rPr>
        <w:t xml:space="preserve"> </w:t>
      </w:r>
      <w:r w:rsidR="00AF04BB" w:rsidRPr="00347697">
        <w:rPr>
          <w:rFonts w:ascii="Times New Roman" w:hAnsi="Times New Roman" w:cs="Times New Roman"/>
          <w:sz w:val="24"/>
          <w:szCs w:val="24"/>
        </w:rPr>
        <w:t>Native American</w:t>
      </w:r>
      <w:r w:rsidR="00135D59" w:rsidRPr="00347697">
        <w:rPr>
          <w:rFonts w:ascii="Times New Roman" w:hAnsi="Times New Roman" w:cs="Times New Roman"/>
          <w:sz w:val="24"/>
          <w:szCs w:val="24"/>
        </w:rPr>
        <w:t>, or two or more racial/ethnic categories</w:t>
      </w:r>
      <w:r w:rsidR="00AF04BB" w:rsidRPr="00347697">
        <w:rPr>
          <w:rFonts w:ascii="Times New Roman" w:hAnsi="Times New Roman" w:cs="Times New Roman"/>
          <w:sz w:val="24"/>
          <w:szCs w:val="24"/>
        </w:rPr>
        <w:t>)</w:t>
      </w:r>
    </w:p>
    <w:p w14:paraId="2B9AB3BA" w14:textId="194CBD79" w:rsidR="0029271C" w:rsidRPr="00347697" w:rsidRDefault="00982DFB" w:rsidP="00EF6CD7">
      <w:pPr>
        <w:pStyle w:val="ListParagraph"/>
        <w:numPr>
          <w:ilvl w:val="1"/>
          <w:numId w:val="3"/>
        </w:numPr>
        <w:spacing w:after="0" w:line="240" w:lineRule="auto"/>
        <w:ind w:left="1080"/>
        <w:rPr>
          <w:rFonts w:ascii="Times New Roman" w:hAnsi="Times New Roman" w:cs="Times New Roman"/>
          <w:sz w:val="24"/>
          <w:szCs w:val="24"/>
        </w:rPr>
      </w:pPr>
      <w:r w:rsidRPr="00347697">
        <w:rPr>
          <w:rFonts w:ascii="Times New Roman" w:hAnsi="Times New Roman" w:cs="Times New Roman"/>
          <w:sz w:val="24"/>
          <w:szCs w:val="24"/>
        </w:rPr>
        <w:t xml:space="preserve">Method of </w:t>
      </w:r>
      <w:r w:rsidR="00523FED">
        <w:rPr>
          <w:rFonts w:ascii="Times New Roman" w:hAnsi="Times New Roman" w:cs="Times New Roman"/>
          <w:sz w:val="24"/>
          <w:szCs w:val="24"/>
        </w:rPr>
        <w:t xml:space="preserve">assessment for </w:t>
      </w:r>
      <w:r w:rsidRPr="00347697">
        <w:rPr>
          <w:rFonts w:ascii="Times New Roman" w:hAnsi="Times New Roman" w:cs="Times New Roman"/>
          <w:sz w:val="24"/>
          <w:szCs w:val="24"/>
        </w:rPr>
        <w:t>placement in the m</w:t>
      </w:r>
      <w:r w:rsidR="00D30BFD" w:rsidRPr="00347697">
        <w:rPr>
          <w:rFonts w:ascii="Times New Roman" w:hAnsi="Times New Roman" w:cs="Times New Roman"/>
          <w:sz w:val="24"/>
          <w:szCs w:val="24"/>
        </w:rPr>
        <w:t xml:space="preserve">ath </w:t>
      </w:r>
      <w:r w:rsidRPr="00347697">
        <w:rPr>
          <w:rFonts w:ascii="Times New Roman" w:hAnsi="Times New Roman" w:cs="Times New Roman"/>
          <w:sz w:val="24"/>
          <w:szCs w:val="24"/>
        </w:rPr>
        <w:t xml:space="preserve">curriculum </w:t>
      </w:r>
      <w:r w:rsidR="00D30BFD" w:rsidRPr="00347697">
        <w:rPr>
          <w:rFonts w:ascii="Times New Roman" w:hAnsi="Times New Roman" w:cs="Times New Roman"/>
          <w:sz w:val="24"/>
          <w:szCs w:val="24"/>
        </w:rPr>
        <w:t>(</w:t>
      </w:r>
      <w:r w:rsidR="00043648" w:rsidRPr="00347697">
        <w:rPr>
          <w:rFonts w:ascii="Times New Roman" w:hAnsi="Times New Roman" w:cs="Times New Roman"/>
          <w:sz w:val="24"/>
          <w:szCs w:val="24"/>
        </w:rPr>
        <w:t xml:space="preserve">treated as dichotomous and </w:t>
      </w:r>
      <w:r w:rsidR="00D30BFD" w:rsidRPr="00347697">
        <w:rPr>
          <w:rFonts w:ascii="Times New Roman" w:hAnsi="Times New Roman" w:cs="Times New Roman"/>
          <w:sz w:val="24"/>
          <w:szCs w:val="24"/>
        </w:rPr>
        <w:t xml:space="preserve">coded to reflect </w:t>
      </w:r>
      <w:r w:rsidR="0029271C" w:rsidRPr="00347697">
        <w:rPr>
          <w:rFonts w:ascii="Times New Roman" w:hAnsi="Times New Roman" w:cs="Times New Roman"/>
          <w:sz w:val="24"/>
          <w:szCs w:val="24"/>
        </w:rPr>
        <w:t>multiple measures place</w:t>
      </w:r>
      <w:r w:rsidR="00D30BFD" w:rsidRPr="00347697">
        <w:rPr>
          <w:rFonts w:ascii="Times New Roman" w:hAnsi="Times New Roman" w:cs="Times New Roman"/>
          <w:sz w:val="24"/>
          <w:szCs w:val="24"/>
        </w:rPr>
        <w:t>ment versus placement test</w:t>
      </w:r>
      <w:r w:rsidR="00043648" w:rsidRPr="00347697">
        <w:rPr>
          <w:rFonts w:ascii="Times New Roman" w:hAnsi="Times New Roman" w:cs="Times New Roman"/>
          <w:sz w:val="24"/>
          <w:szCs w:val="24"/>
        </w:rPr>
        <w:t xml:space="preserve"> only</w:t>
      </w:r>
      <w:r w:rsidR="00D30BFD" w:rsidRPr="00347697">
        <w:rPr>
          <w:rFonts w:ascii="Times New Roman" w:hAnsi="Times New Roman" w:cs="Times New Roman"/>
          <w:sz w:val="24"/>
          <w:szCs w:val="24"/>
        </w:rPr>
        <w:t>)</w:t>
      </w:r>
    </w:p>
    <w:p w14:paraId="4C923FE7" w14:textId="1B3DB1B1" w:rsidR="00AF04BB" w:rsidRPr="00347697" w:rsidRDefault="00D30BFD" w:rsidP="00EF6CD7">
      <w:pPr>
        <w:pStyle w:val="ListParagraph"/>
        <w:numPr>
          <w:ilvl w:val="1"/>
          <w:numId w:val="3"/>
        </w:numPr>
        <w:spacing w:after="0" w:line="240" w:lineRule="auto"/>
        <w:ind w:left="1080"/>
        <w:rPr>
          <w:rFonts w:ascii="Times New Roman" w:hAnsi="Times New Roman" w:cs="Times New Roman"/>
          <w:sz w:val="24"/>
          <w:szCs w:val="24"/>
        </w:rPr>
      </w:pPr>
      <w:r w:rsidRPr="00347697">
        <w:rPr>
          <w:rFonts w:ascii="Times New Roman" w:hAnsi="Times New Roman" w:cs="Times New Roman"/>
          <w:sz w:val="24"/>
          <w:szCs w:val="24"/>
        </w:rPr>
        <w:t>T</w:t>
      </w:r>
      <w:r w:rsidR="00AF04BB" w:rsidRPr="00347697">
        <w:rPr>
          <w:rFonts w:ascii="Times New Roman" w:hAnsi="Times New Roman" w:cs="Times New Roman"/>
          <w:sz w:val="24"/>
          <w:szCs w:val="24"/>
        </w:rPr>
        <w:t xml:space="preserve">erm of </w:t>
      </w:r>
      <w:r w:rsidR="00792CB1">
        <w:rPr>
          <w:rFonts w:ascii="Times New Roman" w:hAnsi="Times New Roman" w:cs="Times New Roman"/>
          <w:sz w:val="24"/>
          <w:szCs w:val="24"/>
        </w:rPr>
        <w:t>entry to</w:t>
      </w:r>
      <w:r w:rsidR="00AF04BB" w:rsidRPr="00347697">
        <w:rPr>
          <w:rFonts w:ascii="Times New Roman" w:hAnsi="Times New Roman" w:cs="Times New Roman"/>
          <w:sz w:val="24"/>
          <w:szCs w:val="24"/>
        </w:rPr>
        <w:t xml:space="preserve"> BC (</w:t>
      </w:r>
      <w:r w:rsidRPr="00347697">
        <w:rPr>
          <w:rFonts w:ascii="Times New Roman" w:hAnsi="Times New Roman" w:cs="Times New Roman"/>
          <w:sz w:val="24"/>
          <w:szCs w:val="24"/>
        </w:rPr>
        <w:t xml:space="preserve">coded with six categories, including </w:t>
      </w:r>
      <w:r w:rsidR="00AF04BB" w:rsidRPr="00347697">
        <w:rPr>
          <w:rFonts w:ascii="Times New Roman" w:hAnsi="Times New Roman" w:cs="Times New Roman"/>
          <w:sz w:val="24"/>
          <w:szCs w:val="24"/>
        </w:rPr>
        <w:t xml:space="preserve">Summer 2015, Fall 2015, Spring 2016, Summer 2016, Fall 2016, </w:t>
      </w:r>
      <w:r w:rsidRPr="00347697">
        <w:rPr>
          <w:rFonts w:ascii="Times New Roman" w:hAnsi="Times New Roman" w:cs="Times New Roman"/>
          <w:sz w:val="24"/>
          <w:szCs w:val="24"/>
        </w:rPr>
        <w:t xml:space="preserve">and </w:t>
      </w:r>
      <w:r w:rsidR="00AF04BB" w:rsidRPr="00347697">
        <w:rPr>
          <w:rFonts w:ascii="Times New Roman" w:hAnsi="Times New Roman" w:cs="Times New Roman"/>
          <w:sz w:val="24"/>
          <w:szCs w:val="24"/>
        </w:rPr>
        <w:t>Spring 2017)</w:t>
      </w:r>
    </w:p>
    <w:p w14:paraId="68517DF8" w14:textId="77777777" w:rsidR="00135D59" w:rsidRPr="00347697" w:rsidRDefault="00135D59" w:rsidP="00163AC5">
      <w:pPr>
        <w:spacing w:after="0" w:line="240" w:lineRule="auto"/>
        <w:ind w:left="360"/>
        <w:rPr>
          <w:rFonts w:ascii="Times New Roman" w:hAnsi="Times New Roman" w:cs="Times New Roman"/>
          <w:sz w:val="24"/>
          <w:szCs w:val="24"/>
        </w:rPr>
      </w:pPr>
    </w:p>
    <w:p w14:paraId="3796C3F7" w14:textId="0E110771" w:rsidR="00831AF5" w:rsidRPr="00347697" w:rsidRDefault="008967F8" w:rsidP="00831AF5">
      <w:pPr>
        <w:spacing w:after="0" w:line="240" w:lineRule="auto"/>
        <w:rPr>
          <w:rFonts w:ascii="Times New Roman" w:hAnsi="Times New Roman" w:cs="Times New Roman"/>
          <w:sz w:val="24"/>
          <w:szCs w:val="24"/>
          <w:u w:val="single"/>
        </w:rPr>
      </w:pPr>
      <w:r w:rsidRPr="00D872D4">
        <w:rPr>
          <w:rFonts w:ascii="Times New Roman" w:hAnsi="Times New Roman" w:cs="Times New Roman"/>
          <w:sz w:val="24"/>
          <w:szCs w:val="24"/>
          <w:u w:val="single"/>
        </w:rPr>
        <w:t>Predicted Probabilities</w:t>
      </w:r>
    </w:p>
    <w:p w14:paraId="2DE8A283" w14:textId="77777777" w:rsidR="00831AF5" w:rsidRPr="00347697" w:rsidRDefault="00831AF5" w:rsidP="00163AC5">
      <w:pPr>
        <w:spacing w:after="0" w:line="240" w:lineRule="auto"/>
        <w:ind w:left="360"/>
        <w:rPr>
          <w:rFonts w:ascii="Times New Roman" w:hAnsi="Times New Roman" w:cs="Times New Roman"/>
          <w:sz w:val="24"/>
          <w:szCs w:val="24"/>
        </w:rPr>
      </w:pPr>
    </w:p>
    <w:p w14:paraId="501CFFAE" w14:textId="24A51425" w:rsidR="0083091E" w:rsidRPr="00347697" w:rsidRDefault="001C35B3" w:rsidP="001C35B3">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In Table </w:t>
      </w:r>
      <w:r w:rsidR="00523FED">
        <w:rPr>
          <w:rFonts w:ascii="Times New Roman" w:hAnsi="Times New Roman" w:cs="Times New Roman"/>
          <w:sz w:val="24"/>
          <w:szCs w:val="24"/>
        </w:rPr>
        <w:t>8</w:t>
      </w:r>
      <w:r w:rsidRPr="00347697">
        <w:rPr>
          <w:rFonts w:ascii="Times New Roman" w:hAnsi="Times New Roman" w:cs="Times New Roman"/>
          <w:sz w:val="24"/>
          <w:szCs w:val="24"/>
        </w:rPr>
        <w:t>, I present predicted probabilities of achieving</w:t>
      </w:r>
      <w:r w:rsidR="00523FED">
        <w:rPr>
          <w:rFonts w:ascii="Times New Roman" w:hAnsi="Times New Roman" w:cs="Times New Roman"/>
          <w:sz w:val="24"/>
          <w:szCs w:val="24"/>
        </w:rPr>
        <w:t xml:space="preserve"> the three outcomes for each of the six subsamples.  </w:t>
      </w:r>
      <w:r w:rsidRPr="00347697">
        <w:rPr>
          <w:rFonts w:ascii="Times New Roman" w:hAnsi="Times New Roman" w:cs="Times New Roman"/>
          <w:sz w:val="24"/>
          <w:szCs w:val="24"/>
        </w:rPr>
        <w:t xml:space="preserve">These predicted probabilities </w:t>
      </w:r>
      <w:r w:rsidR="00845D79">
        <w:rPr>
          <w:rFonts w:ascii="Times New Roman" w:hAnsi="Times New Roman" w:cs="Times New Roman"/>
          <w:sz w:val="24"/>
          <w:szCs w:val="24"/>
        </w:rPr>
        <w:t>were</w:t>
      </w:r>
      <w:r w:rsidR="00845D79" w:rsidRPr="00347697">
        <w:rPr>
          <w:rFonts w:ascii="Times New Roman" w:hAnsi="Times New Roman" w:cs="Times New Roman"/>
          <w:sz w:val="24"/>
          <w:szCs w:val="24"/>
        </w:rPr>
        <w:t xml:space="preserve"> </w:t>
      </w:r>
      <w:r w:rsidR="00A846EC" w:rsidRPr="00347697">
        <w:rPr>
          <w:rFonts w:ascii="Times New Roman" w:hAnsi="Times New Roman" w:cs="Times New Roman"/>
          <w:sz w:val="24"/>
          <w:szCs w:val="24"/>
        </w:rPr>
        <w:t xml:space="preserve">derived </w:t>
      </w:r>
      <w:r w:rsidRPr="00347697">
        <w:rPr>
          <w:rFonts w:ascii="Times New Roman" w:hAnsi="Times New Roman" w:cs="Times New Roman"/>
          <w:sz w:val="24"/>
          <w:szCs w:val="24"/>
        </w:rPr>
        <w:t xml:space="preserve">from the </w:t>
      </w:r>
      <w:r w:rsidR="00A846EC" w:rsidRPr="00347697">
        <w:rPr>
          <w:rFonts w:ascii="Times New Roman" w:hAnsi="Times New Roman" w:cs="Times New Roman"/>
          <w:sz w:val="24"/>
          <w:szCs w:val="24"/>
        </w:rPr>
        <w:t xml:space="preserve">results of the logistic </w:t>
      </w:r>
      <w:r w:rsidRPr="00347697">
        <w:rPr>
          <w:rFonts w:ascii="Times New Roman" w:hAnsi="Times New Roman" w:cs="Times New Roman"/>
          <w:sz w:val="24"/>
          <w:szCs w:val="24"/>
        </w:rPr>
        <w:t>regression model</w:t>
      </w:r>
      <w:r w:rsidR="004F5D12">
        <w:rPr>
          <w:rFonts w:ascii="Times New Roman" w:hAnsi="Times New Roman" w:cs="Times New Roman"/>
          <w:sz w:val="24"/>
          <w:szCs w:val="24"/>
        </w:rPr>
        <w:t>s</w:t>
      </w:r>
      <w:r w:rsidRPr="00347697">
        <w:rPr>
          <w:rFonts w:ascii="Times New Roman" w:hAnsi="Times New Roman" w:cs="Times New Roman"/>
          <w:sz w:val="24"/>
          <w:szCs w:val="24"/>
        </w:rPr>
        <w:t xml:space="preserve"> </w:t>
      </w:r>
      <w:r w:rsidR="00A846EC" w:rsidRPr="00347697">
        <w:rPr>
          <w:rFonts w:ascii="Times New Roman" w:hAnsi="Times New Roman" w:cs="Times New Roman"/>
          <w:sz w:val="24"/>
          <w:szCs w:val="24"/>
        </w:rPr>
        <w:t>(not shown)</w:t>
      </w:r>
      <w:r w:rsidR="000136FD" w:rsidRPr="00347697">
        <w:rPr>
          <w:rFonts w:ascii="Times New Roman" w:hAnsi="Times New Roman" w:cs="Times New Roman"/>
          <w:sz w:val="24"/>
          <w:szCs w:val="24"/>
        </w:rPr>
        <w:t xml:space="preserve">, which, by design, account for differences in the </w:t>
      </w:r>
      <w:r w:rsidR="00F6771C">
        <w:rPr>
          <w:rFonts w:ascii="Times New Roman" w:hAnsi="Times New Roman" w:cs="Times New Roman"/>
          <w:sz w:val="24"/>
          <w:szCs w:val="24"/>
        </w:rPr>
        <w:t xml:space="preserve">distribution of student </w:t>
      </w:r>
      <w:r w:rsidR="000136FD" w:rsidRPr="00347697">
        <w:rPr>
          <w:rFonts w:ascii="Times New Roman" w:hAnsi="Times New Roman" w:cs="Times New Roman"/>
          <w:sz w:val="24"/>
          <w:szCs w:val="24"/>
        </w:rPr>
        <w:t xml:space="preserve">characteristics across the math </w:t>
      </w:r>
      <w:r w:rsidR="00F6771C">
        <w:rPr>
          <w:rFonts w:ascii="Times New Roman" w:hAnsi="Times New Roman" w:cs="Times New Roman"/>
          <w:sz w:val="24"/>
          <w:szCs w:val="24"/>
        </w:rPr>
        <w:t xml:space="preserve">entry points and </w:t>
      </w:r>
      <w:r w:rsidR="000136FD" w:rsidRPr="00347697">
        <w:rPr>
          <w:rFonts w:ascii="Times New Roman" w:hAnsi="Times New Roman" w:cs="Times New Roman"/>
          <w:sz w:val="24"/>
          <w:szCs w:val="24"/>
        </w:rPr>
        <w:t>pathways</w:t>
      </w:r>
      <w:r w:rsidRPr="00347697">
        <w:rPr>
          <w:rFonts w:ascii="Times New Roman" w:hAnsi="Times New Roman" w:cs="Times New Roman"/>
          <w:sz w:val="24"/>
          <w:szCs w:val="24"/>
        </w:rPr>
        <w:t xml:space="preserve">.  </w:t>
      </w:r>
      <w:r w:rsidR="00F4127D">
        <w:rPr>
          <w:rFonts w:ascii="Times New Roman" w:hAnsi="Times New Roman" w:cs="Times New Roman"/>
          <w:sz w:val="24"/>
          <w:szCs w:val="24"/>
        </w:rPr>
        <w:t xml:space="preserve">To </w:t>
      </w:r>
      <w:r w:rsidR="004F5D12">
        <w:rPr>
          <w:rFonts w:ascii="Times New Roman" w:hAnsi="Times New Roman" w:cs="Times New Roman"/>
          <w:sz w:val="24"/>
          <w:szCs w:val="24"/>
        </w:rPr>
        <w:t>derive</w:t>
      </w:r>
      <w:r w:rsidR="00F4127D">
        <w:rPr>
          <w:rFonts w:ascii="Times New Roman" w:hAnsi="Times New Roman" w:cs="Times New Roman"/>
          <w:sz w:val="24"/>
          <w:szCs w:val="24"/>
        </w:rPr>
        <w:t xml:space="preserve"> the predictions, </w:t>
      </w:r>
      <w:r w:rsidR="0034640E">
        <w:rPr>
          <w:rFonts w:ascii="Times New Roman" w:hAnsi="Times New Roman" w:cs="Times New Roman"/>
          <w:sz w:val="24"/>
          <w:szCs w:val="24"/>
        </w:rPr>
        <w:t xml:space="preserve">other </w:t>
      </w:r>
      <w:r w:rsidR="00401203">
        <w:rPr>
          <w:rFonts w:ascii="Times New Roman" w:hAnsi="Times New Roman" w:cs="Times New Roman"/>
          <w:sz w:val="24"/>
          <w:szCs w:val="24"/>
        </w:rPr>
        <w:t>variables included</w:t>
      </w:r>
      <w:r w:rsidR="007B3FEF">
        <w:rPr>
          <w:rFonts w:ascii="Times New Roman" w:hAnsi="Times New Roman" w:cs="Times New Roman"/>
          <w:sz w:val="24"/>
          <w:szCs w:val="24"/>
        </w:rPr>
        <w:t xml:space="preserve"> in the model </w:t>
      </w:r>
      <w:r w:rsidR="0034640E">
        <w:rPr>
          <w:rFonts w:ascii="Times New Roman" w:hAnsi="Times New Roman" w:cs="Times New Roman"/>
          <w:sz w:val="24"/>
          <w:szCs w:val="24"/>
        </w:rPr>
        <w:t xml:space="preserve">must be held constant at </w:t>
      </w:r>
      <w:r w:rsidR="009807EA">
        <w:rPr>
          <w:rFonts w:ascii="Times New Roman" w:hAnsi="Times New Roman" w:cs="Times New Roman"/>
          <w:sz w:val="24"/>
          <w:szCs w:val="24"/>
        </w:rPr>
        <w:t>specified</w:t>
      </w:r>
      <w:r w:rsidR="007B3FEF">
        <w:rPr>
          <w:rFonts w:ascii="Times New Roman" w:hAnsi="Times New Roman" w:cs="Times New Roman"/>
          <w:sz w:val="24"/>
          <w:szCs w:val="24"/>
        </w:rPr>
        <w:t xml:space="preserve"> </w:t>
      </w:r>
      <w:r w:rsidR="0034640E">
        <w:rPr>
          <w:rFonts w:ascii="Times New Roman" w:hAnsi="Times New Roman" w:cs="Times New Roman"/>
          <w:sz w:val="24"/>
          <w:szCs w:val="24"/>
        </w:rPr>
        <w:t xml:space="preserve">values.  Changing </w:t>
      </w:r>
      <w:r w:rsidR="007B3FEF">
        <w:rPr>
          <w:rFonts w:ascii="Times New Roman" w:hAnsi="Times New Roman" w:cs="Times New Roman"/>
          <w:sz w:val="24"/>
          <w:szCs w:val="24"/>
        </w:rPr>
        <w:t xml:space="preserve">the </w:t>
      </w:r>
      <w:r w:rsidR="0034640E">
        <w:rPr>
          <w:rFonts w:ascii="Times New Roman" w:hAnsi="Times New Roman" w:cs="Times New Roman"/>
          <w:sz w:val="24"/>
          <w:szCs w:val="24"/>
        </w:rPr>
        <w:t xml:space="preserve">values </w:t>
      </w:r>
      <w:r w:rsidR="007B3FEF">
        <w:rPr>
          <w:rFonts w:ascii="Times New Roman" w:hAnsi="Times New Roman" w:cs="Times New Roman"/>
          <w:sz w:val="24"/>
          <w:szCs w:val="24"/>
        </w:rPr>
        <w:t xml:space="preserve">at which covariates are held </w:t>
      </w:r>
      <w:r w:rsidR="009807EA">
        <w:rPr>
          <w:rFonts w:ascii="Times New Roman" w:hAnsi="Times New Roman" w:cs="Times New Roman"/>
          <w:sz w:val="24"/>
          <w:szCs w:val="24"/>
        </w:rPr>
        <w:t xml:space="preserve">constant </w:t>
      </w:r>
      <w:r w:rsidR="0034640E">
        <w:rPr>
          <w:rFonts w:ascii="Times New Roman" w:hAnsi="Times New Roman" w:cs="Times New Roman"/>
          <w:sz w:val="24"/>
          <w:szCs w:val="24"/>
        </w:rPr>
        <w:t xml:space="preserve">affects the absolute differences </w:t>
      </w:r>
      <w:r w:rsidR="009807EA">
        <w:rPr>
          <w:rFonts w:ascii="Times New Roman" w:hAnsi="Times New Roman" w:cs="Times New Roman"/>
          <w:sz w:val="24"/>
          <w:szCs w:val="24"/>
        </w:rPr>
        <w:t xml:space="preserve">between entry points </w:t>
      </w:r>
      <w:r w:rsidR="00401203">
        <w:rPr>
          <w:rFonts w:ascii="Times New Roman" w:hAnsi="Times New Roman" w:cs="Times New Roman"/>
          <w:sz w:val="24"/>
          <w:szCs w:val="24"/>
        </w:rPr>
        <w:t xml:space="preserve">in </w:t>
      </w:r>
      <w:r w:rsidR="009807EA">
        <w:rPr>
          <w:rFonts w:ascii="Times New Roman" w:hAnsi="Times New Roman" w:cs="Times New Roman"/>
          <w:sz w:val="24"/>
          <w:szCs w:val="24"/>
        </w:rPr>
        <w:t xml:space="preserve">the </w:t>
      </w:r>
      <w:r w:rsidR="00401203">
        <w:rPr>
          <w:rFonts w:ascii="Times New Roman" w:hAnsi="Times New Roman" w:cs="Times New Roman"/>
          <w:sz w:val="24"/>
          <w:szCs w:val="24"/>
        </w:rPr>
        <w:t>predicted probabilities</w:t>
      </w:r>
      <w:r w:rsidR="009807EA">
        <w:rPr>
          <w:rFonts w:ascii="Times New Roman" w:hAnsi="Times New Roman" w:cs="Times New Roman"/>
          <w:sz w:val="24"/>
          <w:szCs w:val="24"/>
        </w:rPr>
        <w:t xml:space="preserve"> of the various outcomes</w:t>
      </w:r>
      <w:r w:rsidR="007B3FEF">
        <w:rPr>
          <w:rFonts w:ascii="Times New Roman" w:hAnsi="Times New Roman" w:cs="Times New Roman"/>
          <w:sz w:val="24"/>
          <w:szCs w:val="24"/>
        </w:rPr>
        <w:t xml:space="preserve">, but it does not affect the </w:t>
      </w:r>
      <w:r w:rsidR="0034640E">
        <w:rPr>
          <w:rFonts w:ascii="Times New Roman" w:hAnsi="Times New Roman" w:cs="Times New Roman"/>
          <w:sz w:val="24"/>
          <w:szCs w:val="24"/>
        </w:rPr>
        <w:t xml:space="preserve">order </w:t>
      </w:r>
      <w:r w:rsidR="007B3FEF">
        <w:rPr>
          <w:rFonts w:ascii="Times New Roman" w:hAnsi="Times New Roman" w:cs="Times New Roman"/>
          <w:sz w:val="24"/>
          <w:szCs w:val="24"/>
        </w:rPr>
        <w:t xml:space="preserve">of entry points with respect to the probability of achieving </w:t>
      </w:r>
      <w:r w:rsidR="009807EA">
        <w:rPr>
          <w:rFonts w:ascii="Times New Roman" w:hAnsi="Times New Roman" w:cs="Times New Roman"/>
          <w:sz w:val="24"/>
          <w:szCs w:val="24"/>
        </w:rPr>
        <w:t xml:space="preserve">a given </w:t>
      </w:r>
      <w:r w:rsidR="007B3FEF">
        <w:rPr>
          <w:rFonts w:ascii="Times New Roman" w:hAnsi="Times New Roman" w:cs="Times New Roman"/>
          <w:sz w:val="24"/>
          <w:szCs w:val="24"/>
        </w:rPr>
        <w:t xml:space="preserve">outcome of interest.  Thus, the entry point associated with the highest probability of a given outcome will remain the highest regardless of the values </w:t>
      </w:r>
      <w:r w:rsidR="001709D6">
        <w:rPr>
          <w:rFonts w:ascii="Times New Roman" w:hAnsi="Times New Roman" w:cs="Times New Roman"/>
          <w:sz w:val="24"/>
          <w:szCs w:val="24"/>
        </w:rPr>
        <w:t xml:space="preserve">at which covariates are held.  In this case, predictions were calculated for </w:t>
      </w:r>
      <w:r w:rsidR="00D307D2" w:rsidRPr="00347697">
        <w:rPr>
          <w:rFonts w:ascii="Times New Roman" w:hAnsi="Times New Roman" w:cs="Times New Roman"/>
          <w:sz w:val="24"/>
          <w:szCs w:val="24"/>
        </w:rPr>
        <w:t xml:space="preserve">a male student under the age of 20 years at entry to BC who is not of a historically disadvantaged racial/ethnic group, who enrolled in BC for the first time in Fall 2016, who enrolled </w:t>
      </w:r>
      <w:r w:rsidR="00F6771C">
        <w:rPr>
          <w:rFonts w:ascii="Times New Roman" w:hAnsi="Times New Roman" w:cs="Times New Roman"/>
          <w:sz w:val="24"/>
          <w:szCs w:val="24"/>
        </w:rPr>
        <w:t xml:space="preserve">in a </w:t>
      </w:r>
      <w:r w:rsidR="00D307D2" w:rsidRPr="00347697">
        <w:rPr>
          <w:rFonts w:ascii="Times New Roman" w:hAnsi="Times New Roman" w:cs="Times New Roman"/>
          <w:sz w:val="24"/>
          <w:szCs w:val="24"/>
        </w:rPr>
        <w:t xml:space="preserve">full-time </w:t>
      </w:r>
      <w:r w:rsidR="00F6771C">
        <w:rPr>
          <w:rFonts w:ascii="Times New Roman" w:hAnsi="Times New Roman" w:cs="Times New Roman"/>
          <w:sz w:val="24"/>
          <w:szCs w:val="24"/>
        </w:rPr>
        <w:t xml:space="preserve">course load </w:t>
      </w:r>
      <w:r w:rsidR="00D307D2" w:rsidRPr="00347697">
        <w:rPr>
          <w:rFonts w:ascii="Times New Roman" w:hAnsi="Times New Roman" w:cs="Times New Roman"/>
          <w:sz w:val="24"/>
          <w:szCs w:val="24"/>
        </w:rPr>
        <w:t>in his first term</w:t>
      </w:r>
      <w:r w:rsidR="00D307D2">
        <w:rPr>
          <w:rFonts w:ascii="Times New Roman" w:hAnsi="Times New Roman" w:cs="Times New Roman"/>
          <w:sz w:val="24"/>
          <w:szCs w:val="24"/>
        </w:rPr>
        <w:t xml:space="preserve">, and who was assessed for placement into the math curriculum </w:t>
      </w:r>
      <w:r w:rsidR="00F6771C">
        <w:rPr>
          <w:rFonts w:ascii="Times New Roman" w:hAnsi="Times New Roman" w:cs="Times New Roman"/>
          <w:sz w:val="24"/>
          <w:szCs w:val="24"/>
        </w:rPr>
        <w:t>using</w:t>
      </w:r>
      <w:r w:rsidR="00D307D2">
        <w:rPr>
          <w:rFonts w:ascii="Times New Roman" w:hAnsi="Times New Roman" w:cs="Times New Roman"/>
          <w:sz w:val="24"/>
          <w:szCs w:val="24"/>
        </w:rPr>
        <w:t xml:space="preserve"> multiple measures</w:t>
      </w:r>
      <w:r w:rsidR="00D307D2" w:rsidRPr="00347697">
        <w:rPr>
          <w:rFonts w:ascii="Times New Roman" w:hAnsi="Times New Roman" w:cs="Times New Roman"/>
          <w:sz w:val="24"/>
          <w:szCs w:val="24"/>
        </w:rPr>
        <w:t>.</w:t>
      </w:r>
      <w:r w:rsidR="001709D6">
        <w:rPr>
          <w:rFonts w:ascii="Times New Roman" w:hAnsi="Times New Roman" w:cs="Times New Roman"/>
          <w:sz w:val="24"/>
          <w:szCs w:val="24"/>
        </w:rPr>
        <w:t xml:space="preserve"> </w:t>
      </w:r>
    </w:p>
    <w:p w14:paraId="4FE68EB4" w14:textId="77777777" w:rsidR="0083091E" w:rsidRPr="00347697" w:rsidRDefault="0083091E" w:rsidP="001C35B3">
      <w:pPr>
        <w:spacing w:after="0" w:line="240" w:lineRule="auto"/>
        <w:rPr>
          <w:rFonts w:ascii="Times New Roman" w:hAnsi="Times New Roman" w:cs="Times New Roman"/>
          <w:sz w:val="24"/>
          <w:szCs w:val="24"/>
        </w:rPr>
      </w:pPr>
    </w:p>
    <w:p w14:paraId="3A1E8D86" w14:textId="3B58E3C6" w:rsidR="00A700D9" w:rsidRDefault="00A700D9" w:rsidP="008967F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Transfer-seeking Students</w:t>
      </w:r>
    </w:p>
    <w:p w14:paraId="41281FCD" w14:textId="77777777" w:rsidR="00A700D9" w:rsidRPr="0072729B" w:rsidRDefault="00A700D9" w:rsidP="008967F8">
      <w:pPr>
        <w:spacing w:after="0" w:line="240" w:lineRule="auto"/>
        <w:rPr>
          <w:rFonts w:ascii="Times New Roman" w:hAnsi="Times New Roman" w:cs="Times New Roman"/>
          <w:sz w:val="24"/>
          <w:szCs w:val="24"/>
        </w:rPr>
      </w:pPr>
    </w:p>
    <w:p w14:paraId="57A5E5D9" w14:textId="2FF8CD0B" w:rsidR="007F004C" w:rsidRPr="0072729B" w:rsidRDefault="007443CD" w:rsidP="008967F8">
      <w:pPr>
        <w:spacing w:after="0" w:line="240" w:lineRule="auto"/>
        <w:rPr>
          <w:rFonts w:ascii="Times New Roman" w:hAnsi="Times New Roman" w:cs="Times New Roman"/>
          <w:sz w:val="24"/>
          <w:szCs w:val="24"/>
        </w:rPr>
      </w:pPr>
      <w:r w:rsidRPr="0072729B">
        <w:rPr>
          <w:rFonts w:ascii="Times New Roman" w:hAnsi="Times New Roman" w:cs="Times New Roman"/>
          <w:sz w:val="24"/>
          <w:szCs w:val="24"/>
        </w:rPr>
        <w:t xml:space="preserve">The predictions for subsample </w:t>
      </w:r>
      <w:r w:rsidR="00F07C66" w:rsidRPr="0072729B">
        <w:rPr>
          <w:rFonts w:ascii="Times New Roman" w:hAnsi="Times New Roman" w:cs="Times New Roman"/>
          <w:sz w:val="24"/>
          <w:szCs w:val="24"/>
        </w:rPr>
        <w:t>#</w:t>
      </w:r>
      <w:r w:rsidRPr="0072729B">
        <w:rPr>
          <w:rFonts w:ascii="Times New Roman" w:hAnsi="Times New Roman" w:cs="Times New Roman"/>
          <w:sz w:val="24"/>
          <w:szCs w:val="24"/>
        </w:rPr>
        <w:t>1 compare outcomes</w:t>
      </w:r>
      <w:r w:rsidR="00320454" w:rsidRPr="0072729B">
        <w:rPr>
          <w:rFonts w:ascii="Times New Roman" w:hAnsi="Times New Roman" w:cs="Times New Roman"/>
          <w:sz w:val="24"/>
          <w:szCs w:val="24"/>
        </w:rPr>
        <w:t xml:space="preserve"> for transfer-seeking students</w:t>
      </w:r>
      <w:r w:rsidRPr="0072729B">
        <w:rPr>
          <w:rFonts w:ascii="Times New Roman" w:hAnsi="Times New Roman" w:cs="Times New Roman"/>
          <w:sz w:val="24"/>
          <w:szCs w:val="24"/>
        </w:rPr>
        <w:t xml:space="preserve"> across entry points without accounting for differences between entry points in the likelihood of first-attempt success, the association between first-attempt success and attempting a second </w:t>
      </w:r>
      <w:r w:rsidR="003321CD" w:rsidRPr="0072729B">
        <w:rPr>
          <w:rFonts w:ascii="Times New Roman" w:hAnsi="Times New Roman" w:cs="Times New Roman"/>
          <w:sz w:val="24"/>
          <w:szCs w:val="24"/>
        </w:rPr>
        <w:t xml:space="preserve">quantitative </w:t>
      </w:r>
      <w:r w:rsidRPr="0072729B">
        <w:rPr>
          <w:rFonts w:ascii="Times New Roman" w:hAnsi="Times New Roman" w:cs="Times New Roman"/>
          <w:sz w:val="24"/>
          <w:szCs w:val="24"/>
        </w:rPr>
        <w:t xml:space="preserve">course, </w:t>
      </w:r>
      <w:r w:rsidR="00F07C66" w:rsidRPr="0072729B">
        <w:rPr>
          <w:rFonts w:ascii="Times New Roman" w:hAnsi="Times New Roman" w:cs="Times New Roman"/>
          <w:sz w:val="24"/>
          <w:szCs w:val="24"/>
        </w:rPr>
        <w:t>and choice</w:t>
      </w:r>
      <w:r w:rsidRPr="0072729B">
        <w:rPr>
          <w:rFonts w:ascii="Times New Roman" w:hAnsi="Times New Roman" w:cs="Times New Roman"/>
          <w:sz w:val="24"/>
          <w:szCs w:val="24"/>
        </w:rPr>
        <w:t xml:space="preserve"> </w:t>
      </w:r>
      <w:r w:rsidR="00F07C66" w:rsidRPr="0072729B">
        <w:rPr>
          <w:rFonts w:ascii="Times New Roman" w:hAnsi="Times New Roman" w:cs="Times New Roman"/>
          <w:sz w:val="24"/>
          <w:szCs w:val="24"/>
        </w:rPr>
        <w:t xml:space="preserve">of which second </w:t>
      </w:r>
      <w:r w:rsidR="003321CD" w:rsidRPr="0072729B">
        <w:rPr>
          <w:rFonts w:ascii="Times New Roman" w:hAnsi="Times New Roman" w:cs="Times New Roman"/>
          <w:sz w:val="24"/>
          <w:szCs w:val="24"/>
        </w:rPr>
        <w:t xml:space="preserve">quantitative </w:t>
      </w:r>
      <w:r w:rsidR="00F07C66" w:rsidRPr="0072729B">
        <w:rPr>
          <w:rFonts w:ascii="Times New Roman" w:hAnsi="Times New Roman" w:cs="Times New Roman"/>
          <w:sz w:val="24"/>
          <w:szCs w:val="24"/>
        </w:rPr>
        <w:t xml:space="preserve">course </w:t>
      </w:r>
      <w:r w:rsidR="00DC3C13">
        <w:rPr>
          <w:rFonts w:ascii="Times New Roman" w:hAnsi="Times New Roman" w:cs="Times New Roman"/>
          <w:sz w:val="24"/>
          <w:szCs w:val="24"/>
        </w:rPr>
        <w:t>among</w:t>
      </w:r>
      <w:r w:rsidR="00F07C66" w:rsidRPr="0072729B">
        <w:rPr>
          <w:rFonts w:ascii="Times New Roman" w:hAnsi="Times New Roman" w:cs="Times New Roman"/>
          <w:sz w:val="24"/>
          <w:szCs w:val="24"/>
        </w:rPr>
        <w:t xml:space="preserve"> </w:t>
      </w:r>
      <w:r w:rsidR="00320454" w:rsidRPr="0072729B">
        <w:rPr>
          <w:rFonts w:ascii="Times New Roman" w:hAnsi="Times New Roman" w:cs="Times New Roman"/>
          <w:sz w:val="24"/>
          <w:szCs w:val="24"/>
        </w:rPr>
        <w:t xml:space="preserve">those </w:t>
      </w:r>
      <w:r w:rsidR="00F07C66" w:rsidRPr="0072729B">
        <w:rPr>
          <w:rFonts w:ascii="Times New Roman" w:hAnsi="Times New Roman" w:cs="Times New Roman"/>
          <w:sz w:val="24"/>
          <w:szCs w:val="24"/>
        </w:rPr>
        <w:t>students who continue</w:t>
      </w:r>
      <w:r w:rsidR="009807EA">
        <w:rPr>
          <w:rFonts w:ascii="Times New Roman" w:hAnsi="Times New Roman" w:cs="Times New Roman"/>
          <w:sz w:val="24"/>
          <w:szCs w:val="24"/>
        </w:rPr>
        <w:t xml:space="preserve"> in math after their first course</w:t>
      </w:r>
      <w:r w:rsidR="00A74CE5" w:rsidRPr="0072729B">
        <w:rPr>
          <w:rFonts w:ascii="Times New Roman" w:hAnsi="Times New Roman" w:cs="Times New Roman"/>
          <w:sz w:val="24"/>
          <w:szCs w:val="24"/>
        </w:rPr>
        <w:t xml:space="preserve">.  </w:t>
      </w:r>
      <w:r w:rsidR="00F07C66" w:rsidRPr="0072729B">
        <w:rPr>
          <w:rFonts w:ascii="Times New Roman" w:hAnsi="Times New Roman" w:cs="Times New Roman"/>
          <w:sz w:val="24"/>
          <w:szCs w:val="24"/>
        </w:rPr>
        <w:t xml:space="preserve">Comparing the </w:t>
      </w:r>
      <w:r w:rsidR="00320454" w:rsidRPr="0072729B">
        <w:rPr>
          <w:rFonts w:ascii="Times New Roman" w:hAnsi="Times New Roman" w:cs="Times New Roman"/>
          <w:sz w:val="24"/>
          <w:szCs w:val="24"/>
        </w:rPr>
        <w:t xml:space="preserve">three </w:t>
      </w:r>
      <w:r w:rsidR="00A14190">
        <w:rPr>
          <w:rFonts w:ascii="Times New Roman" w:hAnsi="Times New Roman" w:cs="Times New Roman"/>
          <w:sz w:val="24"/>
          <w:szCs w:val="24"/>
        </w:rPr>
        <w:t xml:space="preserve">focal </w:t>
      </w:r>
      <w:r w:rsidR="00F07C66" w:rsidRPr="0072729B">
        <w:rPr>
          <w:rFonts w:ascii="Times New Roman" w:hAnsi="Times New Roman" w:cs="Times New Roman"/>
          <w:sz w:val="24"/>
          <w:szCs w:val="24"/>
        </w:rPr>
        <w:t xml:space="preserve">entry points, one observes that </w:t>
      </w:r>
      <w:r w:rsidR="00670433">
        <w:rPr>
          <w:rFonts w:ascii="Times New Roman" w:hAnsi="Times New Roman" w:cs="Times New Roman"/>
          <w:sz w:val="24"/>
          <w:szCs w:val="24"/>
        </w:rPr>
        <w:t xml:space="preserve">students </w:t>
      </w:r>
      <w:r w:rsidR="00670433">
        <w:rPr>
          <w:rFonts w:ascii="Times New Roman" w:hAnsi="Times New Roman" w:cs="Times New Roman"/>
          <w:sz w:val="24"/>
          <w:szCs w:val="24"/>
        </w:rPr>
        <w:lastRenderedPageBreak/>
        <w:t>who enter through the first half of LRNC B530 (</w:t>
      </w:r>
      <w:r w:rsidR="00F07C66" w:rsidRPr="0072729B">
        <w:rPr>
          <w:rFonts w:ascii="Times New Roman" w:hAnsi="Times New Roman" w:cs="Times New Roman"/>
          <w:sz w:val="24"/>
          <w:szCs w:val="24"/>
        </w:rPr>
        <w:t>LRNC B530</w:t>
      </w:r>
      <w:r w:rsidR="00F07C66" w:rsidRPr="0072729B">
        <w:rPr>
          <w:rFonts w:ascii="Times New Roman" w:hAnsi="Times New Roman" w:cs="Times New Roman"/>
          <w:i/>
          <w:sz w:val="24"/>
          <w:szCs w:val="24"/>
        </w:rPr>
        <w:t>f</w:t>
      </w:r>
      <w:r w:rsidR="00670433">
        <w:rPr>
          <w:rFonts w:ascii="Times New Roman" w:hAnsi="Times New Roman" w:cs="Times New Roman"/>
          <w:sz w:val="24"/>
          <w:szCs w:val="24"/>
        </w:rPr>
        <w:t xml:space="preserve">) </w:t>
      </w:r>
      <w:r w:rsidR="00F07C66" w:rsidRPr="0072729B">
        <w:rPr>
          <w:rFonts w:ascii="Times New Roman" w:hAnsi="Times New Roman" w:cs="Times New Roman"/>
          <w:sz w:val="24"/>
          <w:szCs w:val="24"/>
        </w:rPr>
        <w:t xml:space="preserve">students are more likely </w:t>
      </w:r>
      <w:r w:rsidR="007F004C" w:rsidRPr="0072729B">
        <w:rPr>
          <w:rFonts w:ascii="Times New Roman" w:hAnsi="Times New Roman" w:cs="Times New Roman"/>
          <w:sz w:val="24"/>
          <w:szCs w:val="24"/>
        </w:rPr>
        <w:t xml:space="preserve">than are </w:t>
      </w:r>
      <w:r w:rsidR="00320454" w:rsidRPr="0072729B">
        <w:rPr>
          <w:rFonts w:ascii="Times New Roman" w:hAnsi="Times New Roman" w:cs="Times New Roman"/>
          <w:sz w:val="24"/>
          <w:szCs w:val="24"/>
        </w:rPr>
        <w:t>Math B65</w:t>
      </w:r>
      <w:r w:rsidR="007F004C" w:rsidRPr="0072729B">
        <w:rPr>
          <w:rFonts w:ascii="Times New Roman" w:hAnsi="Times New Roman" w:cs="Times New Roman"/>
          <w:sz w:val="24"/>
          <w:szCs w:val="24"/>
        </w:rPr>
        <w:t xml:space="preserve"> students </w:t>
      </w:r>
      <w:r w:rsidR="00F07C66" w:rsidRPr="0072729B">
        <w:rPr>
          <w:rFonts w:ascii="Times New Roman" w:hAnsi="Times New Roman" w:cs="Times New Roman"/>
          <w:sz w:val="24"/>
          <w:szCs w:val="24"/>
        </w:rPr>
        <w:t xml:space="preserve">to achieve all three </w:t>
      </w:r>
      <w:r w:rsidR="007F004C" w:rsidRPr="0072729B">
        <w:rPr>
          <w:rFonts w:ascii="Times New Roman" w:hAnsi="Times New Roman" w:cs="Times New Roman"/>
          <w:sz w:val="24"/>
          <w:szCs w:val="24"/>
        </w:rPr>
        <w:t xml:space="preserve">quantitative competency </w:t>
      </w:r>
      <w:r w:rsidR="00F07C66" w:rsidRPr="0072729B">
        <w:rPr>
          <w:rFonts w:ascii="Times New Roman" w:hAnsi="Times New Roman" w:cs="Times New Roman"/>
          <w:sz w:val="24"/>
          <w:szCs w:val="24"/>
        </w:rPr>
        <w:t>outcomes:</w:t>
      </w:r>
      <w:r w:rsidR="007F004C" w:rsidRPr="0072729B">
        <w:rPr>
          <w:rFonts w:ascii="Times New Roman" w:hAnsi="Times New Roman" w:cs="Times New Roman"/>
          <w:sz w:val="24"/>
          <w:szCs w:val="24"/>
        </w:rPr>
        <w:t xml:space="preserve">  competency at the associate- or transfer-level</w:t>
      </w:r>
      <w:r w:rsidR="00E275A2">
        <w:rPr>
          <w:rFonts w:ascii="Times New Roman" w:hAnsi="Times New Roman" w:cs="Times New Roman"/>
          <w:sz w:val="24"/>
          <w:szCs w:val="24"/>
        </w:rPr>
        <w:t xml:space="preserve"> (combined)</w:t>
      </w:r>
      <w:r w:rsidR="007F004C" w:rsidRPr="0072729B">
        <w:rPr>
          <w:rFonts w:ascii="Times New Roman" w:hAnsi="Times New Roman" w:cs="Times New Roman"/>
          <w:sz w:val="24"/>
          <w:szCs w:val="24"/>
        </w:rPr>
        <w:t>, competency at the transfer-level</w:t>
      </w:r>
      <w:r w:rsidR="00E275A2">
        <w:rPr>
          <w:rFonts w:ascii="Times New Roman" w:hAnsi="Times New Roman" w:cs="Times New Roman"/>
          <w:sz w:val="24"/>
          <w:szCs w:val="24"/>
        </w:rPr>
        <w:t xml:space="preserve"> (</w:t>
      </w:r>
      <w:r w:rsidR="009807EA">
        <w:rPr>
          <w:rFonts w:ascii="Times New Roman" w:hAnsi="Times New Roman" w:cs="Times New Roman"/>
          <w:sz w:val="24"/>
          <w:szCs w:val="24"/>
        </w:rPr>
        <w:t>as distinct</w:t>
      </w:r>
      <w:r w:rsidR="00E275A2">
        <w:rPr>
          <w:rFonts w:ascii="Times New Roman" w:hAnsi="Times New Roman" w:cs="Times New Roman"/>
          <w:sz w:val="24"/>
          <w:szCs w:val="24"/>
        </w:rPr>
        <w:t xml:space="preserve"> from associate-level</w:t>
      </w:r>
      <w:r w:rsidR="009807EA">
        <w:rPr>
          <w:rFonts w:ascii="Times New Roman" w:hAnsi="Times New Roman" w:cs="Times New Roman"/>
          <w:sz w:val="24"/>
          <w:szCs w:val="24"/>
        </w:rPr>
        <w:t xml:space="preserve"> only</w:t>
      </w:r>
      <w:r w:rsidR="00E275A2">
        <w:rPr>
          <w:rFonts w:ascii="Times New Roman" w:hAnsi="Times New Roman" w:cs="Times New Roman"/>
          <w:sz w:val="24"/>
          <w:szCs w:val="24"/>
        </w:rPr>
        <w:t>)</w:t>
      </w:r>
      <w:r w:rsidR="007F004C" w:rsidRPr="0072729B">
        <w:rPr>
          <w:rFonts w:ascii="Times New Roman" w:hAnsi="Times New Roman" w:cs="Times New Roman"/>
          <w:sz w:val="24"/>
          <w:szCs w:val="24"/>
        </w:rPr>
        <w:t xml:space="preserve">, </w:t>
      </w:r>
      <w:r w:rsidR="00A319C0" w:rsidRPr="0072729B">
        <w:rPr>
          <w:rFonts w:ascii="Times New Roman" w:hAnsi="Times New Roman" w:cs="Times New Roman"/>
          <w:sz w:val="24"/>
          <w:szCs w:val="24"/>
        </w:rPr>
        <w:t>and</w:t>
      </w:r>
      <w:r w:rsidR="007F004C" w:rsidRPr="0072729B">
        <w:rPr>
          <w:rFonts w:ascii="Times New Roman" w:hAnsi="Times New Roman" w:cs="Times New Roman"/>
          <w:sz w:val="24"/>
          <w:szCs w:val="24"/>
        </w:rPr>
        <w:t xml:space="preserve"> STEM-track competency.  </w:t>
      </w:r>
      <w:r w:rsidR="00A319C0" w:rsidRPr="0072729B">
        <w:rPr>
          <w:rFonts w:ascii="Times New Roman" w:hAnsi="Times New Roman" w:cs="Times New Roman"/>
          <w:sz w:val="24"/>
          <w:szCs w:val="24"/>
        </w:rPr>
        <w:t>The differences in the first and third outcomes are particularly pronounced, with LRNC B530</w:t>
      </w:r>
      <w:r w:rsidR="00A319C0" w:rsidRPr="0072729B">
        <w:rPr>
          <w:rFonts w:ascii="Times New Roman" w:hAnsi="Times New Roman" w:cs="Times New Roman"/>
          <w:i/>
          <w:sz w:val="24"/>
          <w:szCs w:val="24"/>
        </w:rPr>
        <w:t>f</w:t>
      </w:r>
      <w:r w:rsidR="00A319C0" w:rsidRPr="0072729B">
        <w:rPr>
          <w:rFonts w:ascii="Times New Roman" w:hAnsi="Times New Roman" w:cs="Times New Roman"/>
          <w:sz w:val="24"/>
          <w:szCs w:val="24"/>
        </w:rPr>
        <w:t xml:space="preserve"> students experiencing a sizeable advantage</w:t>
      </w:r>
      <w:r w:rsidR="00CE10CE">
        <w:rPr>
          <w:rFonts w:ascii="Times New Roman" w:hAnsi="Times New Roman" w:cs="Times New Roman"/>
          <w:sz w:val="24"/>
          <w:szCs w:val="24"/>
        </w:rPr>
        <w:t xml:space="preserve"> over students entering the curriculum through </w:t>
      </w:r>
      <w:r w:rsidR="00CE10CE" w:rsidRPr="000F7319">
        <w:rPr>
          <w:rFonts w:ascii="Times New Roman" w:hAnsi="Times New Roman" w:cs="Times New Roman"/>
          <w:sz w:val="24"/>
          <w:szCs w:val="24"/>
        </w:rPr>
        <w:t>Math B65</w:t>
      </w:r>
      <w:r w:rsidR="00CE10CE">
        <w:rPr>
          <w:rFonts w:ascii="Times New Roman" w:hAnsi="Times New Roman" w:cs="Times New Roman"/>
          <w:sz w:val="24"/>
          <w:szCs w:val="24"/>
        </w:rPr>
        <w:t xml:space="preserve"> or</w:t>
      </w:r>
      <w:r w:rsidR="00CE10CE" w:rsidRPr="000F7319">
        <w:rPr>
          <w:rFonts w:ascii="Times New Roman" w:hAnsi="Times New Roman" w:cs="Times New Roman"/>
          <w:sz w:val="24"/>
          <w:szCs w:val="24"/>
        </w:rPr>
        <w:t xml:space="preserve"> Math B60</w:t>
      </w:r>
      <w:r w:rsidR="00A319C0" w:rsidRPr="0072729B">
        <w:rPr>
          <w:rFonts w:ascii="Times New Roman" w:hAnsi="Times New Roman" w:cs="Times New Roman"/>
          <w:sz w:val="24"/>
          <w:szCs w:val="24"/>
        </w:rPr>
        <w:t xml:space="preserve">.  </w:t>
      </w:r>
      <w:r w:rsidR="00320454" w:rsidRPr="0072729B">
        <w:rPr>
          <w:rFonts w:ascii="Times New Roman" w:hAnsi="Times New Roman" w:cs="Times New Roman"/>
          <w:sz w:val="24"/>
          <w:szCs w:val="24"/>
        </w:rPr>
        <w:t>In turn</w:t>
      </w:r>
      <w:r w:rsidR="007F004C" w:rsidRPr="0072729B">
        <w:rPr>
          <w:rFonts w:ascii="Times New Roman" w:hAnsi="Times New Roman" w:cs="Times New Roman"/>
          <w:sz w:val="24"/>
          <w:szCs w:val="24"/>
        </w:rPr>
        <w:t xml:space="preserve">, </w:t>
      </w:r>
      <w:r w:rsidR="00320454" w:rsidRPr="0072729B">
        <w:rPr>
          <w:rFonts w:ascii="Times New Roman" w:hAnsi="Times New Roman" w:cs="Times New Roman"/>
          <w:sz w:val="24"/>
          <w:szCs w:val="24"/>
        </w:rPr>
        <w:t xml:space="preserve">Math B65 </w:t>
      </w:r>
      <w:r w:rsidR="007F004C" w:rsidRPr="0072729B">
        <w:rPr>
          <w:rFonts w:ascii="Times New Roman" w:hAnsi="Times New Roman" w:cs="Times New Roman"/>
          <w:sz w:val="24"/>
          <w:szCs w:val="24"/>
        </w:rPr>
        <w:t xml:space="preserve">students are more likely to achieve </w:t>
      </w:r>
      <w:r w:rsidR="00320454" w:rsidRPr="0072729B">
        <w:rPr>
          <w:rFonts w:ascii="Times New Roman" w:hAnsi="Times New Roman" w:cs="Times New Roman"/>
          <w:sz w:val="24"/>
          <w:szCs w:val="24"/>
        </w:rPr>
        <w:t xml:space="preserve">all </w:t>
      </w:r>
      <w:r w:rsidR="007F004C" w:rsidRPr="0072729B">
        <w:rPr>
          <w:rFonts w:ascii="Times New Roman" w:hAnsi="Times New Roman" w:cs="Times New Roman"/>
          <w:sz w:val="24"/>
          <w:szCs w:val="24"/>
        </w:rPr>
        <w:t xml:space="preserve">three outcomes than are </w:t>
      </w:r>
      <w:r w:rsidR="00320454" w:rsidRPr="0072729B">
        <w:rPr>
          <w:rFonts w:ascii="Times New Roman" w:hAnsi="Times New Roman" w:cs="Times New Roman"/>
          <w:sz w:val="24"/>
          <w:szCs w:val="24"/>
        </w:rPr>
        <w:t xml:space="preserve">Math B60 </w:t>
      </w:r>
      <w:r w:rsidR="007F004C" w:rsidRPr="0072729B">
        <w:rPr>
          <w:rFonts w:ascii="Times New Roman" w:hAnsi="Times New Roman" w:cs="Times New Roman"/>
          <w:sz w:val="24"/>
          <w:szCs w:val="24"/>
        </w:rPr>
        <w:t>students.</w:t>
      </w:r>
    </w:p>
    <w:p w14:paraId="5D4F0680" w14:textId="77777777" w:rsidR="007F004C" w:rsidRPr="0072729B" w:rsidRDefault="007F004C" w:rsidP="008967F8">
      <w:pPr>
        <w:spacing w:after="0" w:line="240" w:lineRule="auto"/>
        <w:rPr>
          <w:rFonts w:ascii="Times New Roman" w:hAnsi="Times New Roman" w:cs="Times New Roman"/>
          <w:sz w:val="24"/>
          <w:szCs w:val="24"/>
        </w:rPr>
      </w:pPr>
    </w:p>
    <w:p w14:paraId="1A7B7123" w14:textId="502EACA3" w:rsidR="00320454" w:rsidRPr="0072729B" w:rsidRDefault="007F004C" w:rsidP="008967F8">
      <w:pPr>
        <w:spacing w:after="0" w:line="240" w:lineRule="auto"/>
        <w:rPr>
          <w:rFonts w:ascii="Times New Roman" w:hAnsi="Times New Roman" w:cs="Times New Roman"/>
          <w:sz w:val="24"/>
          <w:szCs w:val="24"/>
        </w:rPr>
      </w:pPr>
      <w:r w:rsidRPr="0072729B">
        <w:rPr>
          <w:rFonts w:ascii="Times New Roman" w:hAnsi="Times New Roman" w:cs="Times New Roman"/>
          <w:sz w:val="24"/>
          <w:szCs w:val="24"/>
        </w:rPr>
        <w:t>When the sample is limited to</w:t>
      </w:r>
      <w:r w:rsidR="00320454" w:rsidRPr="0072729B">
        <w:rPr>
          <w:rFonts w:ascii="Times New Roman" w:hAnsi="Times New Roman" w:cs="Times New Roman"/>
          <w:sz w:val="24"/>
          <w:szCs w:val="24"/>
        </w:rPr>
        <w:t xml:space="preserve"> transfer-seeking students</w:t>
      </w:r>
      <w:r w:rsidRPr="0072729B">
        <w:rPr>
          <w:rFonts w:ascii="Times New Roman" w:hAnsi="Times New Roman" w:cs="Times New Roman"/>
          <w:sz w:val="24"/>
          <w:szCs w:val="24"/>
        </w:rPr>
        <w:t xml:space="preserve"> who </w:t>
      </w:r>
      <w:r w:rsidRPr="0072729B">
        <w:rPr>
          <w:rFonts w:ascii="Times New Roman" w:hAnsi="Times New Roman" w:cs="Times New Roman"/>
          <w:i/>
          <w:sz w:val="24"/>
          <w:szCs w:val="24"/>
        </w:rPr>
        <w:t>completed their first developmental math course successfully on the first attempt</w:t>
      </w:r>
      <w:r w:rsidR="00320454" w:rsidRPr="0072729B">
        <w:rPr>
          <w:rFonts w:ascii="Times New Roman" w:hAnsi="Times New Roman" w:cs="Times New Roman"/>
          <w:sz w:val="24"/>
          <w:szCs w:val="24"/>
        </w:rPr>
        <w:t xml:space="preserve"> (subsample #2), the picture remains much the same with </w:t>
      </w:r>
      <w:r w:rsidR="00752636" w:rsidRPr="0072729B">
        <w:rPr>
          <w:rFonts w:ascii="Times New Roman" w:hAnsi="Times New Roman" w:cs="Times New Roman"/>
          <w:sz w:val="24"/>
          <w:szCs w:val="24"/>
        </w:rPr>
        <w:t>two</w:t>
      </w:r>
      <w:r w:rsidR="00320454" w:rsidRPr="0072729B">
        <w:rPr>
          <w:rFonts w:ascii="Times New Roman" w:hAnsi="Times New Roman" w:cs="Times New Roman"/>
          <w:sz w:val="24"/>
          <w:szCs w:val="24"/>
        </w:rPr>
        <w:t xml:space="preserve"> exception</w:t>
      </w:r>
      <w:r w:rsidR="00E275A2">
        <w:rPr>
          <w:rFonts w:ascii="Times New Roman" w:hAnsi="Times New Roman" w:cs="Times New Roman"/>
          <w:sz w:val="24"/>
          <w:szCs w:val="24"/>
        </w:rPr>
        <w:t>s</w:t>
      </w:r>
      <w:r w:rsidR="00320454" w:rsidRPr="0072729B">
        <w:rPr>
          <w:rFonts w:ascii="Times New Roman" w:hAnsi="Times New Roman" w:cs="Times New Roman"/>
          <w:sz w:val="24"/>
          <w:szCs w:val="24"/>
        </w:rPr>
        <w:t xml:space="preserve">.  </w:t>
      </w:r>
      <w:r w:rsidR="00336FFB" w:rsidRPr="0072729B">
        <w:rPr>
          <w:rFonts w:ascii="Times New Roman" w:hAnsi="Times New Roman" w:cs="Times New Roman"/>
          <w:sz w:val="24"/>
          <w:szCs w:val="24"/>
        </w:rPr>
        <w:t>First</w:t>
      </w:r>
      <w:r w:rsidR="00320454" w:rsidRPr="0072729B">
        <w:rPr>
          <w:rFonts w:ascii="Times New Roman" w:hAnsi="Times New Roman" w:cs="Times New Roman"/>
          <w:sz w:val="24"/>
          <w:szCs w:val="24"/>
        </w:rPr>
        <w:t>,</w:t>
      </w:r>
      <w:r w:rsidR="000676D9" w:rsidRPr="0072729B">
        <w:rPr>
          <w:rFonts w:ascii="Times New Roman" w:hAnsi="Times New Roman" w:cs="Times New Roman"/>
          <w:sz w:val="24"/>
          <w:szCs w:val="24"/>
        </w:rPr>
        <w:t xml:space="preserve"> LRNC B530</w:t>
      </w:r>
      <w:r w:rsidR="000676D9" w:rsidRPr="0072729B">
        <w:rPr>
          <w:rFonts w:ascii="Times New Roman" w:hAnsi="Times New Roman" w:cs="Times New Roman"/>
          <w:i/>
          <w:sz w:val="24"/>
          <w:szCs w:val="24"/>
        </w:rPr>
        <w:t>f</w:t>
      </w:r>
      <w:r w:rsidR="000676D9" w:rsidRPr="0072729B">
        <w:rPr>
          <w:rFonts w:ascii="Times New Roman" w:hAnsi="Times New Roman" w:cs="Times New Roman"/>
          <w:sz w:val="24"/>
          <w:szCs w:val="24"/>
        </w:rPr>
        <w:t xml:space="preserve"> and Math B65 students are about equally likely to achieve transfer-level quantitative competency.  </w:t>
      </w:r>
      <w:r w:rsidR="00336FFB" w:rsidRPr="0072729B">
        <w:rPr>
          <w:rFonts w:ascii="Times New Roman" w:hAnsi="Times New Roman" w:cs="Times New Roman"/>
          <w:sz w:val="24"/>
          <w:szCs w:val="24"/>
        </w:rPr>
        <w:t xml:space="preserve">Second, Math B60 students have </w:t>
      </w:r>
      <w:r w:rsidR="00CE10CE">
        <w:rPr>
          <w:rFonts w:ascii="Times New Roman" w:hAnsi="Times New Roman" w:cs="Times New Roman"/>
          <w:sz w:val="24"/>
          <w:szCs w:val="24"/>
        </w:rPr>
        <w:t>a moderate</w:t>
      </w:r>
      <w:r w:rsidR="00336FFB" w:rsidRPr="0072729B">
        <w:rPr>
          <w:rFonts w:ascii="Times New Roman" w:hAnsi="Times New Roman" w:cs="Times New Roman"/>
          <w:sz w:val="24"/>
          <w:szCs w:val="24"/>
        </w:rPr>
        <w:t xml:space="preserve"> advantage over Math B65 students in the likelihood of achieving associate- or transfer-level </w:t>
      </w:r>
      <w:r w:rsidR="00393E58" w:rsidRPr="0072729B">
        <w:rPr>
          <w:rFonts w:ascii="Times New Roman" w:hAnsi="Times New Roman" w:cs="Times New Roman"/>
          <w:sz w:val="24"/>
          <w:szCs w:val="24"/>
        </w:rPr>
        <w:t xml:space="preserve">quantitative </w:t>
      </w:r>
      <w:r w:rsidR="00336FFB" w:rsidRPr="0072729B">
        <w:rPr>
          <w:rFonts w:ascii="Times New Roman" w:hAnsi="Times New Roman" w:cs="Times New Roman"/>
          <w:sz w:val="24"/>
          <w:szCs w:val="24"/>
        </w:rPr>
        <w:t>competency (combined)</w:t>
      </w:r>
      <w:r w:rsidR="00393E58" w:rsidRPr="0072729B">
        <w:rPr>
          <w:rFonts w:ascii="Times New Roman" w:hAnsi="Times New Roman" w:cs="Times New Roman"/>
          <w:sz w:val="24"/>
          <w:szCs w:val="24"/>
        </w:rPr>
        <w:t xml:space="preserve"> and the achievement of STEM-track quantitative competency</w:t>
      </w:r>
      <w:r w:rsidR="00CE10CE">
        <w:rPr>
          <w:rFonts w:ascii="Times New Roman" w:hAnsi="Times New Roman" w:cs="Times New Roman"/>
          <w:sz w:val="24"/>
          <w:szCs w:val="24"/>
        </w:rPr>
        <w:t xml:space="preserve">. </w:t>
      </w:r>
      <w:r w:rsidR="004E7E43">
        <w:rPr>
          <w:rFonts w:ascii="Times New Roman" w:hAnsi="Times New Roman" w:cs="Times New Roman"/>
          <w:sz w:val="24"/>
          <w:szCs w:val="24"/>
        </w:rPr>
        <w:t xml:space="preserve"> This likely is a result of the fact that, though Math B60 students are somewhat less likely to pass their first math course than are Math B65 students (Table 1), </w:t>
      </w:r>
      <w:r w:rsidR="0007703B">
        <w:rPr>
          <w:rFonts w:ascii="Times New Roman" w:hAnsi="Times New Roman" w:cs="Times New Roman"/>
          <w:sz w:val="24"/>
          <w:szCs w:val="24"/>
        </w:rPr>
        <w:t>Math B60 students</w:t>
      </w:r>
      <w:r w:rsidR="004E7E43">
        <w:rPr>
          <w:rFonts w:ascii="Times New Roman" w:hAnsi="Times New Roman" w:cs="Times New Roman"/>
          <w:sz w:val="24"/>
          <w:szCs w:val="24"/>
        </w:rPr>
        <w:t xml:space="preserve"> who do </w:t>
      </w:r>
      <w:r w:rsidR="0007703B">
        <w:rPr>
          <w:rFonts w:ascii="Times New Roman" w:hAnsi="Times New Roman" w:cs="Times New Roman"/>
          <w:sz w:val="24"/>
          <w:szCs w:val="24"/>
        </w:rPr>
        <w:t xml:space="preserve">pass their first math course </w:t>
      </w:r>
      <w:r w:rsidR="004E7E43">
        <w:rPr>
          <w:rFonts w:ascii="Times New Roman" w:hAnsi="Times New Roman" w:cs="Times New Roman"/>
          <w:sz w:val="24"/>
          <w:szCs w:val="24"/>
        </w:rPr>
        <w:t>are more likely to attempt a second quantitative course (Table 4)</w:t>
      </w:r>
      <w:r w:rsidR="0007703B">
        <w:rPr>
          <w:rFonts w:ascii="Times New Roman" w:hAnsi="Times New Roman" w:cs="Times New Roman"/>
          <w:sz w:val="24"/>
          <w:szCs w:val="24"/>
        </w:rPr>
        <w:t xml:space="preserve">.  Still, </w:t>
      </w:r>
      <w:r w:rsidR="00E275A2" w:rsidRPr="007569C9">
        <w:rPr>
          <w:rFonts w:ascii="Times New Roman" w:hAnsi="Times New Roman" w:cs="Times New Roman"/>
          <w:sz w:val="24"/>
          <w:szCs w:val="24"/>
        </w:rPr>
        <w:t>LRNC B530</w:t>
      </w:r>
      <w:r w:rsidR="00E275A2" w:rsidRPr="007569C9">
        <w:rPr>
          <w:rFonts w:ascii="Times New Roman" w:hAnsi="Times New Roman" w:cs="Times New Roman"/>
          <w:i/>
          <w:sz w:val="24"/>
          <w:szCs w:val="24"/>
        </w:rPr>
        <w:t>f</w:t>
      </w:r>
      <w:r w:rsidR="00E275A2" w:rsidRPr="007569C9">
        <w:rPr>
          <w:rFonts w:ascii="Times New Roman" w:hAnsi="Times New Roman" w:cs="Times New Roman"/>
          <w:sz w:val="24"/>
          <w:szCs w:val="24"/>
        </w:rPr>
        <w:t xml:space="preserve"> students</w:t>
      </w:r>
      <w:r w:rsidR="00E275A2" w:rsidRPr="00E275A2">
        <w:rPr>
          <w:rFonts w:ascii="Times New Roman" w:hAnsi="Times New Roman" w:cs="Times New Roman"/>
          <w:sz w:val="24"/>
          <w:szCs w:val="24"/>
        </w:rPr>
        <w:t xml:space="preserve"> </w:t>
      </w:r>
      <w:r w:rsidR="0007703B">
        <w:rPr>
          <w:rFonts w:ascii="Times New Roman" w:hAnsi="Times New Roman" w:cs="Times New Roman"/>
          <w:sz w:val="24"/>
          <w:szCs w:val="24"/>
        </w:rPr>
        <w:t xml:space="preserve">retain </w:t>
      </w:r>
      <w:r w:rsidR="00CE10CE">
        <w:rPr>
          <w:rFonts w:ascii="Times New Roman" w:hAnsi="Times New Roman" w:cs="Times New Roman"/>
          <w:sz w:val="24"/>
          <w:szCs w:val="24"/>
        </w:rPr>
        <w:t>an edge over Math B60 students</w:t>
      </w:r>
      <w:r w:rsidR="008629AC">
        <w:rPr>
          <w:rFonts w:ascii="Times New Roman" w:hAnsi="Times New Roman" w:cs="Times New Roman"/>
          <w:sz w:val="24"/>
          <w:szCs w:val="24"/>
        </w:rPr>
        <w:t xml:space="preserve"> on all three outcomes</w:t>
      </w:r>
      <w:r w:rsidR="00393E58" w:rsidRPr="0072729B">
        <w:rPr>
          <w:rFonts w:ascii="Times New Roman" w:hAnsi="Times New Roman" w:cs="Times New Roman"/>
          <w:sz w:val="24"/>
          <w:szCs w:val="24"/>
        </w:rPr>
        <w:t xml:space="preserve">. </w:t>
      </w:r>
    </w:p>
    <w:p w14:paraId="59A3CC87" w14:textId="77777777" w:rsidR="00320454" w:rsidRPr="0072729B" w:rsidRDefault="00320454" w:rsidP="008967F8">
      <w:pPr>
        <w:spacing w:after="0" w:line="240" w:lineRule="auto"/>
        <w:rPr>
          <w:rFonts w:ascii="Times New Roman" w:hAnsi="Times New Roman" w:cs="Times New Roman"/>
          <w:sz w:val="24"/>
          <w:szCs w:val="24"/>
        </w:rPr>
      </w:pPr>
    </w:p>
    <w:p w14:paraId="05683F61" w14:textId="76DEE7D3" w:rsidR="00A32E22" w:rsidRDefault="00320454" w:rsidP="008967F8">
      <w:pPr>
        <w:spacing w:after="0" w:line="240" w:lineRule="auto"/>
        <w:rPr>
          <w:rFonts w:ascii="Times New Roman" w:hAnsi="Times New Roman" w:cs="Times New Roman"/>
          <w:sz w:val="24"/>
          <w:szCs w:val="24"/>
        </w:rPr>
      </w:pPr>
      <w:r w:rsidRPr="0072729B">
        <w:rPr>
          <w:rFonts w:ascii="Times New Roman" w:hAnsi="Times New Roman" w:cs="Times New Roman"/>
          <w:sz w:val="24"/>
          <w:szCs w:val="24"/>
        </w:rPr>
        <w:t>The</w:t>
      </w:r>
      <w:r w:rsidR="000676D9" w:rsidRPr="0072729B">
        <w:rPr>
          <w:rFonts w:ascii="Times New Roman" w:hAnsi="Times New Roman" w:cs="Times New Roman"/>
          <w:sz w:val="24"/>
          <w:szCs w:val="24"/>
        </w:rPr>
        <w:t xml:space="preserve"> picture </w:t>
      </w:r>
      <w:r w:rsidR="006656F5" w:rsidRPr="0072729B">
        <w:rPr>
          <w:rFonts w:ascii="Times New Roman" w:hAnsi="Times New Roman" w:cs="Times New Roman"/>
          <w:sz w:val="24"/>
          <w:szCs w:val="24"/>
        </w:rPr>
        <w:t>with respect LRNC B530</w:t>
      </w:r>
      <w:r w:rsidR="006656F5" w:rsidRPr="0072729B">
        <w:rPr>
          <w:rFonts w:ascii="Times New Roman" w:hAnsi="Times New Roman" w:cs="Times New Roman"/>
          <w:i/>
          <w:sz w:val="24"/>
          <w:szCs w:val="24"/>
        </w:rPr>
        <w:t>f</w:t>
      </w:r>
      <w:r w:rsidR="006656F5" w:rsidRPr="0072729B">
        <w:rPr>
          <w:rFonts w:ascii="Times New Roman" w:hAnsi="Times New Roman" w:cs="Times New Roman"/>
          <w:sz w:val="24"/>
          <w:szCs w:val="24"/>
        </w:rPr>
        <w:t xml:space="preserve"> and Math B65 </w:t>
      </w:r>
      <w:r w:rsidR="00CE0DBF">
        <w:rPr>
          <w:rFonts w:ascii="Times New Roman" w:hAnsi="Times New Roman" w:cs="Times New Roman"/>
          <w:sz w:val="24"/>
          <w:szCs w:val="24"/>
        </w:rPr>
        <w:t xml:space="preserve">changes </w:t>
      </w:r>
      <w:r w:rsidRPr="0072729B">
        <w:rPr>
          <w:rFonts w:ascii="Times New Roman" w:hAnsi="Times New Roman" w:cs="Times New Roman"/>
          <w:sz w:val="24"/>
          <w:szCs w:val="24"/>
        </w:rPr>
        <w:t xml:space="preserve">when the </w:t>
      </w:r>
      <w:r w:rsidR="00BE597D">
        <w:rPr>
          <w:rFonts w:ascii="Times New Roman" w:hAnsi="Times New Roman" w:cs="Times New Roman"/>
          <w:sz w:val="24"/>
          <w:szCs w:val="24"/>
        </w:rPr>
        <w:t xml:space="preserve">analytical </w:t>
      </w:r>
      <w:r w:rsidRPr="0072729B">
        <w:rPr>
          <w:rFonts w:ascii="Times New Roman" w:hAnsi="Times New Roman" w:cs="Times New Roman"/>
          <w:sz w:val="24"/>
          <w:szCs w:val="24"/>
        </w:rPr>
        <w:t>sample is further</w:t>
      </w:r>
      <w:r w:rsidR="00CB797B" w:rsidRPr="0072729B">
        <w:rPr>
          <w:rFonts w:ascii="Times New Roman" w:hAnsi="Times New Roman" w:cs="Times New Roman"/>
          <w:sz w:val="24"/>
          <w:szCs w:val="24"/>
        </w:rPr>
        <w:t xml:space="preserve"> limited to </w:t>
      </w:r>
      <w:r w:rsidR="00BE597D" w:rsidRPr="007569C9">
        <w:rPr>
          <w:rFonts w:ascii="Times New Roman" w:hAnsi="Times New Roman" w:cs="Times New Roman"/>
          <w:sz w:val="24"/>
          <w:szCs w:val="24"/>
        </w:rPr>
        <w:t>subsample #3</w:t>
      </w:r>
      <w:r w:rsidR="00BE597D">
        <w:rPr>
          <w:rFonts w:ascii="Times New Roman" w:hAnsi="Times New Roman" w:cs="Times New Roman"/>
          <w:sz w:val="24"/>
          <w:szCs w:val="24"/>
        </w:rPr>
        <w:t xml:space="preserve">:  </w:t>
      </w:r>
      <w:r w:rsidR="00CB797B" w:rsidRPr="0072729B">
        <w:rPr>
          <w:rFonts w:ascii="Times New Roman" w:hAnsi="Times New Roman" w:cs="Times New Roman"/>
          <w:sz w:val="24"/>
          <w:szCs w:val="24"/>
        </w:rPr>
        <w:t xml:space="preserve">transfer-seeking students who succeeded in their first attempt of their first math developmental course </w:t>
      </w:r>
      <w:r w:rsidR="00CB797B" w:rsidRPr="0072729B">
        <w:rPr>
          <w:rFonts w:ascii="Times New Roman" w:hAnsi="Times New Roman" w:cs="Times New Roman"/>
          <w:i/>
          <w:sz w:val="24"/>
          <w:szCs w:val="24"/>
        </w:rPr>
        <w:t>and then attempted a second quantitative cours</w:t>
      </w:r>
      <w:r w:rsidR="00E275A2">
        <w:rPr>
          <w:rFonts w:ascii="Times New Roman" w:hAnsi="Times New Roman" w:cs="Times New Roman"/>
          <w:i/>
          <w:sz w:val="24"/>
          <w:szCs w:val="24"/>
        </w:rPr>
        <w:t xml:space="preserve">e that, in combination with the first course, </w:t>
      </w:r>
      <w:r w:rsidR="00BE597D">
        <w:rPr>
          <w:rFonts w:ascii="Times New Roman" w:hAnsi="Times New Roman" w:cs="Times New Roman"/>
          <w:i/>
          <w:sz w:val="24"/>
          <w:szCs w:val="24"/>
        </w:rPr>
        <w:t>placed them on a common math pathway</w:t>
      </w:r>
      <w:r w:rsidR="00BE597D" w:rsidRPr="0072729B">
        <w:rPr>
          <w:rFonts w:ascii="Times New Roman" w:hAnsi="Times New Roman" w:cs="Times New Roman"/>
          <w:sz w:val="24"/>
          <w:szCs w:val="24"/>
        </w:rPr>
        <w:t>, as defined in this study</w:t>
      </w:r>
      <w:r w:rsidR="006656F5" w:rsidRPr="0072729B">
        <w:rPr>
          <w:rFonts w:ascii="Times New Roman" w:hAnsi="Times New Roman" w:cs="Times New Roman"/>
          <w:sz w:val="24"/>
          <w:szCs w:val="24"/>
        </w:rPr>
        <w:t xml:space="preserve">.  </w:t>
      </w:r>
      <w:r w:rsidR="00A32E22">
        <w:rPr>
          <w:rFonts w:ascii="Times New Roman" w:hAnsi="Times New Roman" w:cs="Times New Roman"/>
          <w:sz w:val="24"/>
          <w:szCs w:val="24"/>
        </w:rPr>
        <w:t>Specifically,</w:t>
      </w:r>
      <w:r w:rsidR="0007703B">
        <w:rPr>
          <w:rFonts w:ascii="Times New Roman" w:hAnsi="Times New Roman" w:cs="Times New Roman"/>
          <w:sz w:val="24"/>
          <w:szCs w:val="24"/>
        </w:rPr>
        <w:t xml:space="preserve"> the results indicate that</w:t>
      </w:r>
      <w:r w:rsidR="00A32E22">
        <w:rPr>
          <w:rFonts w:ascii="Times New Roman" w:hAnsi="Times New Roman" w:cs="Times New Roman"/>
          <w:sz w:val="24"/>
          <w:szCs w:val="24"/>
        </w:rPr>
        <w:t xml:space="preserve"> Math B65 students are more likely to achieve associate- or transfer-level quantitative competency (combined) and transfer-level competency (separate from associate-level) than are </w:t>
      </w:r>
      <w:r w:rsidR="00A74CE5">
        <w:rPr>
          <w:rFonts w:ascii="Times New Roman" w:hAnsi="Times New Roman" w:cs="Times New Roman"/>
          <w:sz w:val="24"/>
          <w:szCs w:val="24"/>
        </w:rPr>
        <w:t xml:space="preserve">LRNC </w:t>
      </w:r>
      <w:r w:rsidR="00A32E22">
        <w:rPr>
          <w:rFonts w:ascii="Times New Roman" w:hAnsi="Times New Roman" w:cs="Times New Roman"/>
          <w:sz w:val="24"/>
          <w:szCs w:val="24"/>
        </w:rPr>
        <w:t>B530</w:t>
      </w:r>
      <w:r w:rsidR="00A32E22" w:rsidRPr="0072729B">
        <w:rPr>
          <w:rFonts w:ascii="Times New Roman" w:hAnsi="Times New Roman" w:cs="Times New Roman"/>
          <w:i/>
          <w:sz w:val="24"/>
          <w:szCs w:val="24"/>
        </w:rPr>
        <w:t>f</w:t>
      </w:r>
      <w:r w:rsidR="00A32E22">
        <w:rPr>
          <w:rFonts w:ascii="Times New Roman" w:hAnsi="Times New Roman" w:cs="Times New Roman"/>
          <w:sz w:val="24"/>
          <w:szCs w:val="24"/>
        </w:rPr>
        <w:t xml:space="preserve"> students.</w:t>
      </w:r>
    </w:p>
    <w:p w14:paraId="36543584" w14:textId="77777777" w:rsidR="00A32E22" w:rsidRDefault="00A32E22" w:rsidP="008967F8">
      <w:pPr>
        <w:spacing w:after="0" w:line="240" w:lineRule="auto"/>
        <w:rPr>
          <w:rFonts w:ascii="Times New Roman" w:hAnsi="Times New Roman" w:cs="Times New Roman"/>
          <w:sz w:val="24"/>
          <w:szCs w:val="24"/>
        </w:rPr>
      </w:pPr>
    </w:p>
    <w:p w14:paraId="6407405D" w14:textId="179BDAD2" w:rsidR="007443CD" w:rsidRPr="0072729B" w:rsidRDefault="00A32E22" w:rsidP="008967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00F72F50" w:rsidRPr="0072729B">
        <w:rPr>
          <w:rFonts w:ascii="Times New Roman" w:hAnsi="Times New Roman" w:cs="Times New Roman"/>
          <w:sz w:val="24"/>
          <w:szCs w:val="24"/>
        </w:rPr>
        <w:t>change</w:t>
      </w:r>
      <w:r w:rsidR="00BE597D">
        <w:rPr>
          <w:rFonts w:ascii="Times New Roman" w:hAnsi="Times New Roman" w:cs="Times New Roman"/>
          <w:sz w:val="24"/>
          <w:szCs w:val="24"/>
        </w:rPr>
        <w:t>s</w:t>
      </w:r>
      <w:r w:rsidR="00F72F50" w:rsidRPr="0072729B">
        <w:rPr>
          <w:rFonts w:ascii="Times New Roman" w:hAnsi="Times New Roman" w:cs="Times New Roman"/>
          <w:sz w:val="24"/>
          <w:szCs w:val="24"/>
        </w:rPr>
        <w:t xml:space="preserve"> in the results from subsample #2 to subsample #3 </w:t>
      </w:r>
      <w:r w:rsidR="00BE597D">
        <w:rPr>
          <w:rFonts w:ascii="Times New Roman" w:hAnsi="Times New Roman" w:cs="Times New Roman"/>
          <w:sz w:val="24"/>
          <w:szCs w:val="24"/>
        </w:rPr>
        <w:t>are</w:t>
      </w:r>
      <w:r w:rsidR="006656F5" w:rsidRPr="0072729B">
        <w:rPr>
          <w:rFonts w:ascii="Times New Roman" w:hAnsi="Times New Roman" w:cs="Times New Roman"/>
          <w:sz w:val="24"/>
          <w:szCs w:val="24"/>
        </w:rPr>
        <w:t xml:space="preserve"> a </w:t>
      </w:r>
      <w:r w:rsidR="00370702" w:rsidRPr="0072729B">
        <w:rPr>
          <w:rFonts w:ascii="Times New Roman" w:hAnsi="Times New Roman" w:cs="Times New Roman"/>
          <w:sz w:val="24"/>
          <w:szCs w:val="24"/>
        </w:rPr>
        <w:t>consequence</w:t>
      </w:r>
      <w:r w:rsidR="006656F5" w:rsidRPr="0072729B">
        <w:rPr>
          <w:rFonts w:ascii="Times New Roman" w:hAnsi="Times New Roman" w:cs="Times New Roman"/>
          <w:sz w:val="24"/>
          <w:szCs w:val="24"/>
        </w:rPr>
        <w:t xml:space="preserve"> of the fact that</w:t>
      </w:r>
      <w:r w:rsidR="00635827" w:rsidRPr="0072729B">
        <w:rPr>
          <w:rFonts w:ascii="Times New Roman" w:hAnsi="Times New Roman" w:cs="Times New Roman"/>
          <w:sz w:val="24"/>
          <w:szCs w:val="24"/>
        </w:rPr>
        <w:t>, on one hand,</w:t>
      </w:r>
      <w:r w:rsidR="006656F5" w:rsidRPr="0072729B">
        <w:rPr>
          <w:rFonts w:ascii="Times New Roman" w:hAnsi="Times New Roman" w:cs="Times New Roman"/>
          <w:sz w:val="24"/>
          <w:szCs w:val="24"/>
        </w:rPr>
        <w:t xml:space="preserve"> students who enter the developmental math curriculum through Math B65 are among the </w:t>
      </w:r>
      <w:r w:rsidR="006656F5" w:rsidRPr="0072729B">
        <w:rPr>
          <w:rFonts w:ascii="Times New Roman" w:hAnsi="Times New Roman" w:cs="Times New Roman"/>
          <w:i/>
          <w:sz w:val="24"/>
          <w:szCs w:val="24"/>
        </w:rPr>
        <w:t>least</w:t>
      </w:r>
      <w:r w:rsidR="006656F5" w:rsidRPr="0072729B">
        <w:rPr>
          <w:rFonts w:ascii="Times New Roman" w:hAnsi="Times New Roman" w:cs="Times New Roman"/>
          <w:sz w:val="24"/>
          <w:szCs w:val="24"/>
        </w:rPr>
        <w:t xml:space="preserve"> likely to attempt a second quantitative course, regardless of whether they pass Math B65 on the first attempt or not</w:t>
      </w:r>
      <w:r w:rsidR="00F72F50" w:rsidRPr="0072729B">
        <w:rPr>
          <w:rFonts w:ascii="Times New Roman" w:hAnsi="Times New Roman" w:cs="Times New Roman"/>
          <w:sz w:val="24"/>
          <w:szCs w:val="24"/>
        </w:rPr>
        <w:t>.  This is part of the reason that, in subsample #1 and subsample #2, students in LRNC B530</w:t>
      </w:r>
      <w:r w:rsidR="00F72F50" w:rsidRPr="0072729B">
        <w:rPr>
          <w:rFonts w:ascii="Times New Roman" w:hAnsi="Times New Roman" w:cs="Times New Roman"/>
          <w:i/>
          <w:sz w:val="24"/>
          <w:szCs w:val="24"/>
        </w:rPr>
        <w:t>f</w:t>
      </w:r>
      <w:r w:rsidR="00F72F50" w:rsidRPr="0072729B">
        <w:rPr>
          <w:rFonts w:ascii="Times New Roman" w:hAnsi="Times New Roman" w:cs="Times New Roman"/>
          <w:sz w:val="24"/>
          <w:szCs w:val="24"/>
        </w:rPr>
        <w:t xml:space="preserve"> general</w:t>
      </w:r>
      <w:r w:rsidR="00370702" w:rsidRPr="0072729B">
        <w:rPr>
          <w:rFonts w:ascii="Times New Roman" w:hAnsi="Times New Roman" w:cs="Times New Roman"/>
          <w:sz w:val="24"/>
          <w:szCs w:val="24"/>
        </w:rPr>
        <w:t>ly</w:t>
      </w:r>
      <w:r w:rsidR="00F72F50" w:rsidRPr="0072729B">
        <w:rPr>
          <w:rFonts w:ascii="Times New Roman" w:hAnsi="Times New Roman" w:cs="Times New Roman"/>
          <w:sz w:val="24"/>
          <w:szCs w:val="24"/>
        </w:rPr>
        <w:t xml:space="preserve"> have superior quantitative competency attainment rates </w:t>
      </w:r>
      <w:r w:rsidR="00BE597D">
        <w:rPr>
          <w:rFonts w:ascii="Times New Roman" w:hAnsi="Times New Roman" w:cs="Times New Roman"/>
          <w:sz w:val="24"/>
          <w:szCs w:val="24"/>
        </w:rPr>
        <w:t>as compared with</w:t>
      </w:r>
      <w:r w:rsidR="00F72F50" w:rsidRPr="0072729B">
        <w:rPr>
          <w:rFonts w:ascii="Times New Roman" w:hAnsi="Times New Roman" w:cs="Times New Roman"/>
          <w:sz w:val="24"/>
          <w:szCs w:val="24"/>
        </w:rPr>
        <w:t xml:space="preserve"> Math B65 students</w:t>
      </w:r>
      <w:r w:rsidR="006656F5" w:rsidRPr="0072729B">
        <w:rPr>
          <w:rFonts w:ascii="Times New Roman" w:hAnsi="Times New Roman" w:cs="Times New Roman"/>
          <w:sz w:val="24"/>
          <w:szCs w:val="24"/>
        </w:rPr>
        <w:t xml:space="preserve">.  </w:t>
      </w:r>
      <w:r w:rsidR="00635827" w:rsidRPr="0072729B">
        <w:rPr>
          <w:rFonts w:ascii="Times New Roman" w:hAnsi="Times New Roman" w:cs="Times New Roman"/>
          <w:sz w:val="24"/>
          <w:szCs w:val="24"/>
        </w:rPr>
        <w:t xml:space="preserve">On the other hand, </w:t>
      </w:r>
      <w:r w:rsidR="00F72F50" w:rsidRPr="0072729B">
        <w:rPr>
          <w:rFonts w:ascii="Times New Roman" w:hAnsi="Times New Roman" w:cs="Times New Roman"/>
          <w:sz w:val="24"/>
          <w:szCs w:val="24"/>
        </w:rPr>
        <w:t>students</w:t>
      </w:r>
      <w:r w:rsidR="006656F5" w:rsidRPr="0072729B">
        <w:rPr>
          <w:rFonts w:ascii="Times New Roman" w:hAnsi="Times New Roman" w:cs="Times New Roman"/>
          <w:sz w:val="24"/>
          <w:szCs w:val="24"/>
        </w:rPr>
        <w:t xml:space="preserve"> who </w:t>
      </w:r>
      <w:r w:rsidR="0007703B">
        <w:rPr>
          <w:rFonts w:ascii="Times New Roman" w:hAnsi="Times New Roman" w:cs="Times New Roman"/>
          <w:sz w:val="24"/>
          <w:szCs w:val="24"/>
        </w:rPr>
        <w:t xml:space="preserve">both </w:t>
      </w:r>
      <w:r w:rsidR="00635827" w:rsidRPr="0072729B">
        <w:rPr>
          <w:rFonts w:ascii="Times New Roman" w:hAnsi="Times New Roman" w:cs="Times New Roman"/>
          <w:sz w:val="24"/>
          <w:szCs w:val="24"/>
        </w:rPr>
        <w:t xml:space="preserve">pass Math B65 on the first attempt </w:t>
      </w:r>
      <w:r w:rsidR="00635827" w:rsidRPr="0072729B">
        <w:rPr>
          <w:rFonts w:ascii="Times New Roman" w:hAnsi="Times New Roman" w:cs="Times New Roman"/>
          <w:i/>
          <w:sz w:val="24"/>
          <w:szCs w:val="24"/>
        </w:rPr>
        <w:t>and</w:t>
      </w:r>
      <w:r w:rsidR="00635827" w:rsidRPr="0072729B">
        <w:rPr>
          <w:rFonts w:ascii="Times New Roman" w:hAnsi="Times New Roman" w:cs="Times New Roman"/>
          <w:sz w:val="24"/>
          <w:szCs w:val="24"/>
        </w:rPr>
        <w:t xml:space="preserve"> </w:t>
      </w:r>
      <w:r w:rsidR="006F748E">
        <w:rPr>
          <w:rFonts w:ascii="Times New Roman" w:hAnsi="Times New Roman" w:cs="Times New Roman"/>
          <w:sz w:val="24"/>
          <w:szCs w:val="24"/>
        </w:rPr>
        <w:t xml:space="preserve">proceed into </w:t>
      </w:r>
      <w:r w:rsidR="00635827" w:rsidRPr="0072729B">
        <w:rPr>
          <w:rFonts w:ascii="Times New Roman" w:hAnsi="Times New Roman" w:cs="Times New Roman"/>
          <w:sz w:val="24"/>
          <w:szCs w:val="24"/>
        </w:rPr>
        <w:t xml:space="preserve">a second quantitative course </w:t>
      </w:r>
      <w:r w:rsidR="006656F5" w:rsidRPr="0072729B">
        <w:rPr>
          <w:rFonts w:ascii="Times New Roman" w:hAnsi="Times New Roman" w:cs="Times New Roman"/>
          <w:sz w:val="24"/>
          <w:szCs w:val="24"/>
        </w:rPr>
        <w:t xml:space="preserve">are very likely to </w:t>
      </w:r>
      <w:r w:rsidR="00600DFC" w:rsidRPr="0072729B">
        <w:rPr>
          <w:rFonts w:ascii="Times New Roman" w:hAnsi="Times New Roman" w:cs="Times New Roman"/>
          <w:sz w:val="24"/>
          <w:szCs w:val="24"/>
        </w:rPr>
        <w:t xml:space="preserve">enroll in Math B22 or Psyc B5, </w:t>
      </w:r>
      <w:r w:rsidR="0007703B">
        <w:rPr>
          <w:rFonts w:ascii="Times New Roman" w:hAnsi="Times New Roman" w:cs="Times New Roman"/>
          <w:sz w:val="24"/>
          <w:szCs w:val="24"/>
        </w:rPr>
        <w:t>which are</w:t>
      </w:r>
      <w:r w:rsidR="00600DFC" w:rsidRPr="0072729B">
        <w:rPr>
          <w:rFonts w:ascii="Times New Roman" w:hAnsi="Times New Roman" w:cs="Times New Roman"/>
          <w:sz w:val="24"/>
          <w:szCs w:val="24"/>
        </w:rPr>
        <w:t xml:space="preserve"> transfer-level quantitative courses.  Psyc B5, in particular, has a very high first-attempt pass rate, high </w:t>
      </w:r>
      <w:r w:rsidR="00BE597D">
        <w:rPr>
          <w:rFonts w:ascii="Times New Roman" w:hAnsi="Times New Roman" w:cs="Times New Roman"/>
          <w:sz w:val="24"/>
          <w:szCs w:val="24"/>
        </w:rPr>
        <w:t xml:space="preserve">enough </w:t>
      </w:r>
      <w:r w:rsidR="00B95305" w:rsidRPr="0072729B">
        <w:rPr>
          <w:rFonts w:ascii="Times New Roman" w:hAnsi="Times New Roman" w:cs="Times New Roman"/>
          <w:sz w:val="24"/>
          <w:szCs w:val="24"/>
        </w:rPr>
        <w:t xml:space="preserve">that </w:t>
      </w:r>
      <w:r w:rsidR="00E4578A" w:rsidRPr="0072729B">
        <w:rPr>
          <w:rFonts w:ascii="Times New Roman" w:hAnsi="Times New Roman" w:cs="Times New Roman"/>
          <w:sz w:val="24"/>
          <w:szCs w:val="24"/>
        </w:rPr>
        <w:t xml:space="preserve">students in the Math B65-Psyc B5 pathway </w:t>
      </w:r>
      <w:r w:rsidR="00A10FA5">
        <w:rPr>
          <w:rFonts w:ascii="Times New Roman" w:hAnsi="Times New Roman" w:cs="Times New Roman"/>
          <w:sz w:val="24"/>
          <w:szCs w:val="24"/>
        </w:rPr>
        <w:t>cannot be included in</w:t>
      </w:r>
      <w:r w:rsidR="00E4578A" w:rsidRPr="0072729B">
        <w:rPr>
          <w:rFonts w:ascii="Times New Roman" w:hAnsi="Times New Roman" w:cs="Times New Roman"/>
          <w:sz w:val="24"/>
          <w:szCs w:val="24"/>
        </w:rPr>
        <w:t xml:space="preserve"> the regression model addressing </w:t>
      </w:r>
      <w:r w:rsidR="00B95305" w:rsidRPr="0072729B">
        <w:rPr>
          <w:rFonts w:ascii="Times New Roman" w:hAnsi="Times New Roman" w:cs="Times New Roman"/>
          <w:sz w:val="24"/>
          <w:szCs w:val="24"/>
        </w:rPr>
        <w:t xml:space="preserve">associate- </w:t>
      </w:r>
      <w:r w:rsidR="00E4578A" w:rsidRPr="0072729B">
        <w:rPr>
          <w:rFonts w:ascii="Times New Roman" w:hAnsi="Times New Roman" w:cs="Times New Roman"/>
          <w:sz w:val="24"/>
          <w:szCs w:val="24"/>
        </w:rPr>
        <w:t xml:space="preserve">and </w:t>
      </w:r>
      <w:r w:rsidR="00B95305" w:rsidRPr="0072729B">
        <w:rPr>
          <w:rFonts w:ascii="Times New Roman" w:hAnsi="Times New Roman" w:cs="Times New Roman"/>
          <w:sz w:val="24"/>
          <w:szCs w:val="24"/>
        </w:rPr>
        <w:t xml:space="preserve">transfer-level </w:t>
      </w:r>
      <w:r w:rsidR="00E4578A" w:rsidRPr="0072729B">
        <w:rPr>
          <w:rFonts w:ascii="Times New Roman" w:hAnsi="Times New Roman" w:cs="Times New Roman"/>
          <w:sz w:val="24"/>
          <w:szCs w:val="24"/>
        </w:rPr>
        <w:t xml:space="preserve">quantitative </w:t>
      </w:r>
      <w:r w:rsidR="00B95305" w:rsidRPr="0072729B">
        <w:rPr>
          <w:rFonts w:ascii="Times New Roman" w:hAnsi="Times New Roman" w:cs="Times New Roman"/>
          <w:sz w:val="24"/>
          <w:szCs w:val="24"/>
        </w:rPr>
        <w:t>competency</w:t>
      </w:r>
      <w:r w:rsidR="002D4293" w:rsidRPr="0072729B">
        <w:rPr>
          <w:rFonts w:ascii="Times New Roman" w:hAnsi="Times New Roman" w:cs="Times New Roman"/>
          <w:sz w:val="24"/>
          <w:szCs w:val="24"/>
        </w:rPr>
        <w:t xml:space="preserve"> (combined</w:t>
      </w:r>
      <w:r w:rsidR="00B95305" w:rsidRPr="0072729B">
        <w:rPr>
          <w:rFonts w:ascii="Times New Roman" w:hAnsi="Times New Roman" w:cs="Times New Roman"/>
          <w:sz w:val="24"/>
          <w:szCs w:val="24"/>
        </w:rPr>
        <w:t xml:space="preserve">).  Moreover, students </w:t>
      </w:r>
      <w:r w:rsidR="002D4293" w:rsidRPr="0072729B">
        <w:rPr>
          <w:rFonts w:ascii="Times New Roman" w:hAnsi="Times New Roman" w:cs="Times New Roman"/>
          <w:sz w:val="24"/>
          <w:szCs w:val="24"/>
        </w:rPr>
        <w:t xml:space="preserve">on the </w:t>
      </w:r>
      <w:r w:rsidR="00B95305" w:rsidRPr="0072729B">
        <w:rPr>
          <w:rFonts w:ascii="Times New Roman" w:hAnsi="Times New Roman" w:cs="Times New Roman"/>
          <w:sz w:val="24"/>
          <w:szCs w:val="24"/>
        </w:rPr>
        <w:t>Math B65</w:t>
      </w:r>
      <w:r w:rsidR="002D4293" w:rsidRPr="0072729B">
        <w:rPr>
          <w:rFonts w:ascii="Times New Roman" w:hAnsi="Times New Roman" w:cs="Times New Roman"/>
          <w:sz w:val="24"/>
          <w:szCs w:val="24"/>
        </w:rPr>
        <w:t>-Psyc B5</w:t>
      </w:r>
      <w:r w:rsidR="00B95305" w:rsidRPr="0072729B">
        <w:rPr>
          <w:rFonts w:ascii="Times New Roman" w:hAnsi="Times New Roman" w:cs="Times New Roman"/>
          <w:sz w:val="24"/>
          <w:szCs w:val="24"/>
        </w:rPr>
        <w:t xml:space="preserve"> </w:t>
      </w:r>
      <w:r w:rsidR="002D4293" w:rsidRPr="0072729B">
        <w:rPr>
          <w:rFonts w:ascii="Times New Roman" w:hAnsi="Times New Roman" w:cs="Times New Roman"/>
          <w:sz w:val="24"/>
          <w:szCs w:val="24"/>
        </w:rPr>
        <w:t xml:space="preserve">pathway </w:t>
      </w:r>
      <w:r w:rsidR="00B95305" w:rsidRPr="0072729B">
        <w:rPr>
          <w:rFonts w:ascii="Times New Roman" w:hAnsi="Times New Roman" w:cs="Times New Roman"/>
          <w:sz w:val="24"/>
          <w:szCs w:val="24"/>
        </w:rPr>
        <w:t>have a predicted probability of achieving transfer-level competency</w:t>
      </w:r>
      <w:r w:rsidR="00370702" w:rsidRPr="0072729B">
        <w:rPr>
          <w:rFonts w:ascii="Times New Roman" w:hAnsi="Times New Roman" w:cs="Times New Roman"/>
          <w:sz w:val="24"/>
          <w:szCs w:val="24"/>
        </w:rPr>
        <w:t xml:space="preserve"> (excluding associate-level competency)</w:t>
      </w:r>
      <w:r w:rsidR="00B95305" w:rsidRPr="0072729B">
        <w:rPr>
          <w:rFonts w:ascii="Times New Roman" w:hAnsi="Times New Roman" w:cs="Times New Roman"/>
          <w:sz w:val="24"/>
          <w:szCs w:val="24"/>
        </w:rPr>
        <w:t xml:space="preserve"> that is 0.88, </w:t>
      </w:r>
      <w:r w:rsidR="00370702" w:rsidRPr="0072729B">
        <w:rPr>
          <w:rFonts w:ascii="Times New Roman" w:hAnsi="Times New Roman" w:cs="Times New Roman"/>
          <w:sz w:val="24"/>
          <w:szCs w:val="24"/>
        </w:rPr>
        <w:t xml:space="preserve">more than twice </w:t>
      </w:r>
      <w:r w:rsidR="00A10FA5">
        <w:rPr>
          <w:rFonts w:ascii="Times New Roman" w:hAnsi="Times New Roman" w:cs="Times New Roman"/>
          <w:sz w:val="24"/>
          <w:szCs w:val="24"/>
        </w:rPr>
        <w:t>the probability of 0.37</w:t>
      </w:r>
      <w:r w:rsidR="00370702" w:rsidRPr="0072729B">
        <w:rPr>
          <w:rFonts w:ascii="Times New Roman" w:hAnsi="Times New Roman" w:cs="Times New Roman"/>
          <w:sz w:val="24"/>
          <w:szCs w:val="24"/>
        </w:rPr>
        <w:t xml:space="preserve"> found among students who attempt LRNC B530</w:t>
      </w:r>
      <w:r w:rsidR="00370702" w:rsidRPr="0072729B">
        <w:rPr>
          <w:rFonts w:ascii="Times New Roman" w:hAnsi="Times New Roman" w:cs="Times New Roman"/>
          <w:i/>
          <w:sz w:val="24"/>
          <w:szCs w:val="24"/>
        </w:rPr>
        <w:t>f</w:t>
      </w:r>
      <w:r w:rsidR="00370702" w:rsidRPr="0072729B">
        <w:rPr>
          <w:rFonts w:ascii="Times New Roman" w:hAnsi="Times New Roman" w:cs="Times New Roman"/>
          <w:sz w:val="24"/>
          <w:szCs w:val="24"/>
        </w:rPr>
        <w:t>, pass it on the first attempt, and then continue into LRNC B530</w:t>
      </w:r>
      <w:r w:rsidR="00370702" w:rsidRPr="0072729B">
        <w:rPr>
          <w:rFonts w:ascii="Times New Roman" w:hAnsi="Times New Roman" w:cs="Times New Roman"/>
          <w:i/>
          <w:sz w:val="24"/>
          <w:szCs w:val="24"/>
        </w:rPr>
        <w:t>s</w:t>
      </w:r>
      <w:r w:rsidR="00370702" w:rsidRPr="0072729B">
        <w:rPr>
          <w:rFonts w:ascii="Times New Roman" w:hAnsi="Times New Roman" w:cs="Times New Roman"/>
          <w:sz w:val="24"/>
          <w:szCs w:val="24"/>
        </w:rPr>
        <w:t xml:space="preserve">.  </w:t>
      </w:r>
      <w:r w:rsidR="00724B6E" w:rsidRPr="0072729B">
        <w:rPr>
          <w:rFonts w:ascii="Times New Roman" w:hAnsi="Times New Roman" w:cs="Times New Roman"/>
          <w:sz w:val="24"/>
          <w:szCs w:val="24"/>
        </w:rPr>
        <w:t>Math B65 students who transition into Math B22 also have the advantage over LRNC B530</w:t>
      </w:r>
      <w:r w:rsidR="00724B6E" w:rsidRPr="0072729B">
        <w:rPr>
          <w:rFonts w:ascii="Times New Roman" w:hAnsi="Times New Roman" w:cs="Times New Roman"/>
          <w:i/>
          <w:sz w:val="24"/>
          <w:szCs w:val="24"/>
        </w:rPr>
        <w:t>f</w:t>
      </w:r>
      <w:r w:rsidR="00724B6E" w:rsidRPr="0072729B">
        <w:rPr>
          <w:rFonts w:ascii="Times New Roman" w:hAnsi="Times New Roman" w:cs="Times New Roman"/>
          <w:sz w:val="24"/>
          <w:szCs w:val="24"/>
        </w:rPr>
        <w:t>-B530</w:t>
      </w:r>
      <w:r w:rsidR="00724B6E" w:rsidRPr="0072729B">
        <w:rPr>
          <w:rFonts w:ascii="Times New Roman" w:hAnsi="Times New Roman" w:cs="Times New Roman"/>
          <w:i/>
          <w:sz w:val="24"/>
          <w:szCs w:val="24"/>
        </w:rPr>
        <w:t>s</w:t>
      </w:r>
      <w:r w:rsidR="00724B6E" w:rsidRPr="0072729B">
        <w:rPr>
          <w:rFonts w:ascii="Times New Roman" w:hAnsi="Times New Roman" w:cs="Times New Roman"/>
          <w:sz w:val="24"/>
          <w:szCs w:val="24"/>
        </w:rPr>
        <w:t xml:space="preserve"> students in </w:t>
      </w:r>
      <w:r w:rsidR="006F748E">
        <w:rPr>
          <w:rFonts w:ascii="Times New Roman" w:hAnsi="Times New Roman" w:cs="Times New Roman"/>
          <w:sz w:val="24"/>
          <w:szCs w:val="24"/>
        </w:rPr>
        <w:t>the</w:t>
      </w:r>
      <w:r w:rsidR="00724B6E" w:rsidRPr="0072729B">
        <w:rPr>
          <w:rFonts w:ascii="Times New Roman" w:hAnsi="Times New Roman" w:cs="Times New Roman"/>
          <w:sz w:val="24"/>
          <w:szCs w:val="24"/>
        </w:rPr>
        <w:t xml:space="preserve"> first two </w:t>
      </w:r>
      <w:r w:rsidR="002D4293" w:rsidRPr="0072729B">
        <w:rPr>
          <w:rFonts w:ascii="Times New Roman" w:hAnsi="Times New Roman" w:cs="Times New Roman"/>
          <w:sz w:val="24"/>
          <w:szCs w:val="24"/>
        </w:rPr>
        <w:t xml:space="preserve">competency </w:t>
      </w:r>
      <w:r w:rsidR="00724B6E" w:rsidRPr="0072729B">
        <w:rPr>
          <w:rFonts w:ascii="Times New Roman" w:hAnsi="Times New Roman" w:cs="Times New Roman"/>
          <w:sz w:val="24"/>
          <w:szCs w:val="24"/>
        </w:rPr>
        <w:t xml:space="preserve">outcomes, though to a lesser extent.  Still, </w:t>
      </w:r>
      <w:r w:rsidR="002D4293" w:rsidRPr="0072729B">
        <w:rPr>
          <w:rFonts w:ascii="Times New Roman" w:hAnsi="Times New Roman" w:cs="Times New Roman"/>
          <w:sz w:val="24"/>
          <w:szCs w:val="24"/>
        </w:rPr>
        <w:t>LRNC B530</w:t>
      </w:r>
      <w:r w:rsidR="002D4293" w:rsidRPr="0072729B">
        <w:rPr>
          <w:rFonts w:ascii="Times New Roman" w:hAnsi="Times New Roman" w:cs="Times New Roman"/>
          <w:i/>
          <w:sz w:val="24"/>
          <w:szCs w:val="24"/>
        </w:rPr>
        <w:t>f</w:t>
      </w:r>
      <w:r w:rsidR="002D4293" w:rsidRPr="0072729B">
        <w:rPr>
          <w:rFonts w:ascii="Times New Roman" w:hAnsi="Times New Roman" w:cs="Times New Roman"/>
          <w:sz w:val="24"/>
          <w:szCs w:val="24"/>
        </w:rPr>
        <w:t>-B530</w:t>
      </w:r>
      <w:r w:rsidR="002D4293" w:rsidRPr="0072729B">
        <w:rPr>
          <w:rFonts w:ascii="Times New Roman" w:hAnsi="Times New Roman" w:cs="Times New Roman"/>
          <w:i/>
          <w:sz w:val="24"/>
          <w:szCs w:val="24"/>
        </w:rPr>
        <w:t>s</w:t>
      </w:r>
      <w:r w:rsidR="002D4293" w:rsidRPr="0072729B">
        <w:rPr>
          <w:rFonts w:ascii="Times New Roman" w:hAnsi="Times New Roman" w:cs="Times New Roman"/>
          <w:sz w:val="24"/>
          <w:szCs w:val="24"/>
        </w:rPr>
        <w:t xml:space="preserve"> students maintain an advantage in the achievement of STEM-track quantitative competency over students on either of the Math B65 pathways</w:t>
      </w:r>
      <w:r w:rsidR="00E4578A" w:rsidRPr="0072729B">
        <w:rPr>
          <w:rFonts w:ascii="Times New Roman" w:hAnsi="Times New Roman" w:cs="Times New Roman"/>
          <w:sz w:val="24"/>
          <w:szCs w:val="24"/>
        </w:rPr>
        <w:t xml:space="preserve">, with both Math B65 </w:t>
      </w:r>
      <w:r w:rsidR="00E4578A" w:rsidRPr="0072729B">
        <w:rPr>
          <w:rFonts w:ascii="Times New Roman" w:hAnsi="Times New Roman" w:cs="Times New Roman"/>
          <w:sz w:val="24"/>
          <w:szCs w:val="24"/>
        </w:rPr>
        <w:lastRenderedPageBreak/>
        <w:t xml:space="preserve">pathways having </w:t>
      </w:r>
      <w:r w:rsidR="006F748E">
        <w:rPr>
          <w:rFonts w:ascii="Times New Roman" w:hAnsi="Times New Roman" w:cs="Times New Roman"/>
          <w:sz w:val="24"/>
          <w:szCs w:val="24"/>
        </w:rPr>
        <w:t xml:space="preserve">so few students achieving </w:t>
      </w:r>
      <w:r w:rsidR="00E4578A" w:rsidRPr="0072729B">
        <w:rPr>
          <w:rFonts w:ascii="Times New Roman" w:hAnsi="Times New Roman" w:cs="Times New Roman"/>
          <w:sz w:val="24"/>
          <w:szCs w:val="24"/>
        </w:rPr>
        <w:t xml:space="preserve">STEM-track </w:t>
      </w:r>
      <w:r w:rsidR="006F748E">
        <w:rPr>
          <w:rFonts w:ascii="Times New Roman" w:hAnsi="Times New Roman" w:cs="Times New Roman"/>
          <w:sz w:val="24"/>
          <w:szCs w:val="24"/>
        </w:rPr>
        <w:t xml:space="preserve">competency that </w:t>
      </w:r>
      <w:r w:rsidR="00E4578A" w:rsidRPr="0072729B">
        <w:rPr>
          <w:rFonts w:ascii="Times New Roman" w:hAnsi="Times New Roman" w:cs="Times New Roman"/>
          <w:sz w:val="24"/>
          <w:szCs w:val="24"/>
        </w:rPr>
        <w:t xml:space="preserve">the </w:t>
      </w:r>
      <w:r w:rsidR="006F748E">
        <w:rPr>
          <w:rFonts w:ascii="Times New Roman" w:hAnsi="Times New Roman" w:cs="Times New Roman"/>
          <w:sz w:val="24"/>
          <w:szCs w:val="24"/>
        </w:rPr>
        <w:t xml:space="preserve">two pathways </w:t>
      </w:r>
      <w:r w:rsidR="00A10FA5">
        <w:rPr>
          <w:rFonts w:ascii="Times New Roman" w:hAnsi="Times New Roman" w:cs="Times New Roman"/>
          <w:sz w:val="24"/>
          <w:szCs w:val="24"/>
        </w:rPr>
        <w:t xml:space="preserve">cannot be included in </w:t>
      </w:r>
      <w:r w:rsidR="00E4578A" w:rsidRPr="0072729B">
        <w:rPr>
          <w:rFonts w:ascii="Times New Roman" w:hAnsi="Times New Roman" w:cs="Times New Roman"/>
          <w:sz w:val="24"/>
          <w:szCs w:val="24"/>
        </w:rPr>
        <w:t>the regression model.</w:t>
      </w:r>
    </w:p>
    <w:p w14:paraId="053D0D4D" w14:textId="77777777" w:rsidR="007443CD" w:rsidRPr="0072729B" w:rsidRDefault="007443CD" w:rsidP="008967F8">
      <w:pPr>
        <w:spacing w:after="0" w:line="240" w:lineRule="auto"/>
        <w:rPr>
          <w:rFonts w:ascii="Times New Roman" w:hAnsi="Times New Roman" w:cs="Times New Roman"/>
          <w:sz w:val="24"/>
          <w:szCs w:val="24"/>
        </w:rPr>
      </w:pPr>
    </w:p>
    <w:p w14:paraId="5B3E5B37" w14:textId="34C292D9" w:rsidR="00393E58" w:rsidRDefault="00393E58" w:rsidP="008967F8">
      <w:pPr>
        <w:spacing w:after="0" w:line="240" w:lineRule="auto"/>
        <w:rPr>
          <w:rFonts w:ascii="Times New Roman" w:hAnsi="Times New Roman" w:cs="Times New Roman"/>
          <w:sz w:val="24"/>
          <w:szCs w:val="24"/>
          <w:u w:val="single"/>
        </w:rPr>
      </w:pPr>
      <w:r w:rsidRPr="00BD50D4">
        <w:rPr>
          <w:rFonts w:ascii="Times New Roman" w:hAnsi="Times New Roman" w:cs="Times New Roman"/>
          <w:sz w:val="24"/>
          <w:szCs w:val="24"/>
          <w:u w:val="single"/>
        </w:rPr>
        <w:t>Students Pursuing Goals Other Than Transfer</w:t>
      </w:r>
    </w:p>
    <w:p w14:paraId="023E3D61" w14:textId="77777777" w:rsidR="00393E58" w:rsidRDefault="00393E58" w:rsidP="008967F8">
      <w:pPr>
        <w:spacing w:after="0" w:line="240" w:lineRule="auto"/>
        <w:rPr>
          <w:rFonts w:ascii="Times New Roman" w:hAnsi="Times New Roman" w:cs="Times New Roman"/>
          <w:sz w:val="24"/>
          <w:szCs w:val="24"/>
        </w:rPr>
      </w:pPr>
    </w:p>
    <w:p w14:paraId="278871BD" w14:textId="305329D2" w:rsidR="00393E58" w:rsidRDefault="006C70CB" w:rsidP="008967F8">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909C9">
        <w:rPr>
          <w:rFonts w:ascii="Times New Roman" w:hAnsi="Times New Roman" w:cs="Times New Roman"/>
          <w:sz w:val="24"/>
          <w:szCs w:val="24"/>
        </w:rPr>
        <w:t>he results for students seeking goals other than transfer</w:t>
      </w:r>
      <w:r>
        <w:rPr>
          <w:rFonts w:ascii="Times New Roman" w:hAnsi="Times New Roman" w:cs="Times New Roman"/>
          <w:sz w:val="24"/>
          <w:szCs w:val="24"/>
        </w:rPr>
        <w:t xml:space="preserve"> parallel those for transfer-seeking students in some respects but, in other respects, contradict </w:t>
      </w:r>
      <w:r w:rsidR="007D21B3">
        <w:rPr>
          <w:rFonts w:ascii="Times New Roman" w:hAnsi="Times New Roman" w:cs="Times New Roman"/>
          <w:sz w:val="24"/>
          <w:szCs w:val="24"/>
        </w:rPr>
        <w:t>those</w:t>
      </w:r>
      <w:r>
        <w:rPr>
          <w:rFonts w:ascii="Times New Roman" w:hAnsi="Times New Roman" w:cs="Times New Roman"/>
          <w:sz w:val="24"/>
          <w:szCs w:val="24"/>
        </w:rPr>
        <w:t xml:space="preserve"> results.  </w:t>
      </w:r>
      <w:r w:rsidR="007D21B3">
        <w:rPr>
          <w:rFonts w:ascii="Times New Roman" w:hAnsi="Times New Roman" w:cs="Times New Roman"/>
          <w:sz w:val="24"/>
          <w:szCs w:val="24"/>
        </w:rPr>
        <w:t>The analys</w:t>
      </w:r>
      <w:r w:rsidR="00D628D6">
        <w:rPr>
          <w:rFonts w:ascii="Times New Roman" w:hAnsi="Times New Roman" w:cs="Times New Roman"/>
          <w:sz w:val="24"/>
          <w:szCs w:val="24"/>
        </w:rPr>
        <w:t>e</w:t>
      </w:r>
      <w:r w:rsidR="007D21B3">
        <w:rPr>
          <w:rFonts w:ascii="Times New Roman" w:hAnsi="Times New Roman" w:cs="Times New Roman"/>
          <w:sz w:val="24"/>
          <w:szCs w:val="24"/>
        </w:rPr>
        <w:t>s of s</w:t>
      </w:r>
      <w:r>
        <w:rPr>
          <w:rFonts w:ascii="Times New Roman" w:hAnsi="Times New Roman" w:cs="Times New Roman"/>
          <w:sz w:val="24"/>
          <w:szCs w:val="24"/>
        </w:rPr>
        <w:t>ubsample #4</w:t>
      </w:r>
      <w:r w:rsidR="007D21B3">
        <w:rPr>
          <w:rFonts w:ascii="Times New Roman" w:hAnsi="Times New Roman" w:cs="Times New Roman"/>
          <w:sz w:val="24"/>
          <w:szCs w:val="24"/>
        </w:rPr>
        <w:t xml:space="preserve"> (all non-transfer</w:t>
      </w:r>
      <w:r w:rsidR="00191BF2">
        <w:rPr>
          <w:rFonts w:ascii="Times New Roman" w:hAnsi="Times New Roman" w:cs="Times New Roman"/>
          <w:sz w:val="24"/>
          <w:szCs w:val="24"/>
        </w:rPr>
        <w:t>-seeking</w:t>
      </w:r>
      <w:r w:rsidR="007D21B3">
        <w:rPr>
          <w:rFonts w:ascii="Times New Roman" w:hAnsi="Times New Roman" w:cs="Times New Roman"/>
          <w:sz w:val="24"/>
          <w:szCs w:val="24"/>
        </w:rPr>
        <w:t xml:space="preserve"> students entering through the focal math courses) and subsample #5 (</w:t>
      </w:r>
      <w:r w:rsidR="00D628D6">
        <w:rPr>
          <w:rFonts w:ascii="Times New Roman" w:hAnsi="Times New Roman" w:cs="Times New Roman"/>
          <w:sz w:val="24"/>
          <w:szCs w:val="24"/>
        </w:rPr>
        <w:t>same as subsample #4 but limited to students who were successful in the first attempt of their first math course) indicate</w:t>
      </w:r>
      <w:r>
        <w:rPr>
          <w:rFonts w:ascii="Times New Roman" w:hAnsi="Times New Roman" w:cs="Times New Roman"/>
          <w:sz w:val="24"/>
          <w:szCs w:val="24"/>
        </w:rPr>
        <w:t xml:space="preserve"> that LRNC B530</w:t>
      </w:r>
      <w:r w:rsidRPr="0072729B">
        <w:rPr>
          <w:rFonts w:ascii="Times New Roman" w:hAnsi="Times New Roman" w:cs="Times New Roman"/>
          <w:i/>
          <w:sz w:val="24"/>
          <w:szCs w:val="24"/>
        </w:rPr>
        <w:t>f</w:t>
      </w:r>
      <w:r>
        <w:rPr>
          <w:rFonts w:ascii="Times New Roman" w:hAnsi="Times New Roman" w:cs="Times New Roman"/>
          <w:sz w:val="24"/>
          <w:szCs w:val="24"/>
        </w:rPr>
        <w:t xml:space="preserve"> students are more likely to achieve associate- or transfer-level quantitative competency (combined)</w:t>
      </w:r>
      <w:r w:rsidR="007D21B3">
        <w:rPr>
          <w:rFonts w:ascii="Times New Roman" w:hAnsi="Times New Roman" w:cs="Times New Roman"/>
          <w:sz w:val="24"/>
          <w:szCs w:val="24"/>
        </w:rPr>
        <w:t xml:space="preserve"> and more likely to achieve transfer-level competency (separate from associate-level competency)</w:t>
      </w:r>
      <w:r>
        <w:rPr>
          <w:rFonts w:ascii="Times New Roman" w:hAnsi="Times New Roman" w:cs="Times New Roman"/>
          <w:sz w:val="24"/>
          <w:szCs w:val="24"/>
        </w:rPr>
        <w:t xml:space="preserve"> than are Math B65 students</w:t>
      </w:r>
      <w:r w:rsidR="00B96B48">
        <w:rPr>
          <w:rFonts w:ascii="Times New Roman" w:hAnsi="Times New Roman" w:cs="Times New Roman"/>
          <w:sz w:val="24"/>
          <w:szCs w:val="24"/>
        </w:rPr>
        <w:t xml:space="preserve"> and Math B60 students</w:t>
      </w:r>
      <w:r>
        <w:rPr>
          <w:rFonts w:ascii="Times New Roman" w:hAnsi="Times New Roman" w:cs="Times New Roman"/>
          <w:sz w:val="24"/>
          <w:szCs w:val="24"/>
        </w:rPr>
        <w:t xml:space="preserve">. </w:t>
      </w:r>
      <w:r w:rsidR="007D21B3">
        <w:rPr>
          <w:rFonts w:ascii="Times New Roman" w:hAnsi="Times New Roman" w:cs="Times New Roman"/>
          <w:sz w:val="24"/>
          <w:szCs w:val="24"/>
        </w:rPr>
        <w:t xml:space="preserve"> </w:t>
      </w:r>
      <w:r w:rsidR="00B96B48">
        <w:rPr>
          <w:rFonts w:ascii="Times New Roman" w:hAnsi="Times New Roman" w:cs="Times New Roman"/>
          <w:sz w:val="24"/>
          <w:szCs w:val="24"/>
        </w:rPr>
        <w:t>Also</w:t>
      </w:r>
      <w:r w:rsidR="007D21B3">
        <w:rPr>
          <w:rFonts w:ascii="Times New Roman" w:hAnsi="Times New Roman" w:cs="Times New Roman"/>
          <w:sz w:val="24"/>
          <w:szCs w:val="24"/>
        </w:rPr>
        <w:t xml:space="preserve">, Math B65 students again have a very low rate of STEM-track quantitative achievement, so </w:t>
      </w:r>
      <w:r w:rsidR="00B96B48">
        <w:rPr>
          <w:rFonts w:ascii="Times New Roman" w:hAnsi="Times New Roman" w:cs="Times New Roman"/>
          <w:sz w:val="24"/>
          <w:szCs w:val="24"/>
        </w:rPr>
        <w:t xml:space="preserve">low that </w:t>
      </w:r>
      <w:r w:rsidR="007D21B3">
        <w:rPr>
          <w:rFonts w:ascii="Times New Roman" w:hAnsi="Times New Roman" w:cs="Times New Roman"/>
          <w:sz w:val="24"/>
          <w:szCs w:val="24"/>
        </w:rPr>
        <w:t xml:space="preserve">they </w:t>
      </w:r>
      <w:r w:rsidR="00191BF2">
        <w:rPr>
          <w:rFonts w:ascii="Times New Roman" w:hAnsi="Times New Roman" w:cs="Times New Roman"/>
          <w:sz w:val="24"/>
          <w:szCs w:val="24"/>
        </w:rPr>
        <w:t>were</w:t>
      </w:r>
      <w:r w:rsidR="007D21B3">
        <w:rPr>
          <w:rFonts w:ascii="Times New Roman" w:hAnsi="Times New Roman" w:cs="Times New Roman"/>
          <w:sz w:val="24"/>
          <w:szCs w:val="24"/>
        </w:rPr>
        <w:t xml:space="preserve"> dropped from </w:t>
      </w:r>
      <w:r w:rsidR="00D628D6">
        <w:rPr>
          <w:rFonts w:ascii="Times New Roman" w:hAnsi="Times New Roman" w:cs="Times New Roman"/>
          <w:sz w:val="24"/>
          <w:szCs w:val="24"/>
        </w:rPr>
        <w:t>the</w:t>
      </w:r>
      <w:r w:rsidR="007D21B3">
        <w:rPr>
          <w:rFonts w:ascii="Times New Roman" w:hAnsi="Times New Roman" w:cs="Times New Roman"/>
          <w:sz w:val="24"/>
          <w:szCs w:val="24"/>
        </w:rPr>
        <w:t xml:space="preserve"> regression </w:t>
      </w:r>
      <w:r w:rsidR="00D628D6">
        <w:rPr>
          <w:rFonts w:ascii="Times New Roman" w:hAnsi="Times New Roman" w:cs="Times New Roman"/>
          <w:sz w:val="24"/>
          <w:szCs w:val="24"/>
        </w:rPr>
        <w:t xml:space="preserve">models for this outcome for </w:t>
      </w:r>
      <w:r w:rsidR="007D21B3">
        <w:rPr>
          <w:rFonts w:ascii="Times New Roman" w:hAnsi="Times New Roman" w:cs="Times New Roman"/>
          <w:sz w:val="24"/>
          <w:szCs w:val="24"/>
        </w:rPr>
        <w:t>subsample</w:t>
      </w:r>
      <w:r w:rsidR="00B96B48">
        <w:rPr>
          <w:rFonts w:ascii="Times New Roman" w:hAnsi="Times New Roman" w:cs="Times New Roman"/>
          <w:sz w:val="24"/>
          <w:szCs w:val="24"/>
        </w:rPr>
        <w:t>s</w:t>
      </w:r>
      <w:r w:rsidR="007D21B3">
        <w:rPr>
          <w:rFonts w:ascii="Times New Roman" w:hAnsi="Times New Roman" w:cs="Times New Roman"/>
          <w:sz w:val="24"/>
          <w:szCs w:val="24"/>
        </w:rPr>
        <w:t xml:space="preserve"> #4</w:t>
      </w:r>
      <w:r w:rsidR="00D628D6">
        <w:rPr>
          <w:rFonts w:ascii="Times New Roman" w:hAnsi="Times New Roman" w:cs="Times New Roman"/>
          <w:sz w:val="24"/>
          <w:szCs w:val="24"/>
        </w:rPr>
        <w:t xml:space="preserve"> and #5</w:t>
      </w:r>
      <w:r w:rsidR="00191BF2">
        <w:rPr>
          <w:rFonts w:ascii="Times New Roman" w:hAnsi="Times New Roman" w:cs="Times New Roman"/>
          <w:sz w:val="24"/>
          <w:szCs w:val="24"/>
        </w:rPr>
        <w:t xml:space="preserve">. </w:t>
      </w:r>
      <w:r w:rsidR="00A45121">
        <w:rPr>
          <w:rFonts w:ascii="Times New Roman" w:hAnsi="Times New Roman" w:cs="Times New Roman"/>
          <w:sz w:val="24"/>
          <w:szCs w:val="24"/>
        </w:rPr>
        <w:t xml:space="preserve"> </w:t>
      </w:r>
      <w:r w:rsidR="00B96B48">
        <w:rPr>
          <w:rFonts w:ascii="Times New Roman" w:hAnsi="Times New Roman" w:cs="Times New Roman"/>
          <w:sz w:val="24"/>
          <w:szCs w:val="24"/>
        </w:rPr>
        <w:t>LRNC B530</w:t>
      </w:r>
      <w:r w:rsidR="00B96B48" w:rsidRPr="00EF4FE2">
        <w:rPr>
          <w:rFonts w:ascii="Times New Roman" w:hAnsi="Times New Roman" w:cs="Times New Roman"/>
          <w:i/>
          <w:sz w:val="24"/>
          <w:szCs w:val="24"/>
        </w:rPr>
        <w:t>f</w:t>
      </w:r>
      <w:r w:rsidR="00B96B48">
        <w:rPr>
          <w:rFonts w:ascii="Times New Roman" w:hAnsi="Times New Roman" w:cs="Times New Roman"/>
          <w:sz w:val="24"/>
          <w:szCs w:val="24"/>
        </w:rPr>
        <w:t xml:space="preserve"> students continue to have a meaningful advantage over Math B60 students </w:t>
      </w:r>
      <w:r w:rsidR="00191BF2">
        <w:rPr>
          <w:rFonts w:ascii="Times New Roman" w:hAnsi="Times New Roman" w:cs="Times New Roman"/>
          <w:sz w:val="24"/>
          <w:szCs w:val="24"/>
        </w:rPr>
        <w:t>in STEM-track quantitative achievement</w:t>
      </w:r>
      <w:r w:rsidR="00B96B48">
        <w:rPr>
          <w:rFonts w:ascii="Times New Roman" w:hAnsi="Times New Roman" w:cs="Times New Roman"/>
          <w:sz w:val="24"/>
          <w:szCs w:val="24"/>
        </w:rPr>
        <w:t>.</w:t>
      </w:r>
      <w:r w:rsidR="007D21B3">
        <w:rPr>
          <w:rFonts w:ascii="Times New Roman" w:hAnsi="Times New Roman" w:cs="Times New Roman"/>
          <w:sz w:val="24"/>
          <w:szCs w:val="24"/>
        </w:rPr>
        <w:t xml:space="preserve">  </w:t>
      </w:r>
      <w:r w:rsidR="00D628D6">
        <w:rPr>
          <w:rFonts w:ascii="Times New Roman" w:hAnsi="Times New Roman" w:cs="Times New Roman"/>
          <w:sz w:val="24"/>
          <w:szCs w:val="24"/>
        </w:rPr>
        <w:t xml:space="preserve">However, </w:t>
      </w:r>
      <w:r w:rsidR="00A45121">
        <w:rPr>
          <w:rFonts w:ascii="Times New Roman" w:hAnsi="Times New Roman" w:cs="Times New Roman"/>
          <w:sz w:val="24"/>
          <w:szCs w:val="24"/>
        </w:rPr>
        <w:t>Math B60 students are much more likely than are Math B65 students to achieve associate- or transfer-level competency (combined), which contradicts the modest differences between these two entry points observed among transfer-seeking students.</w:t>
      </w:r>
      <w:r w:rsidR="007D21B3">
        <w:rPr>
          <w:rFonts w:ascii="Times New Roman" w:hAnsi="Times New Roman" w:cs="Times New Roman"/>
          <w:sz w:val="24"/>
          <w:szCs w:val="24"/>
        </w:rPr>
        <w:t xml:space="preserve"> </w:t>
      </w:r>
      <w:r w:rsidR="00B96B48">
        <w:rPr>
          <w:rFonts w:ascii="Times New Roman" w:hAnsi="Times New Roman" w:cs="Times New Roman"/>
          <w:sz w:val="24"/>
          <w:szCs w:val="24"/>
        </w:rPr>
        <w:t xml:space="preserve"> </w:t>
      </w:r>
    </w:p>
    <w:p w14:paraId="38803082" w14:textId="77777777" w:rsidR="00393E58" w:rsidRDefault="00393E58" w:rsidP="008967F8">
      <w:pPr>
        <w:spacing w:after="0" w:line="240" w:lineRule="auto"/>
        <w:rPr>
          <w:rFonts w:ascii="Times New Roman" w:hAnsi="Times New Roman" w:cs="Times New Roman"/>
          <w:sz w:val="24"/>
          <w:szCs w:val="24"/>
        </w:rPr>
      </w:pPr>
    </w:p>
    <w:p w14:paraId="28D1C4B1" w14:textId="6B7346A2" w:rsidR="00393E58" w:rsidRDefault="00D628D6" w:rsidP="008967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Subsample #6 includes non-transfer-seeking students who were successful in the first attempt of their first math course and took a second course that, in combination with the first course, placed them on a </w:t>
      </w:r>
      <w:r w:rsidR="00462783">
        <w:rPr>
          <w:rFonts w:ascii="Times New Roman" w:hAnsi="Times New Roman" w:cs="Times New Roman"/>
          <w:sz w:val="24"/>
          <w:szCs w:val="24"/>
        </w:rPr>
        <w:t xml:space="preserve">common </w:t>
      </w:r>
      <w:r>
        <w:rPr>
          <w:rFonts w:ascii="Times New Roman" w:hAnsi="Times New Roman" w:cs="Times New Roman"/>
          <w:sz w:val="24"/>
          <w:szCs w:val="24"/>
        </w:rPr>
        <w:t>math pathway</w:t>
      </w:r>
      <w:r w:rsidR="00191BF2">
        <w:rPr>
          <w:rFonts w:ascii="Times New Roman" w:hAnsi="Times New Roman" w:cs="Times New Roman"/>
          <w:sz w:val="24"/>
          <w:szCs w:val="24"/>
        </w:rPr>
        <w:t>,</w:t>
      </w:r>
      <w:r>
        <w:rPr>
          <w:rFonts w:ascii="Times New Roman" w:hAnsi="Times New Roman" w:cs="Times New Roman"/>
          <w:sz w:val="24"/>
          <w:szCs w:val="24"/>
        </w:rPr>
        <w:t xml:space="preserve"> as defined in this study.  Students who entered through Math B65 were excluded from </w:t>
      </w:r>
      <w:r w:rsidR="00462783">
        <w:rPr>
          <w:rFonts w:ascii="Times New Roman" w:hAnsi="Times New Roman" w:cs="Times New Roman"/>
          <w:sz w:val="24"/>
          <w:szCs w:val="24"/>
        </w:rPr>
        <w:t xml:space="preserve">all of </w:t>
      </w:r>
      <w:r>
        <w:rPr>
          <w:rFonts w:ascii="Times New Roman" w:hAnsi="Times New Roman" w:cs="Times New Roman"/>
          <w:sz w:val="24"/>
          <w:szCs w:val="24"/>
        </w:rPr>
        <w:t xml:space="preserve">these regression models </w:t>
      </w:r>
      <w:r w:rsidR="00A45121">
        <w:rPr>
          <w:rFonts w:ascii="Times New Roman" w:hAnsi="Times New Roman" w:cs="Times New Roman"/>
          <w:sz w:val="24"/>
          <w:szCs w:val="24"/>
        </w:rPr>
        <w:t xml:space="preserve">because the numbers of students </w:t>
      </w:r>
      <w:r>
        <w:rPr>
          <w:rFonts w:ascii="Times New Roman" w:hAnsi="Times New Roman" w:cs="Times New Roman"/>
          <w:sz w:val="24"/>
          <w:szCs w:val="24"/>
        </w:rPr>
        <w:t xml:space="preserve">achieving the outcomes </w:t>
      </w:r>
      <w:r w:rsidR="00462783">
        <w:rPr>
          <w:rFonts w:ascii="Times New Roman" w:hAnsi="Times New Roman" w:cs="Times New Roman"/>
          <w:sz w:val="24"/>
          <w:szCs w:val="24"/>
        </w:rPr>
        <w:t xml:space="preserve">of interest </w:t>
      </w:r>
      <w:r w:rsidR="00A45121">
        <w:rPr>
          <w:rFonts w:ascii="Times New Roman" w:hAnsi="Times New Roman" w:cs="Times New Roman"/>
          <w:sz w:val="24"/>
          <w:szCs w:val="24"/>
        </w:rPr>
        <w:t xml:space="preserve">were </w:t>
      </w:r>
      <w:r>
        <w:rPr>
          <w:rFonts w:ascii="Times New Roman" w:hAnsi="Times New Roman" w:cs="Times New Roman"/>
          <w:sz w:val="24"/>
          <w:szCs w:val="24"/>
        </w:rPr>
        <w:t xml:space="preserve">either </w:t>
      </w:r>
      <w:r w:rsidR="00A45121">
        <w:rPr>
          <w:rFonts w:ascii="Times New Roman" w:hAnsi="Times New Roman" w:cs="Times New Roman"/>
          <w:sz w:val="24"/>
          <w:szCs w:val="24"/>
        </w:rPr>
        <w:t>too low</w:t>
      </w:r>
      <w:r w:rsidR="00462783">
        <w:rPr>
          <w:rFonts w:ascii="Times New Roman" w:hAnsi="Times New Roman" w:cs="Times New Roman"/>
          <w:sz w:val="24"/>
          <w:szCs w:val="24"/>
        </w:rPr>
        <w:t xml:space="preserve"> or too high</w:t>
      </w:r>
      <w:r w:rsidR="00A45121">
        <w:rPr>
          <w:rFonts w:ascii="Times New Roman" w:hAnsi="Times New Roman" w:cs="Times New Roman"/>
          <w:sz w:val="24"/>
          <w:szCs w:val="24"/>
        </w:rPr>
        <w:t xml:space="preserve"> to support the analysis</w:t>
      </w:r>
      <w:r w:rsidR="00462783">
        <w:rPr>
          <w:rFonts w:ascii="Times New Roman" w:hAnsi="Times New Roman" w:cs="Times New Roman"/>
          <w:sz w:val="24"/>
          <w:szCs w:val="24"/>
        </w:rPr>
        <w:t xml:space="preserve">.  None of the Math B65-B22 students who passed their first math course on the first attempt achieved any of the three outcomes.  None of the Math B65-Psyc B5 students who passed their first math course on the first attempt achieved STEM-track competency, but all of them achieved associate- or transfer-level competency (combined) and transfer-level competency (separately from associate-level). </w:t>
      </w:r>
    </w:p>
    <w:p w14:paraId="0631CE1C" w14:textId="038D68AC" w:rsidR="007D21B3" w:rsidRDefault="007D21B3" w:rsidP="008967F8">
      <w:pPr>
        <w:spacing w:after="0" w:line="240" w:lineRule="auto"/>
        <w:rPr>
          <w:rFonts w:ascii="Times New Roman" w:hAnsi="Times New Roman" w:cs="Times New Roman"/>
          <w:sz w:val="24"/>
          <w:szCs w:val="24"/>
        </w:rPr>
      </w:pPr>
    </w:p>
    <w:p w14:paraId="62F532BF" w14:textId="429E5A23" w:rsidR="00462783" w:rsidRPr="00427118" w:rsidRDefault="00462783" w:rsidP="00462783">
      <w:pPr>
        <w:spacing w:after="0" w:line="240" w:lineRule="auto"/>
        <w:rPr>
          <w:rFonts w:ascii="Times New Roman" w:hAnsi="Times New Roman" w:cs="Times New Roman"/>
          <w:sz w:val="24"/>
          <w:szCs w:val="24"/>
        </w:rPr>
      </w:pPr>
      <w:r w:rsidRPr="00427118">
        <w:rPr>
          <w:rFonts w:ascii="Times New Roman" w:hAnsi="Times New Roman" w:cs="Times New Roman"/>
          <w:sz w:val="24"/>
          <w:szCs w:val="24"/>
        </w:rPr>
        <w:t>Setting aside these exclusions, one observes that LRNC B530</w:t>
      </w:r>
      <w:r w:rsidRPr="0072729B">
        <w:rPr>
          <w:rFonts w:ascii="Times New Roman" w:hAnsi="Times New Roman" w:cs="Times New Roman"/>
          <w:i/>
          <w:sz w:val="24"/>
          <w:szCs w:val="24"/>
        </w:rPr>
        <w:t>f</w:t>
      </w:r>
      <w:r w:rsidRPr="00427118">
        <w:rPr>
          <w:rFonts w:ascii="Times New Roman" w:hAnsi="Times New Roman" w:cs="Times New Roman"/>
          <w:sz w:val="24"/>
          <w:szCs w:val="24"/>
        </w:rPr>
        <w:t>-B530</w:t>
      </w:r>
      <w:r w:rsidRPr="0072729B">
        <w:rPr>
          <w:rFonts w:ascii="Times New Roman" w:hAnsi="Times New Roman" w:cs="Times New Roman"/>
          <w:i/>
          <w:sz w:val="24"/>
          <w:szCs w:val="24"/>
        </w:rPr>
        <w:t>s</w:t>
      </w:r>
      <w:r w:rsidRPr="00427118">
        <w:rPr>
          <w:rFonts w:ascii="Times New Roman" w:hAnsi="Times New Roman" w:cs="Times New Roman"/>
          <w:sz w:val="24"/>
          <w:szCs w:val="24"/>
        </w:rPr>
        <w:t xml:space="preserve"> students who passed their first math course on the first attempt are only slightly more likely to achieve associate- or transfer-level competency (combined) than are Math B60</w:t>
      </w:r>
      <w:r w:rsidR="00A45121">
        <w:rPr>
          <w:rFonts w:ascii="Times New Roman" w:hAnsi="Times New Roman" w:cs="Times New Roman"/>
          <w:sz w:val="24"/>
          <w:szCs w:val="24"/>
        </w:rPr>
        <w:t>-B70</w:t>
      </w:r>
      <w:r w:rsidRPr="00427118">
        <w:rPr>
          <w:rFonts w:ascii="Times New Roman" w:hAnsi="Times New Roman" w:cs="Times New Roman"/>
          <w:sz w:val="24"/>
          <w:szCs w:val="24"/>
        </w:rPr>
        <w:t xml:space="preserve"> students, and the two </w:t>
      </w:r>
      <w:r w:rsidR="00A45121">
        <w:rPr>
          <w:rFonts w:ascii="Times New Roman" w:hAnsi="Times New Roman" w:cs="Times New Roman"/>
          <w:sz w:val="24"/>
          <w:szCs w:val="24"/>
        </w:rPr>
        <w:t xml:space="preserve">groups </w:t>
      </w:r>
      <w:r w:rsidRPr="00427118">
        <w:rPr>
          <w:rFonts w:ascii="Times New Roman" w:hAnsi="Times New Roman" w:cs="Times New Roman"/>
          <w:sz w:val="24"/>
          <w:szCs w:val="24"/>
        </w:rPr>
        <w:t xml:space="preserve">are about equally likely to achieve STEM-track competency.  </w:t>
      </w:r>
      <w:r w:rsidR="00A45121">
        <w:rPr>
          <w:rFonts w:ascii="Times New Roman" w:hAnsi="Times New Roman" w:cs="Times New Roman"/>
          <w:sz w:val="24"/>
          <w:szCs w:val="24"/>
        </w:rPr>
        <w:t>Conversely</w:t>
      </w:r>
      <w:r w:rsidRPr="00427118">
        <w:rPr>
          <w:rFonts w:ascii="Times New Roman" w:hAnsi="Times New Roman" w:cs="Times New Roman"/>
          <w:sz w:val="24"/>
          <w:szCs w:val="24"/>
        </w:rPr>
        <w:t>, LRNC B530</w:t>
      </w:r>
      <w:r w:rsidRPr="00427118">
        <w:rPr>
          <w:rFonts w:ascii="Times New Roman" w:hAnsi="Times New Roman" w:cs="Times New Roman"/>
          <w:i/>
          <w:sz w:val="24"/>
          <w:szCs w:val="24"/>
        </w:rPr>
        <w:t>f</w:t>
      </w:r>
      <w:r w:rsidRPr="00427118">
        <w:rPr>
          <w:rFonts w:ascii="Times New Roman" w:hAnsi="Times New Roman" w:cs="Times New Roman"/>
          <w:sz w:val="24"/>
          <w:szCs w:val="24"/>
        </w:rPr>
        <w:t>-B530</w:t>
      </w:r>
      <w:r w:rsidRPr="00427118">
        <w:rPr>
          <w:rFonts w:ascii="Times New Roman" w:hAnsi="Times New Roman" w:cs="Times New Roman"/>
          <w:i/>
          <w:sz w:val="24"/>
          <w:szCs w:val="24"/>
        </w:rPr>
        <w:t>s</w:t>
      </w:r>
      <w:r w:rsidRPr="0072729B">
        <w:rPr>
          <w:rFonts w:ascii="Times New Roman" w:hAnsi="Times New Roman" w:cs="Times New Roman"/>
          <w:sz w:val="24"/>
          <w:szCs w:val="24"/>
        </w:rPr>
        <w:t xml:space="preserve"> are much more likely than are Math </w:t>
      </w:r>
      <w:r w:rsidR="00A45121" w:rsidRPr="00427118">
        <w:rPr>
          <w:rFonts w:ascii="Times New Roman" w:hAnsi="Times New Roman" w:cs="Times New Roman"/>
          <w:sz w:val="24"/>
          <w:szCs w:val="24"/>
        </w:rPr>
        <w:t>B60</w:t>
      </w:r>
      <w:r w:rsidR="00A45121">
        <w:rPr>
          <w:rFonts w:ascii="Times New Roman" w:hAnsi="Times New Roman" w:cs="Times New Roman"/>
          <w:sz w:val="24"/>
          <w:szCs w:val="24"/>
        </w:rPr>
        <w:t xml:space="preserve">-B70 </w:t>
      </w:r>
      <w:r w:rsidRPr="0072729B">
        <w:rPr>
          <w:rFonts w:ascii="Times New Roman" w:hAnsi="Times New Roman" w:cs="Times New Roman"/>
          <w:sz w:val="24"/>
          <w:szCs w:val="24"/>
        </w:rPr>
        <w:t xml:space="preserve">students </w:t>
      </w:r>
      <w:r w:rsidR="00427118" w:rsidRPr="0072729B">
        <w:rPr>
          <w:rFonts w:ascii="Times New Roman" w:hAnsi="Times New Roman" w:cs="Times New Roman"/>
          <w:sz w:val="24"/>
          <w:szCs w:val="24"/>
        </w:rPr>
        <w:t>to achieve transfer-level competency (separate from associate-level</w:t>
      </w:r>
      <w:r w:rsidR="00D6046F">
        <w:rPr>
          <w:rFonts w:ascii="Times New Roman" w:hAnsi="Times New Roman" w:cs="Times New Roman"/>
          <w:sz w:val="24"/>
          <w:szCs w:val="24"/>
        </w:rPr>
        <w:t xml:space="preserve"> competency</w:t>
      </w:r>
      <w:r w:rsidR="00427118" w:rsidRPr="0072729B">
        <w:rPr>
          <w:rFonts w:ascii="Times New Roman" w:hAnsi="Times New Roman" w:cs="Times New Roman"/>
          <w:sz w:val="24"/>
          <w:szCs w:val="24"/>
        </w:rPr>
        <w:t>).</w:t>
      </w:r>
    </w:p>
    <w:p w14:paraId="682288AA" w14:textId="77777777" w:rsidR="00776216" w:rsidRDefault="00776216">
      <w:pPr>
        <w:spacing w:after="0" w:line="240" w:lineRule="auto"/>
        <w:rPr>
          <w:rFonts w:ascii="Times New Roman" w:hAnsi="Times New Roman" w:cs="Times New Roman"/>
          <w:strike/>
          <w:sz w:val="24"/>
          <w:szCs w:val="24"/>
        </w:rPr>
      </w:pPr>
    </w:p>
    <w:p w14:paraId="3276E6CD" w14:textId="01C9E76B" w:rsidR="004F61FA" w:rsidRPr="00347697" w:rsidRDefault="004F61FA" w:rsidP="004F61FA">
      <w:pPr>
        <w:spacing w:after="0" w:line="240" w:lineRule="auto"/>
        <w:rPr>
          <w:rFonts w:ascii="Times New Roman" w:hAnsi="Times New Roman" w:cs="Times New Roman"/>
          <w:b/>
          <w:sz w:val="24"/>
          <w:szCs w:val="24"/>
          <w:u w:val="single"/>
        </w:rPr>
      </w:pPr>
      <w:r w:rsidRPr="00347697">
        <w:rPr>
          <w:rFonts w:ascii="Times New Roman" w:hAnsi="Times New Roman" w:cs="Times New Roman"/>
          <w:b/>
          <w:sz w:val="24"/>
          <w:szCs w:val="24"/>
          <w:u w:val="single"/>
        </w:rPr>
        <w:t xml:space="preserve">SECTION </w:t>
      </w:r>
      <w:r w:rsidR="00A90080" w:rsidRPr="00347697">
        <w:rPr>
          <w:rFonts w:ascii="Times New Roman" w:hAnsi="Times New Roman" w:cs="Times New Roman"/>
          <w:b/>
          <w:sz w:val="24"/>
          <w:szCs w:val="24"/>
          <w:u w:val="single"/>
        </w:rPr>
        <w:t>6</w:t>
      </w:r>
      <w:r w:rsidRPr="00347697">
        <w:rPr>
          <w:rFonts w:ascii="Times New Roman" w:hAnsi="Times New Roman" w:cs="Times New Roman"/>
          <w:b/>
          <w:sz w:val="24"/>
          <w:szCs w:val="24"/>
          <w:u w:val="single"/>
        </w:rPr>
        <w:t xml:space="preserve">:  ANALYSIS OF DEVELOPMENTAL </w:t>
      </w:r>
      <w:r w:rsidR="000B6413" w:rsidRPr="00347697">
        <w:rPr>
          <w:rFonts w:ascii="Times New Roman" w:hAnsi="Times New Roman" w:cs="Times New Roman"/>
          <w:b/>
          <w:sz w:val="24"/>
          <w:szCs w:val="24"/>
          <w:u w:val="single"/>
        </w:rPr>
        <w:t xml:space="preserve">ENGLISH </w:t>
      </w:r>
      <w:r w:rsidRPr="00347697">
        <w:rPr>
          <w:rFonts w:ascii="Times New Roman" w:hAnsi="Times New Roman" w:cs="Times New Roman"/>
          <w:b/>
          <w:sz w:val="24"/>
          <w:szCs w:val="24"/>
          <w:u w:val="single"/>
        </w:rPr>
        <w:t>PATHWAYS</w:t>
      </w:r>
    </w:p>
    <w:p w14:paraId="16811B72" w14:textId="77777777" w:rsidR="004F61FA" w:rsidRPr="00347697" w:rsidRDefault="004F61FA" w:rsidP="004F61FA">
      <w:pPr>
        <w:spacing w:after="0" w:line="240" w:lineRule="auto"/>
        <w:rPr>
          <w:rFonts w:ascii="Times New Roman" w:hAnsi="Times New Roman" w:cs="Times New Roman"/>
          <w:b/>
          <w:sz w:val="24"/>
          <w:szCs w:val="24"/>
          <w:u w:val="single"/>
        </w:rPr>
      </w:pPr>
    </w:p>
    <w:p w14:paraId="0E05E021" w14:textId="75846D19" w:rsidR="00C43974" w:rsidRPr="00347697" w:rsidRDefault="00A90080" w:rsidP="00C43974">
      <w:pPr>
        <w:spacing w:after="0" w:line="240" w:lineRule="auto"/>
        <w:rPr>
          <w:rFonts w:ascii="Times New Roman" w:hAnsi="Times New Roman" w:cs="Times New Roman"/>
          <w:b/>
          <w:sz w:val="24"/>
          <w:szCs w:val="24"/>
        </w:rPr>
      </w:pPr>
      <w:r w:rsidRPr="00347697">
        <w:rPr>
          <w:rFonts w:ascii="Times New Roman" w:hAnsi="Times New Roman" w:cs="Times New Roman"/>
          <w:b/>
          <w:sz w:val="24"/>
          <w:szCs w:val="24"/>
        </w:rPr>
        <w:t>6</w:t>
      </w:r>
      <w:r w:rsidR="00C43974" w:rsidRPr="00347697">
        <w:rPr>
          <w:rFonts w:ascii="Times New Roman" w:hAnsi="Times New Roman" w:cs="Times New Roman"/>
          <w:b/>
          <w:sz w:val="24"/>
          <w:szCs w:val="24"/>
        </w:rPr>
        <w:t>.1</w:t>
      </w:r>
      <w:r w:rsidR="008322BA" w:rsidRPr="00347697">
        <w:rPr>
          <w:rFonts w:ascii="Times New Roman" w:hAnsi="Times New Roman" w:cs="Times New Roman"/>
          <w:b/>
          <w:sz w:val="24"/>
          <w:szCs w:val="24"/>
        </w:rPr>
        <w:t xml:space="preserve"> Analytical </w:t>
      </w:r>
      <w:r w:rsidR="00C43974" w:rsidRPr="00347697">
        <w:rPr>
          <w:rFonts w:ascii="Times New Roman" w:hAnsi="Times New Roman" w:cs="Times New Roman"/>
          <w:b/>
          <w:sz w:val="24"/>
          <w:szCs w:val="24"/>
        </w:rPr>
        <w:t>Focus</w:t>
      </w:r>
    </w:p>
    <w:p w14:paraId="2E3691FD" w14:textId="77777777" w:rsidR="008322BA" w:rsidRPr="00347697" w:rsidRDefault="008322BA" w:rsidP="004F61FA">
      <w:pPr>
        <w:spacing w:after="0" w:line="240" w:lineRule="auto"/>
        <w:rPr>
          <w:rFonts w:ascii="Times New Roman" w:hAnsi="Times New Roman" w:cs="Times New Roman"/>
          <w:sz w:val="24"/>
          <w:szCs w:val="24"/>
        </w:rPr>
      </w:pPr>
    </w:p>
    <w:p w14:paraId="0433FBC0" w14:textId="3E831748" w:rsidR="008322BA" w:rsidRPr="00347697" w:rsidRDefault="008322BA" w:rsidP="008322BA">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BC currently offers five developmental English courses:</w:t>
      </w:r>
    </w:p>
    <w:p w14:paraId="594D99C3" w14:textId="372A1CB1" w:rsidR="008322BA" w:rsidRPr="00347697" w:rsidRDefault="008322BA" w:rsidP="00EF6CD7">
      <w:pPr>
        <w:pStyle w:val="ListParagraph"/>
        <w:numPr>
          <w:ilvl w:val="0"/>
          <w:numId w:val="4"/>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ACDV B80 – </w:t>
      </w:r>
      <w:r w:rsidR="007D2B49" w:rsidRPr="00347697">
        <w:rPr>
          <w:rFonts w:ascii="Times New Roman" w:hAnsi="Times New Roman" w:cs="Times New Roman"/>
          <w:sz w:val="24"/>
          <w:szCs w:val="24"/>
        </w:rPr>
        <w:t xml:space="preserve">Foundations of College Composition and Reading (three levels below </w:t>
      </w:r>
      <w:r w:rsidR="00CD5BE6" w:rsidRPr="00347697">
        <w:rPr>
          <w:rFonts w:ascii="Times New Roman" w:hAnsi="Times New Roman" w:cs="Times New Roman"/>
          <w:sz w:val="24"/>
          <w:szCs w:val="24"/>
        </w:rPr>
        <w:t>transfer</w:t>
      </w:r>
      <w:r w:rsidR="007D2B49" w:rsidRPr="00347697">
        <w:rPr>
          <w:rFonts w:ascii="Times New Roman" w:hAnsi="Times New Roman" w:cs="Times New Roman"/>
          <w:sz w:val="24"/>
          <w:szCs w:val="24"/>
        </w:rPr>
        <w:t>-level)</w:t>
      </w:r>
    </w:p>
    <w:p w14:paraId="1110C3B5" w14:textId="7DC4A72D" w:rsidR="008322BA" w:rsidRPr="00347697" w:rsidRDefault="007D2B49" w:rsidP="00EF6CD7">
      <w:pPr>
        <w:pStyle w:val="ListParagraph"/>
        <w:numPr>
          <w:ilvl w:val="0"/>
          <w:numId w:val="4"/>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Engl</w:t>
      </w:r>
      <w:r w:rsidR="008322BA" w:rsidRPr="00347697">
        <w:rPr>
          <w:rFonts w:ascii="Times New Roman" w:hAnsi="Times New Roman" w:cs="Times New Roman"/>
          <w:sz w:val="24"/>
          <w:szCs w:val="24"/>
        </w:rPr>
        <w:t xml:space="preserve"> B60 – </w:t>
      </w:r>
      <w:r w:rsidRPr="00347697">
        <w:rPr>
          <w:rFonts w:ascii="Times New Roman" w:hAnsi="Times New Roman" w:cs="Times New Roman"/>
          <w:sz w:val="24"/>
          <w:szCs w:val="24"/>
        </w:rPr>
        <w:t xml:space="preserve">Basic Writing Skills (two levels below </w:t>
      </w:r>
      <w:r w:rsidR="00CD5BE6" w:rsidRPr="00347697">
        <w:rPr>
          <w:rFonts w:ascii="Times New Roman" w:hAnsi="Times New Roman" w:cs="Times New Roman"/>
          <w:sz w:val="24"/>
          <w:szCs w:val="24"/>
        </w:rPr>
        <w:t>transfer</w:t>
      </w:r>
      <w:r w:rsidRPr="00347697">
        <w:rPr>
          <w:rFonts w:ascii="Times New Roman" w:hAnsi="Times New Roman" w:cs="Times New Roman"/>
          <w:sz w:val="24"/>
          <w:szCs w:val="24"/>
        </w:rPr>
        <w:t>-level)</w:t>
      </w:r>
    </w:p>
    <w:p w14:paraId="4B309F84" w14:textId="59473EA1" w:rsidR="008322BA" w:rsidRPr="00347697" w:rsidRDefault="007D2B49" w:rsidP="00EF6CD7">
      <w:pPr>
        <w:pStyle w:val="ListParagraph"/>
        <w:numPr>
          <w:ilvl w:val="0"/>
          <w:numId w:val="4"/>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lastRenderedPageBreak/>
        <w:t xml:space="preserve">Engl </w:t>
      </w:r>
      <w:r w:rsidR="008322BA" w:rsidRPr="00347697">
        <w:rPr>
          <w:rFonts w:ascii="Times New Roman" w:hAnsi="Times New Roman" w:cs="Times New Roman"/>
          <w:sz w:val="24"/>
          <w:szCs w:val="24"/>
        </w:rPr>
        <w:t>B</w:t>
      </w:r>
      <w:r w:rsidRPr="00347697">
        <w:rPr>
          <w:rFonts w:ascii="Times New Roman" w:hAnsi="Times New Roman" w:cs="Times New Roman"/>
          <w:sz w:val="24"/>
          <w:szCs w:val="24"/>
        </w:rPr>
        <w:t>5</w:t>
      </w:r>
      <w:r w:rsidR="008322BA" w:rsidRPr="00347697">
        <w:rPr>
          <w:rFonts w:ascii="Times New Roman" w:hAnsi="Times New Roman" w:cs="Times New Roman"/>
          <w:sz w:val="24"/>
          <w:szCs w:val="24"/>
        </w:rPr>
        <w:t xml:space="preserve">0 – </w:t>
      </w:r>
      <w:r w:rsidRPr="00347697">
        <w:rPr>
          <w:rFonts w:ascii="Times New Roman" w:hAnsi="Times New Roman" w:cs="Times New Roman"/>
          <w:sz w:val="24"/>
          <w:szCs w:val="24"/>
        </w:rPr>
        <w:t xml:space="preserve">Introduction to College Composition (one level below </w:t>
      </w:r>
      <w:r w:rsidR="00CD5BE6" w:rsidRPr="00347697">
        <w:rPr>
          <w:rFonts w:ascii="Times New Roman" w:hAnsi="Times New Roman" w:cs="Times New Roman"/>
          <w:sz w:val="24"/>
          <w:szCs w:val="24"/>
        </w:rPr>
        <w:t>transfer</w:t>
      </w:r>
      <w:r w:rsidRPr="00347697">
        <w:rPr>
          <w:rFonts w:ascii="Times New Roman" w:hAnsi="Times New Roman" w:cs="Times New Roman"/>
          <w:sz w:val="24"/>
          <w:szCs w:val="24"/>
        </w:rPr>
        <w:t>-level)</w:t>
      </w:r>
    </w:p>
    <w:p w14:paraId="23645D9A" w14:textId="571DB1B9" w:rsidR="008322BA" w:rsidRPr="00347697" w:rsidRDefault="007D2B49" w:rsidP="00EF6CD7">
      <w:pPr>
        <w:pStyle w:val="ListParagraph"/>
        <w:numPr>
          <w:ilvl w:val="0"/>
          <w:numId w:val="4"/>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Engl</w:t>
      </w:r>
      <w:r w:rsidR="008322BA" w:rsidRPr="00347697">
        <w:rPr>
          <w:rFonts w:ascii="Times New Roman" w:hAnsi="Times New Roman" w:cs="Times New Roman"/>
          <w:sz w:val="24"/>
          <w:szCs w:val="24"/>
        </w:rPr>
        <w:t xml:space="preserve"> B</w:t>
      </w:r>
      <w:r w:rsidRPr="00347697">
        <w:rPr>
          <w:rFonts w:ascii="Times New Roman" w:hAnsi="Times New Roman" w:cs="Times New Roman"/>
          <w:sz w:val="24"/>
          <w:szCs w:val="24"/>
        </w:rPr>
        <w:t>53</w:t>
      </w:r>
      <w:r w:rsidR="008322BA" w:rsidRPr="00347697">
        <w:rPr>
          <w:rFonts w:ascii="Times New Roman" w:hAnsi="Times New Roman" w:cs="Times New Roman"/>
          <w:sz w:val="24"/>
          <w:szCs w:val="24"/>
        </w:rPr>
        <w:t xml:space="preserve"> – </w:t>
      </w:r>
      <w:r w:rsidRPr="00347697">
        <w:rPr>
          <w:rFonts w:ascii="Times New Roman" w:hAnsi="Times New Roman" w:cs="Times New Roman"/>
          <w:sz w:val="24"/>
          <w:szCs w:val="24"/>
        </w:rPr>
        <w:t>Reading, Reasoning, and Writing (an accelerated course covering Engl B60 and Engl B50 in a single term)</w:t>
      </w:r>
    </w:p>
    <w:p w14:paraId="5C679DD5" w14:textId="1AB6EA74" w:rsidR="008322BA" w:rsidRPr="00347697" w:rsidRDefault="008322BA" w:rsidP="00EF6CD7">
      <w:pPr>
        <w:pStyle w:val="ListParagraph"/>
        <w:numPr>
          <w:ilvl w:val="0"/>
          <w:numId w:val="4"/>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LRNC B5</w:t>
      </w:r>
      <w:r w:rsidR="007D2B49" w:rsidRPr="00347697">
        <w:rPr>
          <w:rFonts w:ascii="Times New Roman" w:hAnsi="Times New Roman" w:cs="Times New Roman"/>
          <w:sz w:val="24"/>
          <w:szCs w:val="24"/>
        </w:rPr>
        <w:t>1</w:t>
      </w:r>
      <w:r w:rsidRPr="00347697">
        <w:rPr>
          <w:rFonts w:ascii="Times New Roman" w:hAnsi="Times New Roman" w:cs="Times New Roman"/>
          <w:sz w:val="24"/>
          <w:szCs w:val="24"/>
        </w:rPr>
        <w:t xml:space="preserve">0 – a compressed course consisting of </w:t>
      </w:r>
      <w:r w:rsidR="007D2B49" w:rsidRPr="00347697">
        <w:rPr>
          <w:rFonts w:ascii="Times New Roman" w:hAnsi="Times New Roman" w:cs="Times New Roman"/>
          <w:sz w:val="24"/>
          <w:szCs w:val="24"/>
        </w:rPr>
        <w:t>Engl 50 and Engl B1A (</w:t>
      </w:r>
      <w:r w:rsidR="00CD5BE6" w:rsidRPr="00347697">
        <w:rPr>
          <w:rFonts w:ascii="Times New Roman" w:hAnsi="Times New Roman" w:cs="Times New Roman"/>
          <w:sz w:val="24"/>
          <w:szCs w:val="24"/>
        </w:rPr>
        <w:t>transfer-level</w:t>
      </w:r>
      <w:r w:rsidR="007D2B49" w:rsidRPr="00347697">
        <w:rPr>
          <w:rFonts w:ascii="Times New Roman" w:hAnsi="Times New Roman" w:cs="Times New Roman"/>
          <w:sz w:val="24"/>
          <w:szCs w:val="24"/>
        </w:rPr>
        <w:t xml:space="preserve"> </w:t>
      </w:r>
      <w:r w:rsidR="00CD5BE6" w:rsidRPr="00347697">
        <w:rPr>
          <w:rFonts w:ascii="Times New Roman" w:hAnsi="Times New Roman" w:cs="Times New Roman"/>
          <w:sz w:val="24"/>
          <w:szCs w:val="24"/>
        </w:rPr>
        <w:t>E</w:t>
      </w:r>
      <w:r w:rsidR="007D2B49" w:rsidRPr="00347697">
        <w:rPr>
          <w:rFonts w:ascii="Times New Roman" w:hAnsi="Times New Roman" w:cs="Times New Roman"/>
          <w:sz w:val="24"/>
          <w:szCs w:val="24"/>
        </w:rPr>
        <w:t xml:space="preserve">xpository </w:t>
      </w:r>
      <w:r w:rsidR="00CD5BE6" w:rsidRPr="00347697">
        <w:rPr>
          <w:rFonts w:ascii="Times New Roman" w:hAnsi="Times New Roman" w:cs="Times New Roman"/>
          <w:sz w:val="24"/>
          <w:szCs w:val="24"/>
        </w:rPr>
        <w:t>C</w:t>
      </w:r>
      <w:r w:rsidR="007D2B49" w:rsidRPr="00347697">
        <w:rPr>
          <w:rFonts w:ascii="Times New Roman" w:hAnsi="Times New Roman" w:cs="Times New Roman"/>
          <w:sz w:val="24"/>
          <w:szCs w:val="24"/>
        </w:rPr>
        <w:t>omposition)</w:t>
      </w:r>
      <w:r w:rsidRPr="00347697">
        <w:rPr>
          <w:rFonts w:ascii="Times New Roman" w:hAnsi="Times New Roman" w:cs="Times New Roman"/>
          <w:sz w:val="24"/>
          <w:szCs w:val="24"/>
        </w:rPr>
        <w:t xml:space="preserve">, offered in succession in a single term </w:t>
      </w:r>
    </w:p>
    <w:p w14:paraId="177B7EAE" w14:textId="77777777" w:rsidR="00692C2E" w:rsidRPr="00347697" w:rsidRDefault="00692C2E" w:rsidP="008322BA">
      <w:pPr>
        <w:spacing w:after="0" w:line="240" w:lineRule="auto"/>
        <w:rPr>
          <w:rFonts w:ascii="Times New Roman" w:hAnsi="Times New Roman" w:cs="Times New Roman"/>
          <w:sz w:val="24"/>
          <w:szCs w:val="24"/>
        </w:rPr>
      </w:pPr>
    </w:p>
    <w:p w14:paraId="5094B819" w14:textId="512AE4C2" w:rsidR="008322BA" w:rsidRPr="00347697" w:rsidRDefault="008322BA" w:rsidP="008322BA">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This study focuses primarily on </w:t>
      </w:r>
      <w:r w:rsidR="00A53A82" w:rsidRPr="00347697">
        <w:rPr>
          <w:rFonts w:ascii="Times New Roman" w:hAnsi="Times New Roman" w:cs="Times New Roman"/>
          <w:sz w:val="24"/>
          <w:szCs w:val="24"/>
        </w:rPr>
        <w:t>two comparisons:</w:t>
      </w:r>
      <w:r w:rsidR="00A53A82" w:rsidRPr="00347697">
        <w:rPr>
          <w:rFonts w:ascii="Times New Roman" w:hAnsi="Times New Roman" w:cs="Times New Roman"/>
          <w:i/>
          <w:sz w:val="24"/>
          <w:szCs w:val="24"/>
        </w:rPr>
        <w:t xml:space="preserve">  (1) </w:t>
      </w:r>
      <w:r w:rsidRPr="00347697">
        <w:rPr>
          <w:rFonts w:ascii="Times New Roman" w:hAnsi="Times New Roman" w:cs="Times New Roman"/>
          <w:i/>
          <w:sz w:val="24"/>
          <w:szCs w:val="24"/>
        </w:rPr>
        <w:t xml:space="preserve">students who entered the </w:t>
      </w:r>
      <w:r w:rsidR="00A53A82" w:rsidRPr="00347697">
        <w:rPr>
          <w:rFonts w:ascii="Times New Roman" w:hAnsi="Times New Roman" w:cs="Times New Roman"/>
          <w:i/>
          <w:sz w:val="24"/>
          <w:szCs w:val="24"/>
        </w:rPr>
        <w:t xml:space="preserve">English </w:t>
      </w:r>
      <w:r w:rsidRPr="00347697">
        <w:rPr>
          <w:rFonts w:ascii="Times New Roman" w:hAnsi="Times New Roman" w:cs="Times New Roman"/>
          <w:i/>
          <w:sz w:val="24"/>
          <w:szCs w:val="24"/>
        </w:rPr>
        <w:t xml:space="preserve">curriculum through </w:t>
      </w:r>
      <w:r w:rsidR="00A53A82" w:rsidRPr="00347697">
        <w:rPr>
          <w:rFonts w:ascii="Times New Roman" w:hAnsi="Times New Roman" w:cs="Times New Roman"/>
          <w:i/>
          <w:sz w:val="24"/>
          <w:szCs w:val="24"/>
        </w:rPr>
        <w:t>Engl B60 versus Engl B53, and (2) students who entered the English curriculum through Engl B50 versus LRNC B510.</w:t>
      </w:r>
      <w:r w:rsidR="00A53A82" w:rsidRPr="00347697">
        <w:rPr>
          <w:rFonts w:ascii="Times New Roman" w:hAnsi="Times New Roman" w:cs="Times New Roman"/>
          <w:sz w:val="24"/>
          <w:szCs w:val="24"/>
        </w:rPr>
        <w:t xml:space="preserve">  </w:t>
      </w:r>
      <w:r w:rsidR="006924E1" w:rsidRPr="00347697">
        <w:rPr>
          <w:rFonts w:ascii="Times New Roman" w:hAnsi="Times New Roman" w:cs="Times New Roman"/>
          <w:sz w:val="24"/>
          <w:szCs w:val="24"/>
        </w:rPr>
        <w:t>N</w:t>
      </w:r>
      <w:r w:rsidR="00692C2E" w:rsidRPr="00347697">
        <w:rPr>
          <w:rFonts w:ascii="Times New Roman" w:hAnsi="Times New Roman" w:cs="Times New Roman"/>
          <w:sz w:val="24"/>
          <w:szCs w:val="24"/>
        </w:rPr>
        <w:t xml:space="preserve">ote that, unlike </w:t>
      </w:r>
      <w:r w:rsidR="006045A1">
        <w:rPr>
          <w:rFonts w:ascii="Times New Roman" w:hAnsi="Times New Roman" w:cs="Times New Roman"/>
          <w:sz w:val="24"/>
          <w:szCs w:val="24"/>
        </w:rPr>
        <w:t>some</w:t>
      </w:r>
      <w:r w:rsidR="006045A1" w:rsidRPr="00347697">
        <w:rPr>
          <w:rFonts w:ascii="Times New Roman" w:hAnsi="Times New Roman" w:cs="Times New Roman"/>
          <w:sz w:val="24"/>
          <w:szCs w:val="24"/>
        </w:rPr>
        <w:t xml:space="preserve"> </w:t>
      </w:r>
      <w:r w:rsidR="00692C2E" w:rsidRPr="00347697">
        <w:rPr>
          <w:rFonts w:ascii="Times New Roman" w:hAnsi="Times New Roman" w:cs="Times New Roman"/>
          <w:sz w:val="24"/>
          <w:szCs w:val="24"/>
        </w:rPr>
        <w:t xml:space="preserve">of the analyses of developmental math, the analyses of developmental English presented here are </w:t>
      </w:r>
      <w:r w:rsidR="00692C2E" w:rsidRPr="00347697">
        <w:rPr>
          <w:rFonts w:ascii="Times New Roman" w:hAnsi="Times New Roman" w:cs="Times New Roman"/>
          <w:i/>
          <w:sz w:val="24"/>
          <w:szCs w:val="24"/>
        </w:rPr>
        <w:t>not</w:t>
      </w:r>
      <w:r w:rsidR="00692C2E" w:rsidRPr="00347697">
        <w:rPr>
          <w:rFonts w:ascii="Times New Roman" w:hAnsi="Times New Roman" w:cs="Times New Roman"/>
          <w:sz w:val="24"/>
          <w:szCs w:val="24"/>
        </w:rPr>
        <w:t xml:space="preserve"> limited to transfer-seeking students</w:t>
      </w:r>
      <w:r w:rsidR="009D7EB2" w:rsidRPr="00347697">
        <w:rPr>
          <w:rFonts w:ascii="Times New Roman" w:hAnsi="Times New Roman" w:cs="Times New Roman"/>
          <w:sz w:val="24"/>
          <w:szCs w:val="24"/>
        </w:rPr>
        <w:t xml:space="preserve">.  </w:t>
      </w:r>
      <w:r w:rsidR="00692C2E" w:rsidRPr="00347697">
        <w:rPr>
          <w:rFonts w:ascii="Times New Roman" w:hAnsi="Times New Roman" w:cs="Times New Roman"/>
          <w:sz w:val="24"/>
          <w:szCs w:val="24"/>
        </w:rPr>
        <w:t xml:space="preserve">This is because </w:t>
      </w:r>
      <w:r w:rsidR="0030228C" w:rsidRPr="00347697">
        <w:rPr>
          <w:rFonts w:ascii="Times New Roman" w:hAnsi="Times New Roman" w:cs="Times New Roman"/>
          <w:sz w:val="24"/>
          <w:szCs w:val="24"/>
        </w:rPr>
        <w:t>the courses that satisfy English competency requirements for an associate’s degree at BC</w:t>
      </w:r>
      <w:r w:rsidR="007E7BF4" w:rsidRPr="00347697">
        <w:rPr>
          <w:rFonts w:ascii="Times New Roman" w:hAnsi="Times New Roman" w:cs="Times New Roman"/>
          <w:sz w:val="24"/>
          <w:szCs w:val="24"/>
        </w:rPr>
        <w:t xml:space="preserve"> also satisfy key English competency requirements for transfer.  </w:t>
      </w:r>
      <w:r w:rsidR="00191BF2">
        <w:rPr>
          <w:rFonts w:ascii="Times New Roman" w:hAnsi="Times New Roman" w:cs="Times New Roman"/>
          <w:sz w:val="24"/>
          <w:szCs w:val="24"/>
        </w:rPr>
        <w:t>F</w:t>
      </w:r>
      <w:r w:rsidR="007E7BF4" w:rsidRPr="00347697">
        <w:rPr>
          <w:rFonts w:ascii="Times New Roman" w:hAnsi="Times New Roman" w:cs="Times New Roman"/>
          <w:sz w:val="24"/>
          <w:szCs w:val="24"/>
        </w:rPr>
        <w:t>or the purposes of this analysis, the achievement of transfer-level English competency is defined as the successful completion (a grad</w:t>
      </w:r>
      <w:r w:rsidR="00E774C0">
        <w:rPr>
          <w:rFonts w:ascii="Times New Roman" w:hAnsi="Times New Roman" w:cs="Times New Roman"/>
          <w:sz w:val="24"/>
          <w:szCs w:val="24"/>
        </w:rPr>
        <w:t>e</w:t>
      </w:r>
      <w:r w:rsidR="007E7BF4" w:rsidRPr="00347697">
        <w:rPr>
          <w:rFonts w:ascii="Times New Roman" w:hAnsi="Times New Roman" w:cs="Times New Roman"/>
          <w:sz w:val="24"/>
          <w:szCs w:val="24"/>
        </w:rPr>
        <w:t xml:space="preserve"> of C or better or a grade of “Pass”) of Engl B1A, Engl B1B, Engl B2, Engl B3, or the second half of LRNC B510</w:t>
      </w:r>
      <w:r w:rsidR="00E774C0">
        <w:rPr>
          <w:rFonts w:ascii="Times New Roman" w:hAnsi="Times New Roman" w:cs="Times New Roman"/>
          <w:sz w:val="24"/>
          <w:szCs w:val="24"/>
        </w:rPr>
        <w:t xml:space="preserve"> (</w:t>
      </w:r>
      <w:r w:rsidR="00E774C0" w:rsidRPr="00347697">
        <w:rPr>
          <w:rFonts w:ascii="Times New Roman" w:hAnsi="Times New Roman" w:cs="Times New Roman"/>
          <w:sz w:val="24"/>
          <w:szCs w:val="24"/>
        </w:rPr>
        <w:t>LRNC B510</w:t>
      </w:r>
      <w:r w:rsidR="00E774C0" w:rsidRPr="0072729B">
        <w:rPr>
          <w:rFonts w:ascii="Times New Roman" w:hAnsi="Times New Roman" w:cs="Times New Roman"/>
          <w:i/>
          <w:sz w:val="24"/>
          <w:szCs w:val="24"/>
        </w:rPr>
        <w:t>s</w:t>
      </w:r>
      <w:r w:rsidR="00E774C0">
        <w:rPr>
          <w:rFonts w:ascii="Times New Roman" w:hAnsi="Times New Roman" w:cs="Times New Roman"/>
          <w:sz w:val="24"/>
          <w:szCs w:val="24"/>
        </w:rPr>
        <w:t>)</w:t>
      </w:r>
      <w:r w:rsidR="007E7BF4" w:rsidRPr="00347697">
        <w:rPr>
          <w:rFonts w:ascii="Times New Roman" w:hAnsi="Times New Roman" w:cs="Times New Roman"/>
          <w:sz w:val="24"/>
          <w:szCs w:val="24"/>
        </w:rPr>
        <w:t>.</w:t>
      </w:r>
      <w:r w:rsidR="00692C2E" w:rsidRPr="00347697">
        <w:rPr>
          <w:rFonts w:ascii="Times New Roman" w:hAnsi="Times New Roman" w:cs="Times New Roman"/>
          <w:sz w:val="24"/>
          <w:szCs w:val="24"/>
        </w:rPr>
        <w:t xml:space="preserve"> </w:t>
      </w:r>
    </w:p>
    <w:p w14:paraId="74678200" w14:textId="77777777" w:rsidR="008322BA" w:rsidRPr="00347697" w:rsidRDefault="008322BA" w:rsidP="008322BA">
      <w:pPr>
        <w:spacing w:after="0" w:line="240" w:lineRule="auto"/>
        <w:ind w:firstLine="720"/>
        <w:rPr>
          <w:rFonts w:ascii="Times New Roman" w:hAnsi="Times New Roman" w:cs="Times New Roman"/>
          <w:sz w:val="24"/>
          <w:szCs w:val="24"/>
        </w:rPr>
      </w:pPr>
    </w:p>
    <w:p w14:paraId="1BFD3545" w14:textId="6401339D" w:rsidR="00CD5BE6" w:rsidRPr="00347697" w:rsidRDefault="00CD5BE6" w:rsidP="00CD5BE6">
      <w:pPr>
        <w:spacing w:after="0" w:line="240" w:lineRule="auto"/>
        <w:rPr>
          <w:rFonts w:ascii="Times New Roman" w:hAnsi="Times New Roman" w:cs="Times New Roman"/>
          <w:sz w:val="24"/>
          <w:szCs w:val="24"/>
        </w:rPr>
      </w:pPr>
      <w:r w:rsidRPr="00347697">
        <w:rPr>
          <w:rFonts w:ascii="Times New Roman" w:hAnsi="Times New Roman" w:cs="Times New Roman"/>
          <w:b/>
          <w:sz w:val="24"/>
          <w:szCs w:val="24"/>
        </w:rPr>
        <w:t>6.2 Students’ Point of Entry to the English Curriculum</w:t>
      </w:r>
    </w:p>
    <w:p w14:paraId="1D260061" w14:textId="77777777" w:rsidR="00CD5BE6" w:rsidRPr="00347697" w:rsidRDefault="00CD5BE6" w:rsidP="00CD5BE6">
      <w:pPr>
        <w:spacing w:after="0" w:line="240" w:lineRule="auto"/>
        <w:rPr>
          <w:rFonts w:ascii="Times New Roman" w:hAnsi="Times New Roman" w:cs="Times New Roman"/>
          <w:sz w:val="24"/>
          <w:szCs w:val="24"/>
        </w:rPr>
      </w:pPr>
    </w:p>
    <w:p w14:paraId="78DD006B" w14:textId="77777777" w:rsidR="00CD5BE6" w:rsidRPr="00347697" w:rsidRDefault="00CD5BE6" w:rsidP="00CD5BE6">
      <w:pPr>
        <w:spacing w:after="0" w:line="240" w:lineRule="auto"/>
        <w:rPr>
          <w:rFonts w:ascii="Times New Roman" w:hAnsi="Times New Roman" w:cs="Times New Roman"/>
          <w:sz w:val="24"/>
          <w:szCs w:val="24"/>
        </w:rPr>
      </w:pPr>
      <w:r w:rsidRPr="00347697">
        <w:rPr>
          <w:rFonts w:ascii="Times New Roman" w:hAnsi="Times New Roman" w:cs="Times New Roman"/>
          <w:sz w:val="24"/>
          <w:szCs w:val="24"/>
          <w:u w:val="single"/>
        </w:rPr>
        <w:t>Questions</w:t>
      </w:r>
      <w:r w:rsidRPr="00347697">
        <w:rPr>
          <w:rFonts w:ascii="Times New Roman" w:hAnsi="Times New Roman" w:cs="Times New Roman"/>
          <w:sz w:val="24"/>
          <w:szCs w:val="24"/>
        </w:rPr>
        <w:br/>
      </w:r>
    </w:p>
    <w:p w14:paraId="51660002" w14:textId="77777777" w:rsidR="00CD5BE6" w:rsidRPr="00347697" w:rsidRDefault="00CD5BE6" w:rsidP="00CD5BE6">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This section seeks to address the following questions:</w:t>
      </w:r>
    </w:p>
    <w:p w14:paraId="511B1F5F" w14:textId="697C1506" w:rsidR="00CD5BE6" w:rsidRPr="00347697" w:rsidRDefault="00CD5BE6" w:rsidP="00EF6CD7">
      <w:pPr>
        <w:pStyle w:val="ListParagraph"/>
        <w:numPr>
          <w:ilvl w:val="0"/>
          <w:numId w:val="8"/>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What is the nature of the relationship between a student’s entry point to the </w:t>
      </w:r>
      <w:r w:rsidR="00C3606C" w:rsidRPr="00347697">
        <w:rPr>
          <w:rFonts w:ascii="Times New Roman" w:hAnsi="Times New Roman" w:cs="Times New Roman"/>
          <w:sz w:val="24"/>
          <w:szCs w:val="24"/>
        </w:rPr>
        <w:t>English</w:t>
      </w:r>
      <w:r w:rsidRPr="00347697">
        <w:rPr>
          <w:rFonts w:ascii="Times New Roman" w:hAnsi="Times New Roman" w:cs="Times New Roman"/>
          <w:sz w:val="24"/>
          <w:szCs w:val="24"/>
        </w:rPr>
        <w:t xml:space="preserve"> curriculum (i.e., a student’s first </w:t>
      </w:r>
      <w:r w:rsidR="00C3606C" w:rsidRPr="00347697">
        <w:rPr>
          <w:rFonts w:ascii="Times New Roman" w:hAnsi="Times New Roman" w:cs="Times New Roman"/>
          <w:sz w:val="24"/>
          <w:szCs w:val="24"/>
        </w:rPr>
        <w:t xml:space="preserve">English </w:t>
      </w:r>
      <w:r w:rsidRPr="00347697">
        <w:rPr>
          <w:rFonts w:ascii="Times New Roman" w:hAnsi="Times New Roman" w:cs="Times New Roman"/>
          <w:sz w:val="24"/>
          <w:szCs w:val="24"/>
        </w:rPr>
        <w:t>course) and:</w:t>
      </w:r>
    </w:p>
    <w:p w14:paraId="188F66C4" w14:textId="088CCB46" w:rsidR="00CD5BE6" w:rsidRPr="00347697" w:rsidRDefault="00CD5BE6" w:rsidP="00EF6CD7">
      <w:pPr>
        <w:pStyle w:val="ListParagraph"/>
        <w:numPr>
          <w:ilvl w:val="1"/>
          <w:numId w:val="8"/>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the delay of this first </w:t>
      </w:r>
      <w:r w:rsidR="00C3606C" w:rsidRPr="00347697">
        <w:rPr>
          <w:rFonts w:ascii="Times New Roman" w:hAnsi="Times New Roman" w:cs="Times New Roman"/>
          <w:sz w:val="24"/>
          <w:szCs w:val="24"/>
        </w:rPr>
        <w:t>English</w:t>
      </w:r>
      <w:r w:rsidRPr="00347697">
        <w:rPr>
          <w:rFonts w:ascii="Times New Roman" w:hAnsi="Times New Roman" w:cs="Times New Roman"/>
          <w:sz w:val="24"/>
          <w:szCs w:val="24"/>
        </w:rPr>
        <w:t xml:space="preserve"> course?</w:t>
      </w:r>
    </w:p>
    <w:p w14:paraId="50662C38" w14:textId="6EA2D740" w:rsidR="00CD5BE6" w:rsidRPr="00347697" w:rsidRDefault="00CD5BE6" w:rsidP="00EF6CD7">
      <w:pPr>
        <w:pStyle w:val="ListParagraph"/>
        <w:numPr>
          <w:ilvl w:val="1"/>
          <w:numId w:val="8"/>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the likelihood of passing this first </w:t>
      </w:r>
      <w:r w:rsidR="00C3606C" w:rsidRPr="00347697">
        <w:rPr>
          <w:rFonts w:ascii="Times New Roman" w:hAnsi="Times New Roman" w:cs="Times New Roman"/>
          <w:sz w:val="24"/>
          <w:szCs w:val="24"/>
        </w:rPr>
        <w:t xml:space="preserve">English </w:t>
      </w:r>
      <w:r w:rsidRPr="00347697">
        <w:rPr>
          <w:rFonts w:ascii="Times New Roman" w:hAnsi="Times New Roman" w:cs="Times New Roman"/>
          <w:sz w:val="24"/>
          <w:szCs w:val="24"/>
        </w:rPr>
        <w:t>course on the first attempt?</w:t>
      </w:r>
    </w:p>
    <w:p w14:paraId="7ABB30F7" w14:textId="39CC6172" w:rsidR="00CD5BE6" w:rsidRPr="00347697" w:rsidRDefault="00CD5BE6" w:rsidP="00EF6CD7">
      <w:pPr>
        <w:pStyle w:val="ListParagraph"/>
        <w:numPr>
          <w:ilvl w:val="1"/>
          <w:numId w:val="8"/>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the likelihood of eventually </w:t>
      </w:r>
      <w:r w:rsidR="00C3606C" w:rsidRPr="00347697">
        <w:rPr>
          <w:rFonts w:ascii="Times New Roman" w:hAnsi="Times New Roman" w:cs="Times New Roman"/>
          <w:sz w:val="24"/>
          <w:szCs w:val="24"/>
        </w:rPr>
        <w:t>achieving transfer-level English competency</w:t>
      </w:r>
      <w:r w:rsidRPr="00347697">
        <w:rPr>
          <w:rFonts w:ascii="Times New Roman" w:hAnsi="Times New Roman" w:cs="Times New Roman"/>
          <w:sz w:val="24"/>
          <w:szCs w:val="24"/>
        </w:rPr>
        <w:t>?</w:t>
      </w:r>
    </w:p>
    <w:p w14:paraId="7A525EA6" w14:textId="0CAEB657" w:rsidR="00CD5BE6" w:rsidRPr="00347697" w:rsidRDefault="00CD5BE6" w:rsidP="00EF6CD7">
      <w:pPr>
        <w:pStyle w:val="ListParagraph"/>
        <w:numPr>
          <w:ilvl w:val="0"/>
          <w:numId w:val="8"/>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Among students who eventually </w:t>
      </w:r>
      <w:r w:rsidRPr="00347697">
        <w:rPr>
          <w:rFonts w:ascii="Times New Roman" w:hAnsi="Times New Roman" w:cs="Times New Roman"/>
          <w:i/>
          <w:sz w:val="24"/>
          <w:szCs w:val="24"/>
        </w:rPr>
        <w:t xml:space="preserve">complete a transfer-level </w:t>
      </w:r>
      <w:r w:rsidR="00C3606C" w:rsidRPr="00347697">
        <w:rPr>
          <w:rFonts w:ascii="Times New Roman" w:hAnsi="Times New Roman" w:cs="Times New Roman"/>
          <w:i/>
          <w:sz w:val="24"/>
          <w:szCs w:val="24"/>
        </w:rPr>
        <w:t>English</w:t>
      </w:r>
      <w:r w:rsidRPr="00347697">
        <w:rPr>
          <w:rFonts w:ascii="Times New Roman" w:hAnsi="Times New Roman" w:cs="Times New Roman"/>
          <w:i/>
          <w:sz w:val="24"/>
          <w:szCs w:val="24"/>
        </w:rPr>
        <w:t xml:space="preserve"> course successfully</w:t>
      </w:r>
      <w:r w:rsidRPr="00347697">
        <w:rPr>
          <w:rFonts w:ascii="Times New Roman" w:hAnsi="Times New Roman" w:cs="Times New Roman"/>
          <w:sz w:val="24"/>
          <w:szCs w:val="24"/>
        </w:rPr>
        <w:t xml:space="preserve">, how does the average length of time to achieve transfer-level </w:t>
      </w:r>
      <w:r w:rsidR="00C3606C" w:rsidRPr="00347697">
        <w:rPr>
          <w:rFonts w:ascii="Times New Roman" w:hAnsi="Times New Roman" w:cs="Times New Roman"/>
          <w:sz w:val="24"/>
          <w:szCs w:val="24"/>
        </w:rPr>
        <w:t>English</w:t>
      </w:r>
      <w:r w:rsidRPr="00347697">
        <w:rPr>
          <w:rFonts w:ascii="Times New Roman" w:hAnsi="Times New Roman" w:cs="Times New Roman"/>
          <w:sz w:val="24"/>
          <w:szCs w:val="24"/>
        </w:rPr>
        <w:t xml:space="preserve"> competency differ across entry points to the </w:t>
      </w:r>
      <w:r w:rsidR="00C3606C" w:rsidRPr="00347697">
        <w:rPr>
          <w:rFonts w:ascii="Times New Roman" w:hAnsi="Times New Roman" w:cs="Times New Roman"/>
          <w:sz w:val="24"/>
          <w:szCs w:val="24"/>
        </w:rPr>
        <w:t>English</w:t>
      </w:r>
      <w:r w:rsidRPr="00347697">
        <w:rPr>
          <w:rFonts w:ascii="Times New Roman" w:hAnsi="Times New Roman" w:cs="Times New Roman"/>
          <w:sz w:val="24"/>
          <w:szCs w:val="24"/>
        </w:rPr>
        <w:t xml:space="preserve"> curriculum?</w:t>
      </w:r>
    </w:p>
    <w:p w14:paraId="45060E4D" w14:textId="77777777" w:rsidR="00CD5BE6" w:rsidRPr="00347697" w:rsidRDefault="00CD5BE6" w:rsidP="00CD5BE6">
      <w:pPr>
        <w:spacing w:after="0" w:line="240" w:lineRule="auto"/>
        <w:rPr>
          <w:rFonts w:ascii="Times New Roman" w:hAnsi="Times New Roman" w:cs="Times New Roman"/>
          <w:sz w:val="24"/>
          <w:szCs w:val="24"/>
        </w:rPr>
      </w:pPr>
    </w:p>
    <w:p w14:paraId="034CEBEC" w14:textId="54CBBD20" w:rsidR="00C3606C" w:rsidRPr="00347697" w:rsidRDefault="00C3606C" w:rsidP="00C3606C">
      <w:pPr>
        <w:spacing w:after="0" w:line="240" w:lineRule="auto"/>
        <w:rPr>
          <w:rFonts w:ascii="Times New Roman" w:hAnsi="Times New Roman" w:cs="Times New Roman"/>
          <w:sz w:val="24"/>
          <w:szCs w:val="24"/>
        </w:rPr>
      </w:pPr>
      <w:r w:rsidRPr="00347697">
        <w:rPr>
          <w:rFonts w:ascii="Times New Roman" w:hAnsi="Times New Roman" w:cs="Times New Roman"/>
          <w:sz w:val="24"/>
          <w:szCs w:val="24"/>
          <w:u w:val="single"/>
        </w:rPr>
        <w:t xml:space="preserve">Delaying First </w:t>
      </w:r>
      <w:r w:rsidR="00DF6CD0" w:rsidRPr="00347697">
        <w:rPr>
          <w:rFonts w:ascii="Times New Roman" w:hAnsi="Times New Roman" w:cs="Times New Roman"/>
          <w:sz w:val="24"/>
          <w:szCs w:val="24"/>
          <w:u w:val="single"/>
        </w:rPr>
        <w:t>English</w:t>
      </w:r>
    </w:p>
    <w:p w14:paraId="55E943C2" w14:textId="77777777" w:rsidR="00CD5BE6" w:rsidRPr="00347697" w:rsidRDefault="00CD5BE6" w:rsidP="00CD5BE6">
      <w:pPr>
        <w:spacing w:after="0" w:line="240" w:lineRule="auto"/>
        <w:rPr>
          <w:rFonts w:ascii="Times New Roman" w:hAnsi="Times New Roman" w:cs="Times New Roman"/>
          <w:sz w:val="24"/>
          <w:szCs w:val="24"/>
        </w:rPr>
      </w:pPr>
    </w:p>
    <w:p w14:paraId="70D93DFE" w14:textId="6C2A9F01" w:rsidR="00CD5BE6" w:rsidRPr="00347697" w:rsidRDefault="00A0099D" w:rsidP="00CD5BE6">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In Table </w:t>
      </w:r>
      <w:r w:rsidR="006045A1">
        <w:rPr>
          <w:rFonts w:ascii="Times New Roman" w:hAnsi="Times New Roman" w:cs="Times New Roman"/>
          <w:sz w:val="24"/>
          <w:szCs w:val="24"/>
        </w:rPr>
        <w:t>9</w:t>
      </w:r>
      <w:r w:rsidRPr="00347697">
        <w:rPr>
          <w:rFonts w:ascii="Times New Roman" w:hAnsi="Times New Roman" w:cs="Times New Roman"/>
          <w:sz w:val="24"/>
          <w:szCs w:val="24"/>
        </w:rPr>
        <w:t>, I present selected sta</w:t>
      </w:r>
      <w:r w:rsidR="00856C97" w:rsidRPr="00347697">
        <w:rPr>
          <w:rFonts w:ascii="Times New Roman" w:hAnsi="Times New Roman" w:cs="Times New Roman"/>
          <w:sz w:val="24"/>
          <w:szCs w:val="24"/>
        </w:rPr>
        <w:t>tistics for students who entered</w:t>
      </w:r>
      <w:r w:rsidRPr="00347697">
        <w:rPr>
          <w:rFonts w:ascii="Times New Roman" w:hAnsi="Times New Roman" w:cs="Times New Roman"/>
          <w:sz w:val="24"/>
          <w:szCs w:val="24"/>
        </w:rPr>
        <w:t xml:space="preserve"> BC’s English curriculum through a current developmental English offering.  </w:t>
      </w:r>
      <w:r w:rsidR="006045A1">
        <w:rPr>
          <w:rFonts w:ascii="Times New Roman" w:hAnsi="Times New Roman" w:cs="Times New Roman"/>
          <w:sz w:val="24"/>
          <w:szCs w:val="24"/>
        </w:rPr>
        <w:t>One observes</w:t>
      </w:r>
      <w:r w:rsidR="0024664C" w:rsidRPr="00347697">
        <w:rPr>
          <w:rFonts w:ascii="Times New Roman" w:hAnsi="Times New Roman" w:cs="Times New Roman"/>
          <w:sz w:val="24"/>
          <w:szCs w:val="24"/>
        </w:rPr>
        <w:t xml:space="preserve"> that</w:t>
      </w:r>
      <w:r w:rsidRPr="00347697">
        <w:rPr>
          <w:rFonts w:ascii="Times New Roman" w:hAnsi="Times New Roman" w:cs="Times New Roman"/>
          <w:sz w:val="24"/>
          <w:szCs w:val="24"/>
        </w:rPr>
        <w:t xml:space="preserve"> </w:t>
      </w:r>
      <w:r w:rsidR="0024664C" w:rsidRPr="00347697">
        <w:rPr>
          <w:rFonts w:ascii="Times New Roman" w:hAnsi="Times New Roman" w:cs="Times New Roman"/>
          <w:sz w:val="24"/>
          <w:szCs w:val="24"/>
        </w:rPr>
        <w:t xml:space="preserve">students who enter the curriculum through </w:t>
      </w:r>
      <w:r w:rsidRPr="00347697">
        <w:rPr>
          <w:rFonts w:ascii="Times New Roman" w:hAnsi="Times New Roman" w:cs="Times New Roman"/>
          <w:sz w:val="24"/>
          <w:szCs w:val="24"/>
        </w:rPr>
        <w:t>Engl B</w:t>
      </w:r>
      <w:r w:rsidR="00D10B09" w:rsidRPr="00347697">
        <w:rPr>
          <w:rFonts w:ascii="Times New Roman" w:hAnsi="Times New Roman" w:cs="Times New Roman"/>
          <w:sz w:val="24"/>
          <w:szCs w:val="24"/>
        </w:rPr>
        <w:t>53</w:t>
      </w:r>
      <w:r w:rsidRPr="00347697">
        <w:rPr>
          <w:rFonts w:ascii="Times New Roman" w:hAnsi="Times New Roman" w:cs="Times New Roman"/>
          <w:sz w:val="24"/>
          <w:szCs w:val="24"/>
        </w:rPr>
        <w:t xml:space="preserve">, Engl B50, and </w:t>
      </w:r>
      <w:r w:rsidR="00E348ED">
        <w:rPr>
          <w:rFonts w:ascii="Times New Roman" w:hAnsi="Times New Roman" w:cs="Times New Roman"/>
          <w:sz w:val="24"/>
          <w:szCs w:val="24"/>
        </w:rPr>
        <w:t xml:space="preserve">the first half of </w:t>
      </w:r>
      <w:r w:rsidRPr="00347697">
        <w:rPr>
          <w:rFonts w:ascii="Times New Roman" w:hAnsi="Times New Roman" w:cs="Times New Roman"/>
          <w:sz w:val="24"/>
          <w:szCs w:val="24"/>
        </w:rPr>
        <w:t xml:space="preserve">LRNC B510 </w:t>
      </w:r>
      <w:r w:rsidR="00E348ED">
        <w:rPr>
          <w:rFonts w:ascii="Times New Roman" w:hAnsi="Times New Roman" w:cs="Times New Roman"/>
          <w:sz w:val="24"/>
          <w:szCs w:val="24"/>
        </w:rPr>
        <w:t>(</w:t>
      </w:r>
      <w:r w:rsidR="00E348ED" w:rsidRPr="00347697">
        <w:rPr>
          <w:rFonts w:ascii="Times New Roman" w:hAnsi="Times New Roman" w:cs="Times New Roman"/>
          <w:sz w:val="24"/>
          <w:szCs w:val="24"/>
        </w:rPr>
        <w:t>LRNC B510</w:t>
      </w:r>
      <w:r w:rsidR="00E348ED" w:rsidRPr="0072729B">
        <w:rPr>
          <w:rFonts w:ascii="Times New Roman" w:hAnsi="Times New Roman" w:cs="Times New Roman"/>
          <w:i/>
          <w:sz w:val="24"/>
          <w:szCs w:val="24"/>
        </w:rPr>
        <w:t>f</w:t>
      </w:r>
      <w:r w:rsidR="00E348ED">
        <w:rPr>
          <w:rFonts w:ascii="Times New Roman" w:hAnsi="Times New Roman" w:cs="Times New Roman"/>
          <w:sz w:val="24"/>
          <w:szCs w:val="24"/>
        </w:rPr>
        <w:t xml:space="preserve">) </w:t>
      </w:r>
      <w:r w:rsidRPr="00347697">
        <w:rPr>
          <w:rFonts w:ascii="Times New Roman" w:hAnsi="Times New Roman" w:cs="Times New Roman"/>
          <w:sz w:val="24"/>
          <w:szCs w:val="24"/>
        </w:rPr>
        <w:t xml:space="preserve">all </w:t>
      </w:r>
      <w:r w:rsidR="0024664C" w:rsidRPr="00347697">
        <w:rPr>
          <w:rFonts w:ascii="Times New Roman" w:hAnsi="Times New Roman" w:cs="Times New Roman"/>
          <w:sz w:val="24"/>
          <w:szCs w:val="24"/>
        </w:rPr>
        <w:t xml:space="preserve">are reasonably similar in their likelihood of delaying their first English course </w:t>
      </w:r>
      <w:r w:rsidR="00856C97" w:rsidRPr="00347697">
        <w:rPr>
          <w:rFonts w:ascii="Times New Roman" w:hAnsi="Times New Roman" w:cs="Times New Roman"/>
          <w:sz w:val="24"/>
          <w:szCs w:val="24"/>
        </w:rPr>
        <w:t>(</w:t>
      </w:r>
      <w:r w:rsidR="006045A1">
        <w:rPr>
          <w:rFonts w:ascii="Times New Roman" w:hAnsi="Times New Roman" w:cs="Times New Roman"/>
          <w:sz w:val="24"/>
          <w:szCs w:val="24"/>
        </w:rPr>
        <w:t>42</w:t>
      </w:r>
      <w:r w:rsidR="00856C97" w:rsidRPr="00347697">
        <w:rPr>
          <w:rFonts w:ascii="Times New Roman" w:hAnsi="Times New Roman" w:cs="Times New Roman"/>
          <w:sz w:val="24"/>
          <w:szCs w:val="24"/>
        </w:rPr>
        <w:t>-</w:t>
      </w:r>
      <w:r w:rsidR="00E348ED">
        <w:rPr>
          <w:rFonts w:ascii="Times New Roman" w:hAnsi="Times New Roman" w:cs="Times New Roman"/>
          <w:sz w:val="24"/>
          <w:szCs w:val="24"/>
        </w:rPr>
        <w:t>4</w:t>
      </w:r>
      <w:r w:rsidR="00856C97" w:rsidRPr="00347697">
        <w:rPr>
          <w:rFonts w:ascii="Times New Roman" w:hAnsi="Times New Roman" w:cs="Times New Roman"/>
          <w:sz w:val="24"/>
          <w:szCs w:val="24"/>
        </w:rPr>
        <w:t xml:space="preserve">7%) </w:t>
      </w:r>
      <w:r w:rsidR="0024664C" w:rsidRPr="00347697">
        <w:rPr>
          <w:rFonts w:ascii="Times New Roman" w:hAnsi="Times New Roman" w:cs="Times New Roman"/>
          <w:sz w:val="24"/>
          <w:szCs w:val="24"/>
        </w:rPr>
        <w:t xml:space="preserve">and </w:t>
      </w:r>
      <w:r w:rsidRPr="00347697">
        <w:rPr>
          <w:rFonts w:ascii="Times New Roman" w:hAnsi="Times New Roman" w:cs="Times New Roman"/>
          <w:sz w:val="24"/>
          <w:szCs w:val="24"/>
        </w:rPr>
        <w:t>have similar average delays</w:t>
      </w:r>
      <w:r w:rsidR="00856C97" w:rsidRPr="00347697">
        <w:rPr>
          <w:rFonts w:ascii="Times New Roman" w:hAnsi="Times New Roman" w:cs="Times New Roman"/>
          <w:sz w:val="24"/>
          <w:szCs w:val="24"/>
        </w:rPr>
        <w:t xml:space="preserve"> (0.</w:t>
      </w:r>
      <w:r w:rsidR="00E348ED">
        <w:rPr>
          <w:rFonts w:ascii="Times New Roman" w:hAnsi="Times New Roman" w:cs="Times New Roman"/>
          <w:sz w:val="24"/>
          <w:szCs w:val="24"/>
        </w:rPr>
        <w:t>6</w:t>
      </w:r>
      <w:r w:rsidR="00856C97" w:rsidRPr="00347697">
        <w:rPr>
          <w:rFonts w:ascii="Times New Roman" w:hAnsi="Times New Roman" w:cs="Times New Roman"/>
          <w:sz w:val="24"/>
          <w:szCs w:val="24"/>
        </w:rPr>
        <w:t>-</w:t>
      </w:r>
      <w:r w:rsidR="00E348ED">
        <w:rPr>
          <w:rFonts w:ascii="Times New Roman" w:hAnsi="Times New Roman" w:cs="Times New Roman"/>
          <w:sz w:val="24"/>
          <w:szCs w:val="24"/>
        </w:rPr>
        <w:t>0.7</w:t>
      </w:r>
      <w:r w:rsidR="00856C97" w:rsidRPr="00347697">
        <w:rPr>
          <w:rFonts w:ascii="Times New Roman" w:hAnsi="Times New Roman" w:cs="Times New Roman"/>
          <w:sz w:val="24"/>
          <w:szCs w:val="24"/>
        </w:rPr>
        <w:t xml:space="preserve"> terms)</w:t>
      </w:r>
      <w:r w:rsidRPr="00347697">
        <w:rPr>
          <w:rFonts w:ascii="Times New Roman" w:hAnsi="Times New Roman" w:cs="Times New Roman"/>
          <w:sz w:val="24"/>
          <w:szCs w:val="24"/>
        </w:rPr>
        <w:t xml:space="preserve">.  Only students </w:t>
      </w:r>
      <w:r w:rsidR="00856C97" w:rsidRPr="00347697">
        <w:rPr>
          <w:rFonts w:ascii="Times New Roman" w:hAnsi="Times New Roman" w:cs="Times New Roman"/>
          <w:sz w:val="24"/>
          <w:szCs w:val="24"/>
        </w:rPr>
        <w:t xml:space="preserve">who enter through </w:t>
      </w:r>
      <w:r w:rsidRPr="00347697">
        <w:rPr>
          <w:rFonts w:ascii="Times New Roman" w:hAnsi="Times New Roman" w:cs="Times New Roman"/>
          <w:sz w:val="24"/>
          <w:szCs w:val="24"/>
        </w:rPr>
        <w:t>E</w:t>
      </w:r>
      <w:r w:rsidR="00D10B09" w:rsidRPr="00347697">
        <w:rPr>
          <w:rFonts w:ascii="Times New Roman" w:hAnsi="Times New Roman" w:cs="Times New Roman"/>
          <w:sz w:val="24"/>
          <w:szCs w:val="24"/>
        </w:rPr>
        <w:t>ng</w:t>
      </w:r>
      <w:r w:rsidRPr="00347697">
        <w:rPr>
          <w:rFonts w:ascii="Times New Roman" w:hAnsi="Times New Roman" w:cs="Times New Roman"/>
          <w:sz w:val="24"/>
          <w:szCs w:val="24"/>
        </w:rPr>
        <w:t>l</w:t>
      </w:r>
      <w:r w:rsidR="00D10B09" w:rsidRPr="00347697">
        <w:rPr>
          <w:rFonts w:ascii="Times New Roman" w:hAnsi="Times New Roman" w:cs="Times New Roman"/>
          <w:sz w:val="24"/>
          <w:szCs w:val="24"/>
        </w:rPr>
        <w:t xml:space="preserve"> B60 have a meaningfully lower average delay of first English</w:t>
      </w:r>
      <w:r w:rsidR="0079210B" w:rsidRPr="00347697">
        <w:rPr>
          <w:rFonts w:ascii="Times New Roman" w:hAnsi="Times New Roman" w:cs="Times New Roman"/>
          <w:sz w:val="24"/>
          <w:szCs w:val="24"/>
        </w:rPr>
        <w:t xml:space="preserve">, with </w:t>
      </w:r>
      <w:r w:rsidR="00E348ED">
        <w:rPr>
          <w:rFonts w:ascii="Times New Roman" w:hAnsi="Times New Roman" w:cs="Times New Roman"/>
          <w:sz w:val="24"/>
          <w:szCs w:val="24"/>
        </w:rPr>
        <w:t>28</w:t>
      </w:r>
      <w:r w:rsidR="0079210B" w:rsidRPr="00347697">
        <w:rPr>
          <w:rFonts w:ascii="Times New Roman" w:hAnsi="Times New Roman" w:cs="Times New Roman"/>
          <w:sz w:val="24"/>
          <w:szCs w:val="24"/>
        </w:rPr>
        <w:t>% delaying first English and an average delay of 0.</w:t>
      </w:r>
      <w:r w:rsidR="00E348ED">
        <w:rPr>
          <w:rFonts w:ascii="Times New Roman" w:hAnsi="Times New Roman" w:cs="Times New Roman"/>
          <w:sz w:val="24"/>
          <w:szCs w:val="24"/>
        </w:rPr>
        <w:t>4</w:t>
      </w:r>
      <w:r w:rsidR="0079210B" w:rsidRPr="00347697">
        <w:rPr>
          <w:rFonts w:ascii="Times New Roman" w:hAnsi="Times New Roman" w:cs="Times New Roman"/>
          <w:sz w:val="24"/>
          <w:szCs w:val="24"/>
        </w:rPr>
        <w:t xml:space="preserve"> terms</w:t>
      </w:r>
      <w:r w:rsidR="00D10B09" w:rsidRPr="00347697">
        <w:rPr>
          <w:rFonts w:ascii="Times New Roman" w:hAnsi="Times New Roman" w:cs="Times New Roman"/>
          <w:sz w:val="24"/>
          <w:szCs w:val="24"/>
        </w:rPr>
        <w:t xml:space="preserve">.  </w:t>
      </w:r>
    </w:p>
    <w:p w14:paraId="592C3547" w14:textId="77777777" w:rsidR="00CD5BE6" w:rsidRPr="00347697" w:rsidRDefault="00CD5BE6" w:rsidP="00CD5BE6">
      <w:pPr>
        <w:spacing w:after="0" w:line="240" w:lineRule="auto"/>
        <w:rPr>
          <w:rFonts w:ascii="Times New Roman" w:hAnsi="Times New Roman" w:cs="Times New Roman"/>
          <w:sz w:val="24"/>
          <w:szCs w:val="24"/>
        </w:rPr>
      </w:pPr>
    </w:p>
    <w:p w14:paraId="77D1BF86" w14:textId="77777777" w:rsidR="00D10B09" w:rsidRPr="00347697" w:rsidRDefault="00D10B09" w:rsidP="00D10B09">
      <w:pPr>
        <w:spacing w:after="0" w:line="240" w:lineRule="auto"/>
        <w:rPr>
          <w:rFonts w:ascii="Times New Roman" w:hAnsi="Times New Roman" w:cs="Times New Roman"/>
          <w:sz w:val="24"/>
          <w:szCs w:val="24"/>
        </w:rPr>
      </w:pPr>
      <w:r w:rsidRPr="00347697">
        <w:rPr>
          <w:rFonts w:ascii="Times New Roman" w:hAnsi="Times New Roman" w:cs="Times New Roman"/>
          <w:sz w:val="24"/>
          <w:szCs w:val="24"/>
          <w:u w:val="single"/>
        </w:rPr>
        <w:t>First-Attempt Success</w:t>
      </w:r>
    </w:p>
    <w:p w14:paraId="05D410CC" w14:textId="77777777" w:rsidR="00D10B09" w:rsidRPr="00347697" w:rsidRDefault="00D10B09" w:rsidP="00CD5BE6">
      <w:pPr>
        <w:spacing w:after="0" w:line="240" w:lineRule="auto"/>
        <w:rPr>
          <w:rFonts w:ascii="Times New Roman" w:hAnsi="Times New Roman" w:cs="Times New Roman"/>
          <w:sz w:val="24"/>
          <w:szCs w:val="24"/>
        </w:rPr>
      </w:pPr>
    </w:p>
    <w:p w14:paraId="33950AF2" w14:textId="0D97224B" w:rsidR="00D10B09" w:rsidRPr="00347697" w:rsidRDefault="0079210B" w:rsidP="00CD5BE6">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Students who enter through LRNC B510</w:t>
      </w:r>
      <w:r w:rsidR="00E348ED" w:rsidRPr="0072729B">
        <w:rPr>
          <w:rFonts w:ascii="Times New Roman" w:hAnsi="Times New Roman" w:cs="Times New Roman"/>
          <w:i/>
          <w:sz w:val="24"/>
          <w:szCs w:val="24"/>
        </w:rPr>
        <w:t>f</w:t>
      </w:r>
      <w:r w:rsidRPr="00347697">
        <w:rPr>
          <w:rFonts w:ascii="Times New Roman" w:hAnsi="Times New Roman" w:cs="Times New Roman"/>
          <w:sz w:val="24"/>
          <w:szCs w:val="24"/>
        </w:rPr>
        <w:t xml:space="preserve"> have a meaningfully higher likelihood </w:t>
      </w:r>
      <w:r w:rsidR="0062355B" w:rsidRPr="00347697">
        <w:rPr>
          <w:rFonts w:ascii="Times New Roman" w:hAnsi="Times New Roman" w:cs="Times New Roman"/>
          <w:sz w:val="24"/>
          <w:szCs w:val="24"/>
        </w:rPr>
        <w:t xml:space="preserve">of passing their first English course on the first attempt </w:t>
      </w:r>
      <w:r w:rsidRPr="00347697">
        <w:rPr>
          <w:rFonts w:ascii="Times New Roman" w:hAnsi="Times New Roman" w:cs="Times New Roman"/>
          <w:sz w:val="24"/>
          <w:szCs w:val="24"/>
        </w:rPr>
        <w:t>(</w:t>
      </w:r>
      <w:r w:rsidR="00E348ED">
        <w:rPr>
          <w:rFonts w:ascii="Times New Roman" w:hAnsi="Times New Roman" w:cs="Times New Roman"/>
          <w:sz w:val="24"/>
          <w:szCs w:val="24"/>
        </w:rPr>
        <w:t>59</w:t>
      </w:r>
      <w:r w:rsidRPr="00347697">
        <w:rPr>
          <w:rFonts w:ascii="Times New Roman" w:hAnsi="Times New Roman" w:cs="Times New Roman"/>
          <w:sz w:val="24"/>
          <w:szCs w:val="24"/>
        </w:rPr>
        <w:t xml:space="preserve">%) than do their counterparts who enter </w:t>
      </w:r>
      <w:r w:rsidR="00D10B09" w:rsidRPr="00347697">
        <w:rPr>
          <w:rFonts w:ascii="Times New Roman" w:hAnsi="Times New Roman" w:cs="Times New Roman"/>
          <w:sz w:val="24"/>
          <w:szCs w:val="24"/>
        </w:rPr>
        <w:t>through Engl B60, Engl B53, or Engl B50</w:t>
      </w:r>
      <w:r w:rsidR="0062355B" w:rsidRPr="00347697">
        <w:rPr>
          <w:rFonts w:ascii="Times New Roman" w:hAnsi="Times New Roman" w:cs="Times New Roman"/>
          <w:sz w:val="24"/>
          <w:szCs w:val="24"/>
        </w:rPr>
        <w:t xml:space="preserve">, all of </w:t>
      </w:r>
      <w:r w:rsidR="00191BF2">
        <w:rPr>
          <w:rFonts w:ascii="Times New Roman" w:hAnsi="Times New Roman" w:cs="Times New Roman"/>
          <w:sz w:val="24"/>
          <w:szCs w:val="24"/>
        </w:rPr>
        <w:t>whom experience</w:t>
      </w:r>
      <w:r w:rsidR="00191BF2" w:rsidRPr="00347697">
        <w:rPr>
          <w:rFonts w:ascii="Times New Roman" w:hAnsi="Times New Roman" w:cs="Times New Roman"/>
          <w:sz w:val="24"/>
          <w:szCs w:val="24"/>
        </w:rPr>
        <w:t xml:space="preserve"> </w:t>
      </w:r>
      <w:r w:rsidR="0062355B" w:rsidRPr="00347697">
        <w:rPr>
          <w:rFonts w:ascii="Times New Roman" w:hAnsi="Times New Roman" w:cs="Times New Roman"/>
          <w:sz w:val="24"/>
          <w:szCs w:val="24"/>
        </w:rPr>
        <w:t>a similar likelihood</w:t>
      </w:r>
      <w:r w:rsidR="00D10B09" w:rsidRPr="00347697">
        <w:rPr>
          <w:rFonts w:ascii="Times New Roman" w:hAnsi="Times New Roman" w:cs="Times New Roman"/>
          <w:sz w:val="24"/>
          <w:szCs w:val="24"/>
        </w:rPr>
        <w:t xml:space="preserve"> of </w:t>
      </w:r>
      <w:r w:rsidR="0062355B" w:rsidRPr="00347697">
        <w:rPr>
          <w:rFonts w:ascii="Times New Roman" w:hAnsi="Times New Roman" w:cs="Times New Roman"/>
          <w:sz w:val="24"/>
          <w:szCs w:val="24"/>
        </w:rPr>
        <w:t xml:space="preserve">first-attempt success </w:t>
      </w:r>
      <w:r w:rsidR="00D10B09" w:rsidRPr="00347697">
        <w:rPr>
          <w:rFonts w:ascii="Times New Roman" w:hAnsi="Times New Roman" w:cs="Times New Roman"/>
          <w:sz w:val="24"/>
          <w:szCs w:val="24"/>
        </w:rPr>
        <w:t>(</w:t>
      </w:r>
      <w:r w:rsidR="00E348ED">
        <w:rPr>
          <w:rFonts w:ascii="Times New Roman" w:hAnsi="Times New Roman" w:cs="Times New Roman"/>
          <w:sz w:val="24"/>
          <w:szCs w:val="24"/>
        </w:rPr>
        <w:t>38</w:t>
      </w:r>
      <w:r w:rsidR="00D10B09" w:rsidRPr="00347697">
        <w:rPr>
          <w:rFonts w:ascii="Times New Roman" w:hAnsi="Times New Roman" w:cs="Times New Roman"/>
          <w:sz w:val="24"/>
          <w:szCs w:val="24"/>
        </w:rPr>
        <w:t xml:space="preserve">-44%).  </w:t>
      </w:r>
    </w:p>
    <w:p w14:paraId="6A2C5400" w14:textId="77777777" w:rsidR="00D10B09" w:rsidRPr="00347697" w:rsidRDefault="00D10B09" w:rsidP="00CD5BE6">
      <w:pPr>
        <w:spacing w:after="0" w:line="240" w:lineRule="auto"/>
        <w:rPr>
          <w:rFonts w:ascii="Times New Roman" w:hAnsi="Times New Roman" w:cs="Times New Roman"/>
          <w:sz w:val="24"/>
          <w:szCs w:val="24"/>
        </w:rPr>
      </w:pPr>
    </w:p>
    <w:p w14:paraId="44094CE5" w14:textId="4FCFC120" w:rsidR="00D10B09" w:rsidRPr="00347697" w:rsidRDefault="00D10B09" w:rsidP="00D10B09">
      <w:pPr>
        <w:spacing w:after="0" w:line="240" w:lineRule="auto"/>
        <w:rPr>
          <w:rFonts w:ascii="Times New Roman" w:hAnsi="Times New Roman" w:cs="Times New Roman"/>
          <w:sz w:val="24"/>
          <w:szCs w:val="24"/>
        </w:rPr>
      </w:pPr>
      <w:r w:rsidRPr="00347697">
        <w:rPr>
          <w:rFonts w:ascii="Times New Roman" w:hAnsi="Times New Roman" w:cs="Times New Roman"/>
          <w:sz w:val="24"/>
          <w:szCs w:val="24"/>
          <w:u w:val="single"/>
        </w:rPr>
        <w:t>Demonstrating Transfer-Level English Competency</w:t>
      </w:r>
    </w:p>
    <w:p w14:paraId="1945B1A2" w14:textId="77777777" w:rsidR="00D10B09" w:rsidRPr="00347697" w:rsidRDefault="00D10B09" w:rsidP="00CD5BE6">
      <w:pPr>
        <w:spacing w:after="0" w:line="240" w:lineRule="auto"/>
        <w:rPr>
          <w:rFonts w:ascii="Times New Roman" w:hAnsi="Times New Roman" w:cs="Times New Roman"/>
          <w:sz w:val="24"/>
          <w:szCs w:val="24"/>
        </w:rPr>
      </w:pPr>
    </w:p>
    <w:p w14:paraId="67D96333" w14:textId="1E41AECC" w:rsidR="00DE3DD1" w:rsidRPr="00347697" w:rsidRDefault="00DE3DD1" w:rsidP="00CD5BE6">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Noticeable differences are observed in the likelihood of achieving transfer-level English competency depending on a student’s entry point to the curriculum.  Students who enter through Engl B53 are more likely to achieve transfer-level competency than are students who enter through Engl B60 (25% versus </w:t>
      </w:r>
      <w:r w:rsidR="00E348ED">
        <w:rPr>
          <w:rFonts w:ascii="Times New Roman" w:hAnsi="Times New Roman" w:cs="Times New Roman"/>
          <w:sz w:val="24"/>
          <w:szCs w:val="24"/>
        </w:rPr>
        <w:t>15</w:t>
      </w:r>
      <w:r w:rsidRPr="00347697">
        <w:rPr>
          <w:rFonts w:ascii="Times New Roman" w:hAnsi="Times New Roman" w:cs="Times New Roman"/>
          <w:sz w:val="24"/>
          <w:szCs w:val="24"/>
        </w:rPr>
        <w:t xml:space="preserve">%).  Likewise, students who enter through </w:t>
      </w:r>
      <w:r w:rsidR="00D7415B" w:rsidRPr="00347697">
        <w:rPr>
          <w:rFonts w:ascii="Times New Roman" w:hAnsi="Times New Roman" w:cs="Times New Roman"/>
          <w:sz w:val="24"/>
          <w:szCs w:val="24"/>
        </w:rPr>
        <w:t>LRNC B510</w:t>
      </w:r>
      <w:r w:rsidR="00D334A5" w:rsidRPr="0072729B">
        <w:rPr>
          <w:rFonts w:ascii="Times New Roman" w:hAnsi="Times New Roman" w:cs="Times New Roman"/>
          <w:i/>
          <w:sz w:val="24"/>
          <w:szCs w:val="24"/>
        </w:rPr>
        <w:t>f</w:t>
      </w:r>
      <w:r w:rsidR="00D7415B" w:rsidRPr="00347697">
        <w:rPr>
          <w:rFonts w:ascii="Times New Roman" w:hAnsi="Times New Roman" w:cs="Times New Roman"/>
          <w:sz w:val="24"/>
          <w:szCs w:val="24"/>
        </w:rPr>
        <w:t xml:space="preserve"> are more likely to achieve transfer-level competency than are students who enter through Engl B50 (</w:t>
      </w:r>
      <w:r w:rsidR="00E348ED">
        <w:rPr>
          <w:rFonts w:ascii="Times New Roman" w:hAnsi="Times New Roman" w:cs="Times New Roman"/>
          <w:sz w:val="24"/>
          <w:szCs w:val="24"/>
        </w:rPr>
        <w:t>48</w:t>
      </w:r>
      <w:r w:rsidR="00D7415B" w:rsidRPr="00347697">
        <w:rPr>
          <w:rFonts w:ascii="Times New Roman" w:hAnsi="Times New Roman" w:cs="Times New Roman"/>
          <w:sz w:val="24"/>
          <w:szCs w:val="24"/>
        </w:rPr>
        <w:t xml:space="preserve">% versus </w:t>
      </w:r>
      <w:r w:rsidR="00E348ED">
        <w:rPr>
          <w:rFonts w:ascii="Times New Roman" w:hAnsi="Times New Roman" w:cs="Times New Roman"/>
          <w:sz w:val="24"/>
          <w:szCs w:val="24"/>
        </w:rPr>
        <w:t>33</w:t>
      </w:r>
      <w:r w:rsidR="00D7415B" w:rsidRPr="00347697">
        <w:rPr>
          <w:rFonts w:ascii="Times New Roman" w:hAnsi="Times New Roman" w:cs="Times New Roman"/>
          <w:sz w:val="24"/>
          <w:szCs w:val="24"/>
        </w:rPr>
        <w:t xml:space="preserve">%). </w:t>
      </w:r>
    </w:p>
    <w:p w14:paraId="1F356896" w14:textId="77777777" w:rsidR="00DE3DD1" w:rsidRPr="00347697" w:rsidRDefault="00DE3DD1" w:rsidP="00CD5BE6">
      <w:pPr>
        <w:spacing w:after="0" w:line="240" w:lineRule="auto"/>
        <w:rPr>
          <w:rFonts w:ascii="Times New Roman" w:hAnsi="Times New Roman" w:cs="Times New Roman"/>
          <w:sz w:val="24"/>
          <w:szCs w:val="24"/>
        </w:rPr>
      </w:pPr>
    </w:p>
    <w:p w14:paraId="05B10B50" w14:textId="29EFD2CE" w:rsidR="00DE3DD1" w:rsidRPr="00347697" w:rsidRDefault="00DE3DD1" w:rsidP="00DE3DD1">
      <w:pPr>
        <w:spacing w:after="0" w:line="240" w:lineRule="auto"/>
        <w:rPr>
          <w:rFonts w:ascii="Times New Roman" w:hAnsi="Times New Roman" w:cs="Times New Roman"/>
          <w:sz w:val="24"/>
          <w:szCs w:val="24"/>
        </w:rPr>
      </w:pPr>
      <w:r w:rsidRPr="004E7C71">
        <w:rPr>
          <w:rFonts w:ascii="Times New Roman" w:hAnsi="Times New Roman" w:cs="Times New Roman"/>
          <w:sz w:val="24"/>
          <w:szCs w:val="24"/>
          <w:u w:val="single"/>
        </w:rPr>
        <w:t xml:space="preserve">Time to Transfer-Level </w:t>
      </w:r>
      <w:r w:rsidR="00D7415B" w:rsidRPr="004E7C71">
        <w:rPr>
          <w:rFonts w:ascii="Times New Roman" w:hAnsi="Times New Roman" w:cs="Times New Roman"/>
          <w:sz w:val="24"/>
          <w:szCs w:val="24"/>
          <w:u w:val="single"/>
        </w:rPr>
        <w:t>English</w:t>
      </w:r>
      <w:r w:rsidRPr="004E7C71">
        <w:rPr>
          <w:rFonts w:ascii="Times New Roman" w:hAnsi="Times New Roman" w:cs="Times New Roman"/>
          <w:sz w:val="24"/>
          <w:szCs w:val="24"/>
          <w:u w:val="single"/>
        </w:rPr>
        <w:t xml:space="preserve"> Competency</w:t>
      </w:r>
    </w:p>
    <w:p w14:paraId="1AFA0C28" w14:textId="77777777" w:rsidR="00DE3DD1" w:rsidRPr="00347697" w:rsidRDefault="00DE3DD1" w:rsidP="00CD5BE6">
      <w:pPr>
        <w:spacing w:after="0" w:line="240" w:lineRule="auto"/>
        <w:rPr>
          <w:rFonts w:ascii="Times New Roman" w:hAnsi="Times New Roman" w:cs="Times New Roman"/>
          <w:sz w:val="24"/>
          <w:szCs w:val="24"/>
        </w:rPr>
      </w:pPr>
    </w:p>
    <w:p w14:paraId="4D7BF24C" w14:textId="58DB98E2" w:rsidR="004342B1" w:rsidRPr="00347697" w:rsidRDefault="004342B1" w:rsidP="00CD5BE6">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In Table </w:t>
      </w:r>
      <w:r w:rsidR="00E348ED">
        <w:rPr>
          <w:rFonts w:ascii="Times New Roman" w:hAnsi="Times New Roman" w:cs="Times New Roman"/>
          <w:sz w:val="24"/>
          <w:szCs w:val="24"/>
        </w:rPr>
        <w:t>10</w:t>
      </w:r>
      <w:r w:rsidRPr="00347697">
        <w:rPr>
          <w:rFonts w:ascii="Times New Roman" w:hAnsi="Times New Roman" w:cs="Times New Roman"/>
          <w:sz w:val="24"/>
          <w:szCs w:val="24"/>
        </w:rPr>
        <w:t xml:space="preserve">, I present the average time to demonstrate transfer-level English competency by entry point to the English curriculum.  This table includes only those students who ultimately completed a transfer-level English course.  </w:t>
      </w:r>
    </w:p>
    <w:p w14:paraId="74A159AB" w14:textId="77777777" w:rsidR="004342B1" w:rsidRPr="00347697" w:rsidRDefault="004342B1" w:rsidP="00CD5BE6">
      <w:pPr>
        <w:spacing w:after="0" w:line="240" w:lineRule="auto"/>
        <w:rPr>
          <w:rFonts w:ascii="Times New Roman" w:hAnsi="Times New Roman" w:cs="Times New Roman"/>
          <w:sz w:val="24"/>
          <w:szCs w:val="24"/>
        </w:rPr>
      </w:pPr>
    </w:p>
    <w:p w14:paraId="7076F064" w14:textId="67A67F6F" w:rsidR="00D7415B" w:rsidRPr="00347697" w:rsidRDefault="004342B1" w:rsidP="00E774C0">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Of the</w:t>
      </w:r>
      <w:r w:rsidR="00D7415B" w:rsidRPr="00347697">
        <w:rPr>
          <w:rFonts w:ascii="Times New Roman" w:hAnsi="Times New Roman" w:cs="Times New Roman"/>
          <w:sz w:val="24"/>
          <w:szCs w:val="24"/>
        </w:rPr>
        <w:t xml:space="preserve"> students who achieve transfer-level English competency, students who enter the curriculum through LNRC B510</w:t>
      </w:r>
      <w:r w:rsidR="007C1335" w:rsidRPr="0072729B">
        <w:rPr>
          <w:rFonts w:ascii="Times New Roman" w:hAnsi="Times New Roman" w:cs="Times New Roman"/>
          <w:i/>
          <w:sz w:val="24"/>
          <w:szCs w:val="24"/>
        </w:rPr>
        <w:t>f</w:t>
      </w:r>
      <w:r w:rsidR="00D7415B" w:rsidRPr="00347697">
        <w:rPr>
          <w:rFonts w:ascii="Times New Roman" w:hAnsi="Times New Roman" w:cs="Times New Roman"/>
          <w:sz w:val="24"/>
          <w:szCs w:val="24"/>
        </w:rPr>
        <w:t xml:space="preserve"> </w:t>
      </w:r>
      <w:r w:rsidR="00D334A5" w:rsidRPr="00347697">
        <w:rPr>
          <w:rFonts w:ascii="Times New Roman" w:hAnsi="Times New Roman" w:cs="Times New Roman"/>
          <w:sz w:val="24"/>
          <w:szCs w:val="24"/>
        </w:rPr>
        <w:t>achieve transfer-level English competency</w:t>
      </w:r>
      <w:r w:rsidR="00D334A5" w:rsidRPr="00347697" w:rsidDel="00D334A5">
        <w:rPr>
          <w:rFonts w:ascii="Times New Roman" w:hAnsi="Times New Roman" w:cs="Times New Roman"/>
          <w:sz w:val="24"/>
          <w:szCs w:val="24"/>
        </w:rPr>
        <w:t xml:space="preserve"> </w:t>
      </w:r>
      <w:r w:rsidR="00D7415B" w:rsidRPr="00347697">
        <w:rPr>
          <w:rFonts w:ascii="Times New Roman" w:hAnsi="Times New Roman" w:cs="Times New Roman"/>
          <w:sz w:val="24"/>
          <w:szCs w:val="24"/>
        </w:rPr>
        <w:t xml:space="preserve">much faster than </w:t>
      </w:r>
      <w:r w:rsidRPr="00347697">
        <w:rPr>
          <w:rFonts w:ascii="Times New Roman" w:hAnsi="Times New Roman" w:cs="Times New Roman"/>
          <w:sz w:val="24"/>
          <w:szCs w:val="24"/>
        </w:rPr>
        <w:t xml:space="preserve">do </w:t>
      </w:r>
      <w:r w:rsidR="00D7415B" w:rsidRPr="00347697">
        <w:rPr>
          <w:rFonts w:ascii="Times New Roman" w:hAnsi="Times New Roman" w:cs="Times New Roman"/>
          <w:sz w:val="24"/>
          <w:szCs w:val="24"/>
        </w:rPr>
        <w:t>students who enter through other courses</w:t>
      </w:r>
      <w:r w:rsidRPr="00347697">
        <w:rPr>
          <w:rFonts w:ascii="Times New Roman" w:hAnsi="Times New Roman" w:cs="Times New Roman"/>
          <w:sz w:val="24"/>
          <w:szCs w:val="24"/>
        </w:rPr>
        <w:t>, in an average of 1.</w:t>
      </w:r>
      <w:r w:rsidR="00E348ED">
        <w:rPr>
          <w:rFonts w:ascii="Times New Roman" w:hAnsi="Times New Roman" w:cs="Times New Roman"/>
          <w:sz w:val="24"/>
          <w:szCs w:val="24"/>
        </w:rPr>
        <w:t>3</w:t>
      </w:r>
      <w:r w:rsidRPr="00347697">
        <w:rPr>
          <w:rFonts w:ascii="Times New Roman" w:hAnsi="Times New Roman" w:cs="Times New Roman"/>
          <w:sz w:val="24"/>
          <w:szCs w:val="24"/>
        </w:rPr>
        <w:t xml:space="preserve"> terms from college entry</w:t>
      </w:r>
      <w:r w:rsidR="00E774C0">
        <w:rPr>
          <w:rFonts w:ascii="Times New Roman" w:hAnsi="Times New Roman" w:cs="Times New Roman"/>
          <w:sz w:val="24"/>
          <w:szCs w:val="24"/>
        </w:rPr>
        <w:t xml:space="preserve"> and 0.7 terms from first English enrollment</w:t>
      </w:r>
      <w:r w:rsidR="00D7415B" w:rsidRPr="00347697">
        <w:rPr>
          <w:rFonts w:ascii="Times New Roman" w:hAnsi="Times New Roman" w:cs="Times New Roman"/>
          <w:sz w:val="24"/>
          <w:szCs w:val="24"/>
        </w:rPr>
        <w:t>.  At the other end of the continuum, students who enter through</w:t>
      </w:r>
      <w:r w:rsidR="00BA4F0E" w:rsidRPr="00347697">
        <w:rPr>
          <w:rFonts w:ascii="Times New Roman" w:hAnsi="Times New Roman" w:cs="Times New Roman"/>
          <w:sz w:val="24"/>
          <w:szCs w:val="24"/>
        </w:rPr>
        <w:t xml:space="preserve"> Engl B60 have the slowest time</w:t>
      </w:r>
      <w:r w:rsidRPr="00347697">
        <w:rPr>
          <w:rFonts w:ascii="Times New Roman" w:hAnsi="Times New Roman" w:cs="Times New Roman"/>
          <w:sz w:val="24"/>
          <w:szCs w:val="24"/>
        </w:rPr>
        <w:t xml:space="preserve"> to transfer-level English competency, </w:t>
      </w:r>
      <w:r w:rsidR="00BA4F0E" w:rsidRPr="00347697">
        <w:rPr>
          <w:rFonts w:ascii="Times New Roman" w:hAnsi="Times New Roman" w:cs="Times New Roman"/>
          <w:sz w:val="24"/>
          <w:szCs w:val="24"/>
        </w:rPr>
        <w:t>with</w:t>
      </w:r>
      <w:r w:rsidRPr="00347697">
        <w:rPr>
          <w:rFonts w:ascii="Times New Roman" w:hAnsi="Times New Roman" w:cs="Times New Roman"/>
          <w:sz w:val="24"/>
          <w:szCs w:val="24"/>
        </w:rPr>
        <w:t xml:space="preserve"> an average of 4.</w:t>
      </w:r>
      <w:r w:rsidR="00E348ED">
        <w:rPr>
          <w:rFonts w:ascii="Times New Roman" w:hAnsi="Times New Roman" w:cs="Times New Roman"/>
          <w:sz w:val="24"/>
          <w:szCs w:val="24"/>
        </w:rPr>
        <w:t>1</w:t>
      </w:r>
      <w:r w:rsidRPr="00347697">
        <w:rPr>
          <w:rFonts w:ascii="Times New Roman" w:hAnsi="Times New Roman" w:cs="Times New Roman"/>
          <w:sz w:val="24"/>
          <w:szCs w:val="24"/>
        </w:rPr>
        <w:t xml:space="preserve"> terms from college entry</w:t>
      </w:r>
      <w:r w:rsidR="00E774C0">
        <w:rPr>
          <w:rFonts w:ascii="Times New Roman" w:hAnsi="Times New Roman" w:cs="Times New Roman"/>
          <w:sz w:val="24"/>
          <w:szCs w:val="24"/>
        </w:rPr>
        <w:t xml:space="preserve"> and 3.6 terms from first English enrollment</w:t>
      </w:r>
      <w:r w:rsidRPr="00347697">
        <w:rPr>
          <w:rFonts w:ascii="Times New Roman" w:hAnsi="Times New Roman" w:cs="Times New Roman"/>
          <w:sz w:val="24"/>
          <w:szCs w:val="24"/>
        </w:rPr>
        <w:t>.</w:t>
      </w:r>
      <w:r w:rsidR="00E774C0">
        <w:rPr>
          <w:rFonts w:ascii="Times New Roman" w:hAnsi="Times New Roman" w:cs="Times New Roman"/>
          <w:sz w:val="24"/>
          <w:szCs w:val="24"/>
        </w:rPr>
        <w:t xml:space="preserve">  All of the entry points except </w:t>
      </w:r>
      <w:r w:rsidR="00E774C0" w:rsidRPr="00347697">
        <w:rPr>
          <w:rFonts w:ascii="Times New Roman" w:hAnsi="Times New Roman" w:cs="Times New Roman"/>
          <w:sz w:val="24"/>
          <w:szCs w:val="24"/>
        </w:rPr>
        <w:t>Engl B60</w:t>
      </w:r>
      <w:r w:rsidR="00E774C0">
        <w:rPr>
          <w:rFonts w:ascii="Times New Roman" w:hAnsi="Times New Roman" w:cs="Times New Roman"/>
          <w:sz w:val="24"/>
          <w:szCs w:val="24"/>
        </w:rPr>
        <w:t xml:space="preserve"> have average times to transfer-level competency that </w:t>
      </w:r>
      <w:r w:rsidR="00F83B7F">
        <w:rPr>
          <w:rFonts w:ascii="Times New Roman" w:hAnsi="Times New Roman" w:cs="Times New Roman"/>
          <w:sz w:val="24"/>
          <w:szCs w:val="24"/>
        </w:rPr>
        <w:t xml:space="preserve">are less than the time specified in the implementation of AB705.  As was the case with math, the reader will note than an average of </w:t>
      </w:r>
      <w:r w:rsidR="00D334A5">
        <w:rPr>
          <w:rFonts w:ascii="Times New Roman" w:hAnsi="Times New Roman" w:cs="Times New Roman"/>
          <w:sz w:val="24"/>
          <w:szCs w:val="24"/>
        </w:rPr>
        <w:t>three</w:t>
      </w:r>
      <w:r w:rsidR="00F83B7F">
        <w:rPr>
          <w:rFonts w:ascii="Times New Roman" w:hAnsi="Times New Roman" w:cs="Times New Roman"/>
          <w:sz w:val="24"/>
          <w:szCs w:val="24"/>
        </w:rPr>
        <w:t xml:space="preserve"> terms from first attempted Engli</w:t>
      </w:r>
      <w:r w:rsidR="00D334A5">
        <w:rPr>
          <w:rFonts w:ascii="Times New Roman" w:hAnsi="Times New Roman" w:cs="Times New Roman"/>
          <w:sz w:val="24"/>
          <w:szCs w:val="24"/>
        </w:rPr>
        <w:t>sh course is equivalent to the two</w:t>
      </w:r>
      <w:r w:rsidR="00F83B7F">
        <w:rPr>
          <w:rFonts w:ascii="Times New Roman" w:hAnsi="Times New Roman" w:cs="Times New Roman"/>
          <w:sz w:val="24"/>
          <w:szCs w:val="24"/>
        </w:rPr>
        <w:t xml:space="preserve"> </w:t>
      </w:r>
      <w:r w:rsidR="00F83B7F" w:rsidRPr="00EF4FE2">
        <w:rPr>
          <w:rFonts w:ascii="Times New Roman" w:hAnsi="Times New Roman" w:cs="Times New Roman"/>
          <w:i/>
          <w:sz w:val="24"/>
          <w:szCs w:val="24"/>
        </w:rPr>
        <w:t>regular</w:t>
      </w:r>
      <w:r w:rsidR="00F83B7F">
        <w:rPr>
          <w:rFonts w:ascii="Times New Roman" w:hAnsi="Times New Roman" w:cs="Times New Roman"/>
          <w:sz w:val="24"/>
          <w:szCs w:val="24"/>
        </w:rPr>
        <w:t xml:space="preserve"> terms specified in the implementation of AB705 because the study reported here counts summer terms.</w:t>
      </w:r>
    </w:p>
    <w:p w14:paraId="1DF11814" w14:textId="77777777" w:rsidR="00D7415B" w:rsidRPr="00347697" w:rsidRDefault="00D7415B" w:rsidP="00CD5BE6">
      <w:pPr>
        <w:spacing w:after="0" w:line="240" w:lineRule="auto"/>
        <w:rPr>
          <w:rFonts w:ascii="Times New Roman" w:hAnsi="Times New Roman" w:cs="Times New Roman"/>
          <w:sz w:val="24"/>
          <w:szCs w:val="24"/>
        </w:rPr>
      </w:pPr>
    </w:p>
    <w:p w14:paraId="3380FFFC" w14:textId="14688CE5" w:rsidR="004F61FA" w:rsidRPr="00347697" w:rsidRDefault="00A90080" w:rsidP="004F61FA">
      <w:pPr>
        <w:spacing w:after="0" w:line="240" w:lineRule="auto"/>
        <w:rPr>
          <w:rFonts w:ascii="Times New Roman" w:hAnsi="Times New Roman" w:cs="Times New Roman"/>
          <w:b/>
          <w:sz w:val="24"/>
          <w:szCs w:val="24"/>
        </w:rPr>
      </w:pPr>
      <w:r w:rsidRPr="00347697">
        <w:rPr>
          <w:rFonts w:ascii="Times New Roman" w:hAnsi="Times New Roman" w:cs="Times New Roman"/>
          <w:b/>
          <w:sz w:val="24"/>
          <w:szCs w:val="24"/>
        </w:rPr>
        <w:t>6</w:t>
      </w:r>
      <w:r w:rsidR="004F61FA" w:rsidRPr="00347697">
        <w:rPr>
          <w:rFonts w:ascii="Times New Roman" w:hAnsi="Times New Roman" w:cs="Times New Roman"/>
          <w:b/>
          <w:sz w:val="24"/>
          <w:szCs w:val="24"/>
        </w:rPr>
        <w:t>.</w:t>
      </w:r>
      <w:r w:rsidR="00C43974" w:rsidRPr="00347697">
        <w:rPr>
          <w:rFonts w:ascii="Times New Roman" w:hAnsi="Times New Roman" w:cs="Times New Roman"/>
          <w:b/>
          <w:sz w:val="24"/>
          <w:szCs w:val="24"/>
        </w:rPr>
        <w:t>3</w:t>
      </w:r>
      <w:r w:rsidR="004F61FA" w:rsidRPr="00347697">
        <w:rPr>
          <w:rFonts w:ascii="Times New Roman" w:hAnsi="Times New Roman" w:cs="Times New Roman"/>
          <w:b/>
          <w:sz w:val="24"/>
          <w:szCs w:val="24"/>
        </w:rPr>
        <w:t xml:space="preserve"> Operationalizing </w:t>
      </w:r>
      <w:r w:rsidR="00C422AF">
        <w:rPr>
          <w:rFonts w:ascii="Times New Roman" w:hAnsi="Times New Roman" w:cs="Times New Roman"/>
          <w:b/>
          <w:sz w:val="24"/>
          <w:szCs w:val="24"/>
        </w:rPr>
        <w:t xml:space="preserve">Common </w:t>
      </w:r>
      <w:r w:rsidR="000B6413" w:rsidRPr="00347697">
        <w:rPr>
          <w:rFonts w:ascii="Times New Roman" w:hAnsi="Times New Roman" w:cs="Times New Roman"/>
          <w:b/>
          <w:sz w:val="24"/>
          <w:szCs w:val="24"/>
        </w:rPr>
        <w:t xml:space="preserve">English </w:t>
      </w:r>
      <w:r w:rsidR="004F61FA" w:rsidRPr="00347697">
        <w:rPr>
          <w:rFonts w:ascii="Times New Roman" w:hAnsi="Times New Roman" w:cs="Times New Roman"/>
          <w:b/>
          <w:sz w:val="24"/>
          <w:szCs w:val="24"/>
        </w:rPr>
        <w:t>Pathways</w:t>
      </w:r>
    </w:p>
    <w:p w14:paraId="676CA60A" w14:textId="77777777" w:rsidR="00ED1BDB" w:rsidRPr="00347697" w:rsidRDefault="00ED1BDB" w:rsidP="004F61FA">
      <w:pPr>
        <w:spacing w:after="0" w:line="240" w:lineRule="auto"/>
        <w:rPr>
          <w:rFonts w:ascii="Times New Roman" w:hAnsi="Times New Roman" w:cs="Times New Roman"/>
          <w:sz w:val="24"/>
          <w:szCs w:val="24"/>
        </w:rPr>
      </w:pPr>
    </w:p>
    <w:p w14:paraId="0964D0AE" w14:textId="29D773C6" w:rsidR="00ED1BDB" w:rsidRPr="00347697" w:rsidRDefault="00ED1BDB" w:rsidP="00ED1BDB">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This section poses two questions.  Taking into account students’ particular first English course and their outcome (successful versus unsuccessful) in </w:t>
      </w:r>
      <w:r w:rsidR="00BA4F0E" w:rsidRPr="00347697">
        <w:rPr>
          <w:rFonts w:ascii="Times New Roman" w:hAnsi="Times New Roman" w:cs="Times New Roman"/>
          <w:sz w:val="24"/>
          <w:szCs w:val="24"/>
        </w:rPr>
        <w:t>the</w:t>
      </w:r>
      <w:r w:rsidRPr="00347697">
        <w:rPr>
          <w:rFonts w:ascii="Times New Roman" w:hAnsi="Times New Roman" w:cs="Times New Roman"/>
          <w:sz w:val="24"/>
          <w:szCs w:val="24"/>
        </w:rPr>
        <w:t xml:space="preserve"> first attempt of </w:t>
      </w:r>
      <w:r w:rsidR="00BA4F0E" w:rsidRPr="00347697">
        <w:rPr>
          <w:rFonts w:ascii="Times New Roman" w:hAnsi="Times New Roman" w:cs="Times New Roman"/>
          <w:sz w:val="24"/>
          <w:szCs w:val="24"/>
        </w:rPr>
        <w:t xml:space="preserve">their </w:t>
      </w:r>
      <w:r w:rsidRPr="00347697">
        <w:rPr>
          <w:rFonts w:ascii="Times New Roman" w:hAnsi="Times New Roman" w:cs="Times New Roman"/>
          <w:sz w:val="24"/>
          <w:szCs w:val="24"/>
        </w:rPr>
        <w:t>first English course:</w:t>
      </w:r>
    </w:p>
    <w:p w14:paraId="7BA65F86" w14:textId="6B34CAA7" w:rsidR="00ED1BDB" w:rsidRPr="00347697" w:rsidRDefault="00ED1BDB" w:rsidP="00EF6CD7">
      <w:pPr>
        <w:pStyle w:val="ListParagraph"/>
        <w:numPr>
          <w:ilvl w:val="0"/>
          <w:numId w:val="9"/>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 xml:space="preserve">How likely are students to attempt a second English course, including repeating the first course if necessary? </w:t>
      </w:r>
    </w:p>
    <w:p w14:paraId="38ABA05A" w14:textId="37092D77" w:rsidR="00ED1BDB" w:rsidRPr="00347697" w:rsidRDefault="00ED1BDB" w:rsidP="00EF6CD7">
      <w:pPr>
        <w:pStyle w:val="ListParagraph"/>
        <w:numPr>
          <w:ilvl w:val="0"/>
          <w:numId w:val="9"/>
        </w:num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Among students who attempt a second English course, what are the most common second courses?</w:t>
      </w:r>
    </w:p>
    <w:p w14:paraId="4E2AB0EA" w14:textId="77777777" w:rsidR="00ED1BDB" w:rsidRPr="00347697" w:rsidRDefault="00ED1BDB" w:rsidP="004F61FA">
      <w:pPr>
        <w:spacing w:after="0" w:line="240" w:lineRule="auto"/>
        <w:rPr>
          <w:rFonts w:ascii="Times New Roman" w:hAnsi="Times New Roman" w:cs="Times New Roman"/>
          <w:sz w:val="24"/>
          <w:szCs w:val="24"/>
        </w:rPr>
      </w:pPr>
    </w:p>
    <w:p w14:paraId="7621FD94" w14:textId="124FEE61" w:rsidR="00ED1BDB" w:rsidRPr="00347697" w:rsidRDefault="00ED1BDB" w:rsidP="004F61FA">
      <w:pPr>
        <w:spacing w:after="0" w:line="240" w:lineRule="auto"/>
        <w:rPr>
          <w:rFonts w:ascii="Times New Roman" w:hAnsi="Times New Roman" w:cs="Times New Roman"/>
          <w:sz w:val="24"/>
          <w:szCs w:val="24"/>
        </w:rPr>
      </w:pPr>
      <w:r w:rsidRPr="00E348ED">
        <w:rPr>
          <w:rFonts w:ascii="Times New Roman" w:hAnsi="Times New Roman" w:cs="Times New Roman"/>
          <w:sz w:val="24"/>
          <w:szCs w:val="24"/>
        </w:rPr>
        <w:t xml:space="preserve">Table </w:t>
      </w:r>
      <w:r w:rsidR="00E348ED" w:rsidRPr="00E348ED">
        <w:rPr>
          <w:rFonts w:ascii="Times New Roman" w:hAnsi="Times New Roman" w:cs="Times New Roman"/>
          <w:sz w:val="24"/>
          <w:szCs w:val="24"/>
        </w:rPr>
        <w:t xml:space="preserve">11 </w:t>
      </w:r>
      <w:r w:rsidRPr="00E348ED">
        <w:rPr>
          <w:rFonts w:ascii="Times New Roman" w:hAnsi="Times New Roman" w:cs="Times New Roman"/>
          <w:sz w:val="24"/>
          <w:szCs w:val="24"/>
        </w:rPr>
        <w:t xml:space="preserve">provides the distribution of students’ second attempted English course, if any, by first English course </w:t>
      </w:r>
      <w:r w:rsidR="00E348ED" w:rsidRPr="00E348ED">
        <w:rPr>
          <w:rFonts w:ascii="Times New Roman" w:hAnsi="Times New Roman" w:cs="Times New Roman"/>
          <w:sz w:val="24"/>
          <w:szCs w:val="24"/>
        </w:rPr>
        <w:t>and outcome in the first attempt of first English</w:t>
      </w:r>
      <w:r w:rsidRPr="00E348ED">
        <w:rPr>
          <w:rFonts w:ascii="Times New Roman" w:hAnsi="Times New Roman" w:cs="Times New Roman"/>
          <w:sz w:val="24"/>
          <w:szCs w:val="24"/>
        </w:rPr>
        <w:t xml:space="preserve"> </w:t>
      </w:r>
      <w:r w:rsidR="00E348ED" w:rsidRPr="00E348ED">
        <w:rPr>
          <w:rFonts w:ascii="Times New Roman" w:hAnsi="Times New Roman" w:cs="Times New Roman"/>
          <w:sz w:val="24"/>
          <w:szCs w:val="24"/>
        </w:rPr>
        <w:t>(</w:t>
      </w:r>
      <w:r w:rsidRPr="0072729B">
        <w:rPr>
          <w:rFonts w:ascii="Times New Roman" w:hAnsi="Times New Roman" w:cs="Times New Roman"/>
          <w:sz w:val="24"/>
          <w:szCs w:val="24"/>
        </w:rPr>
        <w:t>successful</w:t>
      </w:r>
      <w:r w:rsidRPr="00E348ED">
        <w:rPr>
          <w:rFonts w:ascii="Times New Roman" w:hAnsi="Times New Roman" w:cs="Times New Roman"/>
          <w:sz w:val="24"/>
          <w:szCs w:val="24"/>
        </w:rPr>
        <w:t xml:space="preserve"> </w:t>
      </w:r>
      <w:r w:rsidR="00E348ED" w:rsidRPr="00E348ED">
        <w:rPr>
          <w:rFonts w:ascii="Times New Roman" w:hAnsi="Times New Roman" w:cs="Times New Roman"/>
          <w:sz w:val="24"/>
          <w:szCs w:val="24"/>
        </w:rPr>
        <w:t>versus</w:t>
      </w:r>
      <w:r w:rsidRPr="00E348ED">
        <w:rPr>
          <w:rFonts w:ascii="Times New Roman" w:hAnsi="Times New Roman" w:cs="Times New Roman"/>
          <w:sz w:val="24"/>
          <w:szCs w:val="24"/>
        </w:rPr>
        <w:t xml:space="preserve"> </w:t>
      </w:r>
      <w:r w:rsidRPr="0072729B">
        <w:rPr>
          <w:rFonts w:ascii="Times New Roman" w:hAnsi="Times New Roman" w:cs="Times New Roman"/>
          <w:sz w:val="24"/>
          <w:szCs w:val="24"/>
        </w:rPr>
        <w:t>unsuccessful</w:t>
      </w:r>
      <w:r w:rsidR="00E348ED" w:rsidRPr="0072729B">
        <w:rPr>
          <w:rFonts w:ascii="Times New Roman" w:hAnsi="Times New Roman" w:cs="Times New Roman"/>
          <w:sz w:val="24"/>
          <w:szCs w:val="24"/>
        </w:rPr>
        <w:t>)</w:t>
      </w:r>
      <w:r w:rsidRPr="00E348ED">
        <w:rPr>
          <w:rFonts w:ascii="Times New Roman" w:hAnsi="Times New Roman" w:cs="Times New Roman"/>
          <w:sz w:val="24"/>
          <w:szCs w:val="24"/>
        </w:rPr>
        <w:t xml:space="preserve">.  </w:t>
      </w:r>
      <w:r w:rsidR="00BA4F0E" w:rsidRPr="00E348ED">
        <w:rPr>
          <w:rFonts w:ascii="Times New Roman" w:hAnsi="Times New Roman" w:cs="Times New Roman"/>
          <w:sz w:val="24"/>
          <w:szCs w:val="24"/>
        </w:rPr>
        <w:t>A</w:t>
      </w:r>
      <w:r w:rsidR="00CA02D3" w:rsidRPr="00E348ED">
        <w:rPr>
          <w:rFonts w:ascii="Times New Roman" w:hAnsi="Times New Roman" w:cs="Times New Roman"/>
          <w:sz w:val="24"/>
          <w:szCs w:val="24"/>
        </w:rPr>
        <w:t>s with math, s</w:t>
      </w:r>
      <w:r w:rsidR="00653644" w:rsidRPr="00E348ED">
        <w:rPr>
          <w:rFonts w:ascii="Times New Roman" w:hAnsi="Times New Roman" w:cs="Times New Roman"/>
          <w:sz w:val="24"/>
          <w:szCs w:val="24"/>
        </w:rPr>
        <w:t xml:space="preserve">econd English courses attempted by fewer than 30 of the students who entered the English curriculum through a given course and experienced a given outcome in that course were deemed to be rare and collapsed together into a category named </w:t>
      </w:r>
      <w:r w:rsidR="00E348ED" w:rsidRPr="0072729B">
        <w:rPr>
          <w:rFonts w:ascii="Times New Roman" w:hAnsi="Times New Roman" w:cs="Times New Roman"/>
          <w:i/>
          <w:sz w:val="24"/>
          <w:szCs w:val="24"/>
        </w:rPr>
        <w:t>Other</w:t>
      </w:r>
      <w:r w:rsidR="00653644" w:rsidRPr="00E348ED">
        <w:rPr>
          <w:rFonts w:ascii="Times New Roman" w:hAnsi="Times New Roman" w:cs="Times New Roman"/>
          <w:sz w:val="24"/>
          <w:szCs w:val="24"/>
        </w:rPr>
        <w:t>.</w:t>
      </w:r>
      <w:r w:rsidR="00653644" w:rsidRPr="00347697">
        <w:rPr>
          <w:rFonts w:ascii="Times New Roman" w:hAnsi="Times New Roman" w:cs="Times New Roman"/>
          <w:sz w:val="24"/>
          <w:szCs w:val="24"/>
        </w:rPr>
        <w:t xml:space="preserve">  </w:t>
      </w:r>
      <w:r w:rsidR="00446B85">
        <w:rPr>
          <w:rFonts w:ascii="Times New Roman" w:hAnsi="Times New Roman" w:cs="Times New Roman"/>
          <w:sz w:val="24"/>
          <w:szCs w:val="24"/>
        </w:rPr>
        <w:t>Also</w:t>
      </w:r>
      <w:r w:rsidR="002C03A1">
        <w:rPr>
          <w:rFonts w:ascii="Times New Roman" w:hAnsi="Times New Roman" w:cs="Times New Roman"/>
          <w:sz w:val="24"/>
          <w:szCs w:val="24"/>
        </w:rPr>
        <w:t xml:space="preserve"> like math, t</w:t>
      </w:r>
      <w:r w:rsidR="00E348ED">
        <w:rPr>
          <w:rFonts w:ascii="Times New Roman" w:hAnsi="Times New Roman" w:cs="Times New Roman"/>
          <w:sz w:val="24"/>
          <w:szCs w:val="24"/>
        </w:rPr>
        <w:t xml:space="preserve">he </w:t>
      </w:r>
      <w:r w:rsidR="00446B85">
        <w:rPr>
          <w:rFonts w:ascii="Times New Roman" w:hAnsi="Times New Roman" w:cs="Times New Roman"/>
          <w:sz w:val="24"/>
          <w:szCs w:val="24"/>
        </w:rPr>
        <w:t>only</w:t>
      </w:r>
      <w:r w:rsidR="00E348ED">
        <w:rPr>
          <w:rFonts w:ascii="Times New Roman" w:hAnsi="Times New Roman" w:cs="Times New Roman"/>
          <w:sz w:val="24"/>
          <w:szCs w:val="24"/>
        </w:rPr>
        <w:t xml:space="preserve"> exception</w:t>
      </w:r>
      <w:r w:rsidR="00446B85">
        <w:rPr>
          <w:rFonts w:ascii="Times New Roman" w:hAnsi="Times New Roman" w:cs="Times New Roman"/>
          <w:sz w:val="24"/>
          <w:szCs w:val="24"/>
        </w:rPr>
        <w:t>s</w:t>
      </w:r>
      <w:r w:rsidR="00E348ED">
        <w:rPr>
          <w:rFonts w:ascii="Times New Roman" w:hAnsi="Times New Roman" w:cs="Times New Roman"/>
          <w:sz w:val="24"/>
          <w:szCs w:val="24"/>
        </w:rPr>
        <w:t xml:space="preserve"> </w:t>
      </w:r>
      <w:r w:rsidR="00C422AF">
        <w:rPr>
          <w:rFonts w:ascii="Times New Roman" w:hAnsi="Times New Roman" w:cs="Times New Roman"/>
          <w:sz w:val="24"/>
          <w:szCs w:val="24"/>
        </w:rPr>
        <w:t xml:space="preserve">to this consolidation rule </w:t>
      </w:r>
      <w:r w:rsidR="00446B85">
        <w:rPr>
          <w:rFonts w:ascii="Times New Roman" w:hAnsi="Times New Roman" w:cs="Times New Roman"/>
          <w:sz w:val="24"/>
          <w:szCs w:val="24"/>
        </w:rPr>
        <w:t xml:space="preserve">were </w:t>
      </w:r>
      <w:r w:rsidR="00E348ED">
        <w:rPr>
          <w:rFonts w:ascii="Times New Roman" w:hAnsi="Times New Roman" w:cs="Times New Roman"/>
          <w:sz w:val="24"/>
          <w:szCs w:val="24"/>
        </w:rPr>
        <w:t xml:space="preserve">instances in which the percentage of </w:t>
      </w:r>
      <w:r w:rsidR="002C03A1">
        <w:rPr>
          <w:rFonts w:ascii="Times New Roman" w:hAnsi="Times New Roman" w:cs="Times New Roman"/>
          <w:sz w:val="24"/>
          <w:szCs w:val="24"/>
        </w:rPr>
        <w:t xml:space="preserve">such </w:t>
      </w:r>
      <w:r w:rsidR="00E348ED">
        <w:rPr>
          <w:rFonts w:ascii="Times New Roman" w:hAnsi="Times New Roman" w:cs="Times New Roman"/>
          <w:sz w:val="24"/>
          <w:szCs w:val="24"/>
        </w:rPr>
        <w:t xml:space="preserve">students who attempted </w:t>
      </w:r>
      <w:r w:rsidR="002C03A1">
        <w:rPr>
          <w:rFonts w:ascii="Times New Roman" w:hAnsi="Times New Roman" w:cs="Times New Roman"/>
          <w:sz w:val="24"/>
          <w:szCs w:val="24"/>
        </w:rPr>
        <w:t xml:space="preserve">the </w:t>
      </w:r>
      <w:r w:rsidR="00446B85">
        <w:rPr>
          <w:rFonts w:ascii="Times New Roman" w:hAnsi="Times New Roman" w:cs="Times New Roman"/>
          <w:sz w:val="24"/>
          <w:szCs w:val="24"/>
        </w:rPr>
        <w:t xml:space="preserve">given </w:t>
      </w:r>
      <w:r w:rsidR="00E348ED">
        <w:rPr>
          <w:rFonts w:ascii="Times New Roman" w:hAnsi="Times New Roman" w:cs="Times New Roman"/>
          <w:sz w:val="24"/>
          <w:szCs w:val="24"/>
        </w:rPr>
        <w:t xml:space="preserve">second course was equal to or greater than 20%, in which case </w:t>
      </w:r>
      <w:r w:rsidR="00E348ED">
        <w:rPr>
          <w:rFonts w:ascii="Times New Roman" w:hAnsi="Times New Roman" w:cs="Times New Roman"/>
          <w:sz w:val="24"/>
          <w:szCs w:val="24"/>
        </w:rPr>
        <w:lastRenderedPageBreak/>
        <w:t xml:space="preserve">the second course was deemed rare and collapsed into the </w:t>
      </w:r>
      <w:r w:rsidR="00E348ED" w:rsidRPr="00FC2639">
        <w:rPr>
          <w:rFonts w:ascii="Times New Roman" w:hAnsi="Times New Roman" w:cs="Times New Roman"/>
          <w:i/>
          <w:sz w:val="24"/>
          <w:szCs w:val="24"/>
        </w:rPr>
        <w:t>Other</w:t>
      </w:r>
      <w:r w:rsidR="00E348ED">
        <w:rPr>
          <w:rFonts w:ascii="Times New Roman" w:hAnsi="Times New Roman" w:cs="Times New Roman"/>
          <w:sz w:val="24"/>
          <w:szCs w:val="24"/>
        </w:rPr>
        <w:t xml:space="preserve"> category only if the number of students attempting the course was fewer than 15.</w:t>
      </w:r>
    </w:p>
    <w:p w14:paraId="56D1CE55" w14:textId="77777777" w:rsidR="00ED1BDB" w:rsidRPr="00347697" w:rsidRDefault="00ED1BDB" w:rsidP="004F61FA">
      <w:pPr>
        <w:spacing w:after="0" w:line="240" w:lineRule="auto"/>
        <w:rPr>
          <w:rFonts w:ascii="Times New Roman" w:hAnsi="Times New Roman" w:cs="Times New Roman"/>
          <w:sz w:val="24"/>
          <w:szCs w:val="24"/>
        </w:rPr>
      </w:pPr>
    </w:p>
    <w:p w14:paraId="1B1101DC" w14:textId="29B6B4F6" w:rsidR="00CA02D3" w:rsidRPr="00347697" w:rsidRDefault="00CA02D3" w:rsidP="00CA02D3">
      <w:pPr>
        <w:spacing w:after="0" w:line="240" w:lineRule="auto"/>
        <w:rPr>
          <w:rFonts w:ascii="Times New Roman" w:hAnsi="Times New Roman" w:cs="Times New Roman"/>
          <w:color w:val="000000" w:themeColor="text1"/>
          <w:sz w:val="24"/>
          <w:szCs w:val="24"/>
          <w:u w:val="single"/>
        </w:rPr>
      </w:pPr>
      <w:r w:rsidRPr="00AA5CD6">
        <w:rPr>
          <w:rFonts w:ascii="Times New Roman" w:hAnsi="Times New Roman" w:cs="Times New Roman"/>
          <w:color w:val="000000" w:themeColor="text1"/>
          <w:sz w:val="24"/>
          <w:szCs w:val="24"/>
          <w:u w:val="single"/>
        </w:rPr>
        <w:t xml:space="preserve">Defining </w:t>
      </w:r>
      <w:r w:rsidR="00766431">
        <w:rPr>
          <w:rFonts w:ascii="Times New Roman" w:hAnsi="Times New Roman" w:cs="Times New Roman"/>
          <w:color w:val="000000" w:themeColor="text1"/>
          <w:sz w:val="24"/>
          <w:szCs w:val="24"/>
          <w:u w:val="single"/>
        </w:rPr>
        <w:t xml:space="preserve">Common </w:t>
      </w:r>
      <w:r w:rsidR="00BA4F0E" w:rsidRPr="00AA5CD6">
        <w:rPr>
          <w:rFonts w:ascii="Times New Roman" w:hAnsi="Times New Roman" w:cs="Times New Roman"/>
          <w:color w:val="000000" w:themeColor="text1"/>
          <w:sz w:val="24"/>
          <w:szCs w:val="24"/>
          <w:u w:val="single"/>
        </w:rPr>
        <w:t>English</w:t>
      </w:r>
      <w:r w:rsidR="004A4365" w:rsidRPr="00AA5CD6">
        <w:rPr>
          <w:rFonts w:ascii="Times New Roman" w:hAnsi="Times New Roman" w:cs="Times New Roman"/>
          <w:color w:val="000000" w:themeColor="text1"/>
          <w:sz w:val="24"/>
          <w:szCs w:val="24"/>
          <w:u w:val="single"/>
        </w:rPr>
        <w:t xml:space="preserve"> </w:t>
      </w:r>
      <w:r w:rsidRPr="00AA5CD6">
        <w:rPr>
          <w:rFonts w:ascii="Times New Roman" w:hAnsi="Times New Roman" w:cs="Times New Roman"/>
          <w:color w:val="000000" w:themeColor="text1"/>
          <w:sz w:val="24"/>
          <w:szCs w:val="24"/>
          <w:u w:val="single"/>
        </w:rPr>
        <w:t>Pathways</w:t>
      </w:r>
    </w:p>
    <w:p w14:paraId="76812624" w14:textId="77041A55" w:rsidR="00CA02D3" w:rsidRPr="00347697" w:rsidRDefault="00BA4F0E" w:rsidP="00347697">
      <w:pPr>
        <w:tabs>
          <w:tab w:val="left" w:pos="1200"/>
        </w:tabs>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ab/>
      </w:r>
    </w:p>
    <w:p w14:paraId="53A12F62" w14:textId="1A794800" w:rsidR="00CA02D3" w:rsidRPr="00347697" w:rsidRDefault="00CA02D3" w:rsidP="00CA02D3">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Of the students who entered BC’s English</w:t>
      </w:r>
      <w:r w:rsidR="004A4365" w:rsidRPr="00347697">
        <w:rPr>
          <w:rFonts w:ascii="Times New Roman" w:hAnsi="Times New Roman" w:cs="Times New Roman"/>
          <w:color w:val="000000" w:themeColor="text1"/>
          <w:sz w:val="24"/>
          <w:szCs w:val="24"/>
        </w:rPr>
        <w:t xml:space="preserve"> curriculum through an English </w:t>
      </w:r>
      <w:r w:rsidRPr="00347697">
        <w:rPr>
          <w:rFonts w:ascii="Times New Roman" w:hAnsi="Times New Roman" w:cs="Times New Roman"/>
          <w:color w:val="000000" w:themeColor="text1"/>
          <w:sz w:val="24"/>
          <w:szCs w:val="24"/>
        </w:rPr>
        <w:t xml:space="preserve">course that is among the current developmental offerings and who had valid information on key variables of interest in this study (discussed earlier), </w:t>
      </w:r>
      <w:r w:rsidR="00AA5CD6">
        <w:rPr>
          <w:rFonts w:ascii="Times New Roman" w:hAnsi="Times New Roman" w:cs="Times New Roman"/>
          <w:color w:val="000000" w:themeColor="text1"/>
          <w:sz w:val="24"/>
          <w:szCs w:val="24"/>
        </w:rPr>
        <w:t>42</w:t>
      </w:r>
      <w:r w:rsidRPr="00347697">
        <w:rPr>
          <w:rFonts w:ascii="Times New Roman" w:hAnsi="Times New Roman" w:cs="Times New Roman"/>
          <w:color w:val="000000" w:themeColor="text1"/>
          <w:sz w:val="24"/>
          <w:szCs w:val="24"/>
        </w:rPr>
        <w:t xml:space="preserve">% completed their first </w:t>
      </w:r>
      <w:r w:rsidR="004A4365"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course successfully on the first attempt, and </w:t>
      </w:r>
      <w:r w:rsidR="00AA5CD6">
        <w:rPr>
          <w:rFonts w:ascii="Times New Roman" w:hAnsi="Times New Roman" w:cs="Times New Roman"/>
          <w:color w:val="000000" w:themeColor="text1"/>
          <w:sz w:val="24"/>
          <w:szCs w:val="24"/>
        </w:rPr>
        <w:t>59</w:t>
      </w:r>
      <w:r w:rsidRPr="00347697">
        <w:rPr>
          <w:rFonts w:ascii="Times New Roman" w:hAnsi="Times New Roman" w:cs="Times New Roman"/>
          <w:color w:val="000000" w:themeColor="text1"/>
          <w:sz w:val="24"/>
          <w:szCs w:val="24"/>
        </w:rPr>
        <w:t xml:space="preserve">% attempted a second </w:t>
      </w:r>
      <w:r w:rsidR="004A4365" w:rsidRPr="00347697">
        <w:rPr>
          <w:rFonts w:ascii="Times New Roman" w:hAnsi="Times New Roman" w:cs="Times New Roman"/>
          <w:color w:val="000000" w:themeColor="text1"/>
          <w:sz w:val="24"/>
          <w:szCs w:val="24"/>
        </w:rPr>
        <w:t>English</w:t>
      </w:r>
      <w:r w:rsidRPr="00347697">
        <w:rPr>
          <w:rFonts w:ascii="Times New Roman" w:hAnsi="Times New Roman" w:cs="Times New Roman"/>
          <w:color w:val="000000" w:themeColor="text1"/>
          <w:sz w:val="24"/>
          <w:szCs w:val="24"/>
        </w:rPr>
        <w:t xml:space="preserve"> course (including repeating the first course if necessary).  Of the students who were </w:t>
      </w:r>
      <w:r w:rsidRPr="00347697">
        <w:rPr>
          <w:rFonts w:ascii="Times New Roman" w:hAnsi="Times New Roman" w:cs="Times New Roman"/>
          <w:i/>
          <w:color w:val="000000" w:themeColor="text1"/>
          <w:sz w:val="24"/>
          <w:szCs w:val="24"/>
        </w:rPr>
        <w:t>successful</w:t>
      </w:r>
      <w:r w:rsidRPr="00347697">
        <w:rPr>
          <w:rFonts w:ascii="Times New Roman" w:hAnsi="Times New Roman" w:cs="Times New Roman"/>
          <w:color w:val="000000" w:themeColor="text1"/>
          <w:sz w:val="24"/>
          <w:szCs w:val="24"/>
        </w:rPr>
        <w:t xml:space="preserve"> in the first attempt of their first </w:t>
      </w:r>
      <w:r w:rsidR="004A4365"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course, </w:t>
      </w:r>
      <w:r w:rsidR="006B04E8">
        <w:rPr>
          <w:rFonts w:ascii="Times New Roman" w:hAnsi="Times New Roman" w:cs="Times New Roman"/>
          <w:color w:val="000000" w:themeColor="text1"/>
          <w:sz w:val="24"/>
          <w:szCs w:val="24"/>
        </w:rPr>
        <w:t>84</w:t>
      </w:r>
      <w:r w:rsidRPr="00347697">
        <w:rPr>
          <w:rFonts w:ascii="Times New Roman" w:hAnsi="Times New Roman" w:cs="Times New Roman"/>
          <w:color w:val="000000" w:themeColor="text1"/>
          <w:sz w:val="24"/>
          <w:szCs w:val="24"/>
        </w:rPr>
        <w:t xml:space="preserve">% attempted a second </w:t>
      </w:r>
      <w:r w:rsidR="004A4365"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course</w:t>
      </w:r>
      <w:r w:rsidR="00B33BF7" w:rsidRPr="00347697">
        <w:rPr>
          <w:rFonts w:ascii="Times New Roman" w:hAnsi="Times New Roman" w:cs="Times New Roman"/>
          <w:color w:val="000000" w:themeColor="text1"/>
          <w:sz w:val="24"/>
          <w:szCs w:val="24"/>
        </w:rPr>
        <w:t xml:space="preserve">, while </w:t>
      </w:r>
      <w:r w:rsidR="006B04E8">
        <w:rPr>
          <w:rFonts w:ascii="Times New Roman" w:hAnsi="Times New Roman" w:cs="Times New Roman"/>
          <w:color w:val="000000" w:themeColor="text1"/>
          <w:sz w:val="24"/>
          <w:szCs w:val="24"/>
        </w:rPr>
        <w:t>42</w:t>
      </w:r>
      <w:r w:rsidRPr="00347697">
        <w:rPr>
          <w:rFonts w:ascii="Times New Roman" w:hAnsi="Times New Roman" w:cs="Times New Roman"/>
          <w:color w:val="000000" w:themeColor="text1"/>
          <w:sz w:val="24"/>
          <w:szCs w:val="24"/>
        </w:rPr>
        <w:t xml:space="preserve">% of students who were </w:t>
      </w:r>
      <w:r w:rsidRPr="00347697">
        <w:rPr>
          <w:rFonts w:ascii="Times New Roman" w:hAnsi="Times New Roman" w:cs="Times New Roman"/>
          <w:i/>
          <w:color w:val="000000" w:themeColor="text1"/>
          <w:sz w:val="24"/>
          <w:szCs w:val="24"/>
        </w:rPr>
        <w:t>unsuccessful</w:t>
      </w:r>
      <w:r w:rsidRPr="00347697">
        <w:rPr>
          <w:rFonts w:ascii="Times New Roman" w:hAnsi="Times New Roman" w:cs="Times New Roman"/>
          <w:color w:val="000000" w:themeColor="text1"/>
          <w:sz w:val="24"/>
          <w:szCs w:val="24"/>
        </w:rPr>
        <w:t xml:space="preserve"> in their first attempt of their first </w:t>
      </w:r>
      <w:r w:rsidR="004A4365" w:rsidRPr="00347697">
        <w:rPr>
          <w:rFonts w:ascii="Times New Roman" w:hAnsi="Times New Roman" w:cs="Times New Roman"/>
          <w:color w:val="000000" w:themeColor="text1"/>
          <w:sz w:val="24"/>
          <w:szCs w:val="24"/>
        </w:rPr>
        <w:t>English</w:t>
      </w:r>
      <w:r w:rsidRPr="00347697">
        <w:rPr>
          <w:rFonts w:ascii="Times New Roman" w:hAnsi="Times New Roman" w:cs="Times New Roman"/>
          <w:color w:val="000000" w:themeColor="text1"/>
          <w:sz w:val="24"/>
          <w:szCs w:val="24"/>
        </w:rPr>
        <w:t xml:space="preserve"> course attempted a second </w:t>
      </w:r>
      <w:r w:rsidR="004A4365"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course (including repeating the first course).</w:t>
      </w:r>
    </w:p>
    <w:p w14:paraId="34D43BF7" w14:textId="77777777" w:rsidR="00FC6AA6" w:rsidRPr="00347697" w:rsidRDefault="00FC6AA6" w:rsidP="00CA02D3">
      <w:pPr>
        <w:spacing w:after="0" w:line="240" w:lineRule="auto"/>
        <w:rPr>
          <w:rFonts w:ascii="Times New Roman" w:hAnsi="Times New Roman" w:cs="Times New Roman"/>
          <w:color w:val="000000" w:themeColor="text1"/>
          <w:sz w:val="24"/>
          <w:szCs w:val="24"/>
        </w:rPr>
      </w:pPr>
    </w:p>
    <w:p w14:paraId="007B7C3B" w14:textId="50132606" w:rsidR="00BD50D4" w:rsidRDefault="00B33BF7" w:rsidP="00CA02D3">
      <w:pPr>
        <w:spacing w:after="0" w:line="240" w:lineRule="auto"/>
        <w:rPr>
          <w:rFonts w:ascii="Times New Roman" w:hAnsi="Times New Roman" w:cs="Times New Roman"/>
          <w:color w:val="000000" w:themeColor="text1"/>
          <w:sz w:val="24"/>
          <w:szCs w:val="24"/>
        </w:rPr>
      </w:pPr>
      <w:r w:rsidRPr="0064067A">
        <w:rPr>
          <w:rFonts w:ascii="Times New Roman" w:hAnsi="Times New Roman" w:cs="Times New Roman"/>
          <w:color w:val="000000" w:themeColor="text1"/>
          <w:sz w:val="24"/>
          <w:szCs w:val="24"/>
        </w:rPr>
        <w:t xml:space="preserve">Comparable to the analysis of developmental </w:t>
      </w:r>
      <w:r w:rsidR="00DB39B0" w:rsidRPr="0064067A">
        <w:rPr>
          <w:rFonts w:ascii="Times New Roman" w:hAnsi="Times New Roman" w:cs="Times New Roman"/>
          <w:color w:val="000000" w:themeColor="text1"/>
          <w:sz w:val="24"/>
          <w:szCs w:val="24"/>
        </w:rPr>
        <w:t xml:space="preserve">math, Table </w:t>
      </w:r>
      <w:r w:rsidR="006B04E8" w:rsidRPr="0064067A">
        <w:rPr>
          <w:rFonts w:ascii="Times New Roman" w:hAnsi="Times New Roman" w:cs="Times New Roman"/>
          <w:color w:val="000000" w:themeColor="text1"/>
          <w:sz w:val="24"/>
          <w:szCs w:val="24"/>
        </w:rPr>
        <w:t>11</w:t>
      </w:r>
      <w:r w:rsidR="00DB39B0" w:rsidRPr="0064067A">
        <w:rPr>
          <w:rFonts w:ascii="Times New Roman" w:hAnsi="Times New Roman" w:cs="Times New Roman"/>
          <w:color w:val="000000" w:themeColor="text1"/>
          <w:sz w:val="24"/>
          <w:szCs w:val="24"/>
        </w:rPr>
        <w:t xml:space="preserve"> provide</w:t>
      </w:r>
      <w:r w:rsidR="006B04E8" w:rsidRPr="0064067A">
        <w:rPr>
          <w:rFonts w:ascii="Times New Roman" w:hAnsi="Times New Roman" w:cs="Times New Roman"/>
          <w:color w:val="000000" w:themeColor="text1"/>
          <w:sz w:val="24"/>
          <w:szCs w:val="24"/>
        </w:rPr>
        <w:t>s</w:t>
      </w:r>
      <w:r w:rsidR="00DB39B0" w:rsidRPr="0064067A">
        <w:rPr>
          <w:rFonts w:ascii="Times New Roman" w:hAnsi="Times New Roman" w:cs="Times New Roman"/>
          <w:color w:val="000000" w:themeColor="text1"/>
          <w:sz w:val="24"/>
          <w:szCs w:val="24"/>
        </w:rPr>
        <w:t xml:space="preserve"> the information necessary to </w:t>
      </w:r>
      <w:r w:rsidR="00766431" w:rsidRPr="0064067A">
        <w:rPr>
          <w:rFonts w:ascii="Times New Roman" w:hAnsi="Times New Roman" w:cs="Times New Roman"/>
          <w:color w:val="000000" w:themeColor="text1"/>
          <w:sz w:val="24"/>
          <w:szCs w:val="24"/>
        </w:rPr>
        <w:t>identify common</w:t>
      </w:r>
      <w:r w:rsidR="00DB39B0" w:rsidRPr="0064067A">
        <w:rPr>
          <w:rFonts w:ascii="Times New Roman" w:hAnsi="Times New Roman" w:cs="Times New Roman"/>
          <w:color w:val="000000" w:themeColor="text1"/>
          <w:sz w:val="24"/>
          <w:szCs w:val="24"/>
        </w:rPr>
        <w:t xml:space="preserve"> English pathways, combining information about first English course attempted, the outcome in this first English course, and second English course attempted.</w:t>
      </w:r>
      <w:r w:rsidR="008A2E33" w:rsidRPr="0064067A">
        <w:rPr>
          <w:rFonts w:ascii="Times New Roman" w:hAnsi="Times New Roman" w:cs="Times New Roman"/>
          <w:color w:val="000000" w:themeColor="text1"/>
          <w:sz w:val="24"/>
          <w:szCs w:val="24"/>
        </w:rPr>
        <w:t xml:space="preserve">  </w:t>
      </w:r>
      <w:r w:rsidR="0064067A" w:rsidRPr="0064067A">
        <w:rPr>
          <w:rFonts w:ascii="Times New Roman" w:hAnsi="Times New Roman" w:cs="Times New Roman"/>
          <w:color w:val="000000" w:themeColor="text1"/>
          <w:sz w:val="24"/>
          <w:szCs w:val="24"/>
        </w:rPr>
        <w:t xml:space="preserve">As with math, </w:t>
      </w:r>
      <w:r w:rsidR="0064067A" w:rsidRPr="0072729B">
        <w:rPr>
          <w:rFonts w:ascii="Times New Roman" w:hAnsi="Times New Roman" w:cs="Times New Roman"/>
          <w:color w:val="000000" w:themeColor="text1"/>
          <w:sz w:val="24"/>
          <w:szCs w:val="24"/>
        </w:rPr>
        <w:t xml:space="preserve">not attempting a second English course is counted and reported as a potential choice of students who entered the curriculum through a given first English course and experienced a given outcome in that course, but it is not included among the pathways as defined here regardless of the number or fraction of students who elected this choice.  Likewise, second English courses that are collapsed into the </w:t>
      </w:r>
      <w:r w:rsidR="0064067A" w:rsidRPr="0072729B">
        <w:rPr>
          <w:rFonts w:ascii="Times New Roman" w:hAnsi="Times New Roman" w:cs="Times New Roman"/>
          <w:i/>
          <w:color w:val="000000" w:themeColor="text1"/>
          <w:sz w:val="24"/>
          <w:szCs w:val="24"/>
        </w:rPr>
        <w:t>Other</w:t>
      </w:r>
      <w:r w:rsidR="0064067A" w:rsidRPr="0072729B">
        <w:rPr>
          <w:rFonts w:ascii="Times New Roman" w:hAnsi="Times New Roman" w:cs="Times New Roman"/>
          <w:color w:val="000000" w:themeColor="text1"/>
          <w:sz w:val="24"/>
          <w:szCs w:val="24"/>
        </w:rPr>
        <w:t xml:space="preserve"> category are counted and reported but not included among the pathways as defined here. </w:t>
      </w:r>
    </w:p>
    <w:p w14:paraId="6DE9C424" w14:textId="77777777" w:rsidR="00CA02D3" w:rsidRPr="00347697" w:rsidRDefault="00CA02D3" w:rsidP="00CA02D3">
      <w:pPr>
        <w:spacing w:after="0" w:line="240" w:lineRule="auto"/>
        <w:rPr>
          <w:rFonts w:ascii="Times New Roman" w:hAnsi="Times New Roman" w:cs="Times New Roman"/>
          <w:color w:val="7030A0"/>
          <w:sz w:val="24"/>
          <w:szCs w:val="24"/>
        </w:rPr>
      </w:pPr>
    </w:p>
    <w:p w14:paraId="3C167BE9" w14:textId="0A657898" w:rsidR="00CA02D3" w:rsidRPr="00347697" w:rsidRDefault="00766431" w:rsidP="00CA02D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Twelve</w:t>
      </w:r>
      <w:r w:rsidRPr="003476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common </w:t>
      </w:r>
      <w:r w:rsidR="00311F7C" w:rsidRPr="00347697">
        <w:rPr>
          <w:rFonts w:ascii="Times New Roman" w:hAnsi="Times New Roman" w:cs="Times New Roman"/>
          <w:color w:val="000000" w:themeColor="text1"/>
          <w:sz w:val="24"/>
          <w:szCs w:val="24"/>
        </w:rPr>
        <w:t xml:space="preserve">English </w:t>
      </w:r>
      <w:r w:rsidR="00CA02D3" w:rsidRPr="00347697">
        <w:rPr>
          <w:rFonts w:ascii="Times New Roman" w:hAnsi="Times New Roman" w:cs="Times New Roman"/>
          <w:color w:val="000000" w:themeColor="text1"/>
          <w:sz w:val="24"/>
          <w:szCs w:val="24"/>
        </w:rPr>
        <w:t xml:space="preserve">pathways were identified.  Together, the </w:t>
      </w:r>
      <w:r>
        <w:rPr>
          <w:rFonts w:ascii="Times New Roman" w:hAnsi="Times New Roman" w:cs="Times New Roman"/>
          <w:color w:val="000000" w:themeColor="text1"/>
          <w:sz w:val="24"/>
          <w:szCs w:val="24"/>
        </w:rPr>
        <w:t>twelve</w:t>
      </w:r>
      <w:r w:rsidRPr="00347697">
        <w:rPr>
          <w:rFonts w:ascii="Times New Roman" w:hAnsi="Times New Roman" w:cs="Times New Roman"/>
          <w:color w:val="000000" w:themeColor="text1"/>
          <w:sz w:val="24"/>
          <w:szCs w:val="24"/>
        </w:rPr>
        <w:t xml:space="preserve"> </w:t>
      </w:r>
      <w:r w:rsidR="00CA02D3" w:rsidRPr="00347697">
        <w:rPr>
          <w:rFonts w:ascii="Times New Roman" w:hAnsi="Times New Roman" w:cs="Times New Roman"/>
          <w:color w:val="000000" w:themeColor="text1"/>
          <w:sz w:val="24"/>
          <w:szCs w:val="24"/>
        </w:rPr>
        <w:t xml:space="preserve">pathways account for </w:t>
      </w:r>
      <w:r>
        <w:rPr>
          <w:rFonts w:ascii="Times New Roman" w:hAnsi="Times New Roman" w:cs="Times New Roman"/>
          <w:color w:val="000000" w:themeColor="text1"/>
          <w:sz w:val="24"/>
          <w:szCs w:val="24"/>
        </w:rPr>
        <w:t>1,833</w:t>
      </w:r>
      <w:r w:rsidR="00CA02D3" w:rsidRPr="00347697">
        <w:rPr>
          <w:rFonts w:ascii="Times New Roman" w:hAnsi="Times New Roman" w:cs="Times New Roman"/>
          <w:color w:val="000000" w:themeColor="text1"/>
          <w:sz w:val="24"/>
          <w:szCs w:val="24"/>
        </w:rPr>
        <w:t xml:space="preserve"> students, which is </w:t>
      </w:r>
      <w:r w:rsidR="000F60A3">
        <w:rPr>
          <w:rFonts w:ascii="Times New Roman" w:hAnsi="Times New Roman" w:cs="Times New Roman"/>
          <w:color w:val="000000" w:themeColor="text1"/>
          <w:sz w:val="24"/>
          <w:szCs w:val="24"/>
        </w:rPr>
        <w:t>52</w:t>
      </w:r>
      <w:r w:rsidR="00CA02D3" w:rsidRPr="00347697">
        <w:rPr>
          <w:rFonts w:ascii="Times New Roman" w:hAnsi="Times New Roman" w:cs="Times New Roman"/>
          <w:color w:val="000000" w:themeColor="text1"/>
          <w:sz w:val="24"/>
          <w:szCs w:val="24"/>
        </w:rPr>
        <w:t xml:space="preserve">% of the </w:t>
      </w:r>
      <w:r w:rsidR="000F60A3">
        <w:rPr>
          <w:rFonts w:ascii="Times New Roman" w:hAnsi="Times New Roman" w:cs="Times New Roman"/>
          <w:color w:val="000000" w:themeColor="text1"/>
          <w:sz w:val="24"/>
          <w:szCs w:val="24"/>
        </w:rPr>
        <w:t>3,502</w:t>
      </w:r>
      <w:r w:rsidR="00CA02D3" w:rsidRPr="00347697">
        <w:rPr>
          <w:rFonts w:ascii="Times New Roman" w:hAnsi="Times New Roman" w:cs="Times New Roman"/>
          <w:color w:val="000000" w:themeColor="text1"/>
          <w:sz w:val="24"/>
          <w:szCs w:val="24"/>
        </w:rPr>
        <w:t xml:space="preserve"> students included in Table </w:t>
      </w:r>
      <w:r w:rsidR="000F60A3">
        <w:rPr>
          <w:rFonts w:ascii="Times New Roman" w:hAnsi="Times New Roman" w:cs="Times New Roman"/>
          <w:color w:val="000000" w:themeColor="text1"/>
          <w:sz w:val="24"/>
          <w:szCs w:val="24"/>
        </w:rPr>
        <w:t>11</w:t>
      </w:r>
      <w:r w:rsidR="00CA02D3" w:rsidRPr="00347697">
        <w:rPr>
          <w:rFonts w:ascii="Times New Roman" w:hAnsi="Times New Roman" w:cs="Times New Roman"/>
          <w:color w:val="000000" w:themeColor="text1"/>
          <w:sz w:val="24"/>
          <w:szCs w:val="24"/>
        </w:rPr>
        <w:t xml:space="preserve">.  However, it is </w:t>
      </w:r>
      <w:r w:rsidR="000F60A3">
        <w:rPr>
          <w:rFonts w:ascii="Times New Roman" w:hAnsi="Times New Roman" w:cs="Times New Roman"/>
          <w:color w:val="000000" w:themeColor="text1"/>
          <w:sz w:val="24"/>
          <w:szCs w:val="24"/>
        </w:rPr>
        <w:t>88</w:t>
      </w:r>
      <w:r w:rsidR="00CA02D3" w:rsidRPr="00347697">
        <w:rPr>
          <w:rFonts w:ascii="Times New Roman" w:hAnsi="Times New Roman" w:cs="Times New Roman"/>
          <w:color w:val="000000" w:themeColor="text1"/>
          <w:sz w:val="24"/>
          <w:szCs w:val="24"/>
        </w:rPr>
        <w:t xml:space="preserve">% of the subset of </w:t>
      </w:r>
      <w:r w:rsidR="000F60A3">
        <w:rPr>
          <w:rFonts w:ascii="Times New Roman" w:hAnsi="Times New Roman" w:cs="Times New Roman"/>
          <w:color w:val="000000" w:themeColor="text1"/>
          <w:sz w:val="24"/>
          <w:szCs w:val="24"/>
        </w:rPr>
        <w:t>2,082</w:t>
      </w:r>
      <w:r w:rsidR="00CA02D3" w:rsidRPr="00347697">
        <w:rPr>
          <w:rFonts w:ascii="Times New Roman" w:hAnsi="Times New Roman" w:cs="Times New Roman"/>
          <w:color w:val="000000" w:themeColor="text1"/>
          <w:sz w:val="24"/>
          <w:szCs w:val="24"/>
        </w:rPr>
        <w:t xml:space="preserve"> students in Table </w:t>
      </w:r>
      <w:r w:rsidR="000F60A3">
        <w:rPr>
          <w:rFonts w:ascii="Times New Roman" w:hAnsi="Times New Roman" w:cs="Times New Roman"/>
          <w:color w:val="000000" w:themeColor="text1"/>
          <w:sz w:val="24"/>
          <w:szCs w:val="24"/>
        </w:rPr>
        <w:t>11</w:t>
      </w:r>
      <w:r w:rsidR="00CA02D3" w:rsidRPr="00347697">
        <w:rPr>
          <w:rFonts w:ascii="Times New Roman" w:hAnsi="Times New Roman" w:cs="Times New Roman"/>
          <w:color w:val="000000" w:themeColor="text1"/>
          <w:sz w:val="24"/>
          <w:szCs w:val="24"/>
        </w:rPr>
        <w:t xml:space="preserve"> </w:t>
      </w:r>
      <w:r w:rsidR="00CA02D3" w:rsidRPr="00347697">
        <w:rPr>
          <w:rFonts w:ascii="Times New Roman" w:hAnsi="Times New Roman" w:cs="Times New Roman"/>
          <w:i/>
          <w:color w:val="000000" w:themeColor="text1"/>
          <w:sz w:val="24"/>
          <w:szCs w:val="24"/>
        </w:rPr>
        <w:t xml:space="preserve">who attempted any second </w:t>
      </w:r>
      <w:r w:rsidR="0090111C" w:rsidRPr="00347697">
        <w:rPr>
          <w:rFonts w:ascii="Times New Roman" w:hAnsi="Times New Roman" w:cs="Times New Roman"/>
          <w:i/>
          <w:color w:val="000000" w:themeColor="text1"/>
          <w:sz w:val="24"/>
          <w:szCs w:val="24"/>
        </w:rPr>
        <w:t>English</w:t>
      </w:r>
      <w:r w:rsidR="00CA02D3" w:rsidRPr="00347697">
        <w:rPr>
          <w:rFonts w:ascii="Times New Roman" w:hAnsi="Times New Roman" w:cs="Times New Roman"/>
          <w:i/>
          <w:color w:val="000000" w:themeColor="text1"/>
          <w:sz w:val="24"/>
          <w:szCs w:val="24"/>
        </w:rPr>
        <w:t xml:space="preserve"> course</w:t>
      </w:r>
      <w:r w:rsidR="00CA02D3" w:rsidRPr="00347697">
        <w:rPr>
          <w:rFonts w:ascii="Times New Roman" w:hAnsi="Times New Roman" w:cs="Times New Roman"/>
          <w:color w:val="000000" w:themeColor="text1"/>
          <w:sz w:val="24"/>
          <w:szCs w:val="24"/>
        </w:rPr>
        <w:t>, including repeating the first course.</w:t>
      </w:r>
    </w:p>
    <w:p w14:paraId="459C6399" w14:textId="77777777" w:rsidR="00CA02D3" w:rsidRPr="00347697" w:rsidRDefault="00CA02D3" w:rsidP="00CA02D3">
      <w:pPr>
        <w:spacing w:after="0" w:line="240" w:lineRule="auto"/>
        <w:rPr>
          <w:rFonts w:ascii="Times New Roman" w:hAnsi="Times New Roman" w:cs="Times New Roman"/>
          <w:color w:val="7030A0"/>
          <w:sz w:val="24"/>
          <w:szCs w:val="24"/>
        </w:rPr>
      </w:pPr>
    </w:p>
    <w:p w14:paraId="1BA5C923" w14:textId="41BD1897" w:rsidR="00CA02D3" w:rsidRPr="00347697" w:rsidRDefault="0090111C" w:rsidP="00CA02D3">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Six</w:t>
      </w:r>
      <w:r w:rsidR="00CA02D3" w:rsidRPr="00347697">
        <w:rPr>
          <w:rFonts w:ascii="Times New Roman" w:hAnsi="Times New Roman" w:cs="Times New Roman"/>
          <w:color w:val="000000" w:themeColor="text1"/>
          <w:sz w:val="24"/>
          <w:szCs w:val="24"/>
        </w:rPr>
        <w:t xml:space="preserve"> of the pathways pertain to students who successfully completed their first </w:t>
      </w:r>
      <w:r w:rsidRPr="00347697">
        <w:rPr>
          <w:rFonts w:ascii="Times New Roman" w:hAnsi="Times New Roman" w:cs="Times New Roman"/>
          <w:color w:val="000000" w:themeColor="text1"/>
          <w:sz w:val="24"/>
          <w:szCs w:val="24"/>
        </w:rPr>
        <w:t>English</w:t>
      </w:r>
      <w:r w:rsidR="00CA02D3" w:rsidRPr="00347697">
        <w:rPr>
          <w:rFonts w:ascii="Times New Roman" w:hAnsi="Times New Roman" w:cs="Times New Roman"/>
          <w:color w:val="000000" w:themeColor="text1"/>
          <w:sz w:val="24"/>
          <w:szCs w:val="24"/>
        </w:rPr>
        <w:t xml:space="preserve"> course on the first attempt.  These </w:t>
      </w:r>
      <w:r w:rsidRPr="00347697">
        <w:rPr>
          <w:rFonts w:ascii="Times New Roman" w:hAnsi="Times New Roman" w:cs="Times New Roman"/>
          <w:color w:val="000000" w:themeColor="text1"/>
          <w:sz w:val="24"/>
          <w:szCs w:val="24"/>
        </w:rPr>
        <w:t>six</w:t>
      </w:r>
      <w:r w:rsidR="00CA02D3" w:rsidRPr="00347697">
        <w:rPr>
          <w:rFonts w:ascii="Times New Roman" w:hAnsi="Times New Roman" w:cs="Times New Roman"/>
          <w:color w:val="000000" w:themeColor="text1"/>
          <w:sz w:val="24"/>
          <w:szCs w:val="24"/>
        </w:rPr>
        <w:t xml:space="preserve"> pathways account for </w:t>
      </w:r>
      <w:r w:rsidR="008E2112">
        <w:rPr>
          <w:rFonts w:ascii="Times New Roman" w:hAnsi="Times New Roman" w:cs="Times New Roman"/>
          <w:color w:val="000000" w:themeColor="text1"/>
          <w:sz w:val="24"/>
          <w:szCs w:val="24"/>
        </w:rPr>
        <w:t>1,180</w:t>
      </w:r>
      <w:r w:rsidR="00CA02D3" w:rsidRPr="00347697">
        <w:rPr>
          <w:rFonts w:ascii="Times New Roman" w:hAnsi="Times New Roman" w:cs="Times New Roman"/>
          <w:color w:val="000000" w:themeColor="text1"/>
          <w:sz w:val="24"/>
          <w:szCs w:val="24"/>
        </w:rPr>
        <w:t xml:space="preserve"> students: </w:t>
      </w:r>
      <w:r w:rsidR="008E2112">
        <w:rPr>
          <w:rFonts w:ascii="Times New Roman" w:hAnsi="Times New Roman" w:cs="Times New Roman"/>
          <w:color w:val="000000" w:themeColor="text1"/>
          <w:sz w:val="24"/>
          <w:szCs w:val="24"/>
        </w:rPr>
        <w:t>79</w:t>
      </w:r>
      <w:r w:rsidR="00CA02D3" w:rsidRPr="00347697">
        <w:rPr>
          <w:rFonts w:ascii="Times New Roman" w:hAnsi="Times New Roman" w:cs="Times New Roman"/>
          <w:color w:val="000000" w:themeColor="text1"/>
          <w:sz w:val="24"/>
          <w:szCs w:val="24"/>
        </w:rPr>
        <w:t xml:space="preserve">% of the </w:t>
      </w:r>
      <w:r w:rsidR="008E2112">
        <w:rPr>
          <w:rFonts w:ascii="Times New Roman" w:hAnsi="Times New Roman" w:cs="Times New Roman"/>
          <w:color w:val="000000" w:themeColor="text1"/>
          <w:sz w:val="24"/>
          <w:szCs w:val="24"/>
        </w:rPr>
        <w:t>1,486</w:t>
      </w:r>
      <w:r w:rsidR="003F3CA2" w:rsidRPr="00347697">
        <w:rPr>
          <w:rFonts w:ascii="Times New Roman" w:hAnsi="Times New Roman" w:cs="Times New Roman"/>
          <w:color w:val="000000" w:themeColor="text1"/>
          <w:sz w:val="24"/>
          <w:szCs w:val="24"/>
        </w:rPr>
        <w:t xml:space="preserve"> </w:t>
      </w:r>
      <w:r w:rsidR="00CA02D3" w:rsidRPr="00347697">
        <w:rPr>
          <w:rFonts w:ascii="Times New Roman" w:hAnsi="Times New Roman" w:cs="Times New Roman"/>
          <w:color w:val="000000" w:themeColor="text1"/>
          <w:sz w:val="24"/>
          <w:szCs w:val="24"/>
        </w:rPr>
        <w:t xml:space="preserve">students who were successful in their first </w:t>
      </w:r>
      <w:r w:rsidR="003F3CA2" w:rsidRPr="00347697">
        <w:rPr>
          <w:rFonts w:ascii="Times New Roman" w:hAnsi="Times New Roman" w:cs="Times New Roman"/>
          <w:color w:val="000000" w:themeColor="text1"/>
          <w:sz w:val="24"/>
          <w:szCs w:val="24"/>
        </w:rPr>
        <w:t>English</w:t>
      </w:r>
      <w:r w:rsidR="00CA02D3" w:rsidRPr="00347697">
        <w:rPr>
          <w:rFonts w:ascii="Times New Roman" w:hAnsi="Times New Roman" w:cs="Times New Roman"/>
          <w:color w:val="000000" w:themeColor="text1"/>
          <w:sz w:val="24"/>
          <w:szCs w:val="24"/>
        </w:rPr>
        <w:t xml:space="preserve"> course, and 95% of the subset of </w:t>
      </w:r>
      <w:r w:rsidR="006467DC">
        <w:rPr>
          <w:rFonts w:ascii="Times New Roman" w:hAnsi="Times New Roman" w:cs="Times New Roman"/>
          <w:color w:val="000000" w:themeColor="text1"/>
          <w:sz w:val="24"/>
          <w:szCs w:val="24"/>
        </w:rPr>
        <w:t>1,242</w:t>
      </w:r>
      <w:r w:rsidR="00CA02D3" w:rsidRPr="00347697">
        <w:rPr>
          <w:rFonts w:ascii="Times New Roman" w:hAnsi="Times New Roman" w:cs="Times New Roman"/>
          <w:color w:val="000000" w:themeColor="text1"/>
          <w:sz w:val="24"/>
          <w:szCs w:val="24"/>
        </w:rPr>
        <w:t xml:space="preserve"> students who were successful in their first </w:t>
      </w:r>
      <w:r w:rsidR="003F3CA2" w:rsidRPr="00347697">
        <w:rPr>
          <w:rFonts w:ascii="Times New Roman" w:hAnsi="Times New Roman" w:cs="Times New Roman"/>
          <w:color w:val="000000" w:themeColor="text1"/>
          <w:sz w:val="24"/>
          <w:szCs w:val="24"/>
        </w:rPr>
        <w:t>English</w:t>
      </w:r>
      <w:r w:rsidR="00CA02D3" w:rsidRPr="00347697">
        <w:rPr>
          <w:rFonts w:ascii="Times New Roman" w:hAnsi="Times New Roman" w:cs="Times New Roman"/>
          <w:color w:val="000000" w:themeColor="text1"/>
          <w:sz w:val="24"/>
          <w:szCs w:val="24"/>
        </w:rPr>
        <w:t xml:space="preserve"> course </w:t>
      </w:r>
      <w:r w:rsidR="00CA02D3" w:rsidRPr="00347697">
        <w:rPr>
          <w:rFonts w:ascii="Times New Roman" w:hAnsi="Times New Roman" w:cs="Times New Roman"/>
          <w:i/>
          <w:color w:val="000000" w:themeColor="text1"/>
          <w:sz w:val="24"/>
          <w:szCs w:val="24"/>
        </w:rPr>
        <w:t>and</w:t>
      </w:r>
      <w:r w:rsidR="00CA02D3" w:rsidRPr="00347697">
        <w:rPr>
          <w:rFonts w:ascii="Times New Roman" w:hAnsi="Times New Roman" w:cs="Times New Roman"/>
          <w:color w:val="000000" w:themeColor="text1"/>
          <w:sz w:val="24"/>
          <w:szCs w:val="24"/>
        </w:rPr>
        <w:t xml:space="preserve"> attempted any second </w:t>
      </w:r>
      <w:r w:rsidR="003F3CA2" w:rsidRPr="00347697">
        <w:rPr>
          <w:rFonts w:ascii="Times New Roman" w:hAnsi="Times New Roman" w:cs="Times New Roman"/>
          <w:color w:val="000000" w:themeColor="text1"/>
          <w:sz w:val="24"/>
          <w:szCs w:val="24"/>
        </w:rPr>
        <w:t xml:space="preserve">English </w:t>
      </w:r>
      <w:r w:rsidR="00CA02D3" w:rsidRPr="00347697">
        <w:rPr>
          <w:rFonts w:ascii="Times New Roman" w:hAnsi="Times New Roman" w:cs="Times New Roman"/>
          <w:color w:val="000000" w:themeColor="text1"/>
          <w:sz w:val="24"/>
          <w:szCs w:val="24"/>
        </w:rPr>
        <w:t>course.</w:t>
      </w:r>
    </w:p>
    <w:p w14:paraId="4222146A" w14:textId="77777777" w:rsidR="00CA02D3" w:rsidRPr="00347697" w:rsidRDefault="00CA02D3" w:rsidP="00CA02D3">
      <w:pPr>
        <w:spacing w:after="0" w:line="240" w:lineRule="auto"/>
        <w:rPr>
          <w:rFonts w:ascii="Times New Roman" w:hAnsi="Times New Roman" w:cs="Times New Roman"/>
          <w:color w:val="7030A0"/>
          <w:sz w:val="24"/>
          <w:szCs w:val="24"/>
        </w:rPr>
      </w:pPr>
    </w:p>
    <w:p w14:paraId="3075F209" w14:textId="4EB60DBB" w:rsidR="00CA02D3" w:rsidRPr="00347697" w:rsidRDefault="00CA02D3" w:rsidP="00CA02D3">
      <w:pPr>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 xml:space="preserve">The remaining </w:t>
      </w:r>
      <w:r w:rsidR="006467DC">
        <w:rPr>
          <w:rFonts w:ascii="Times New Roman" w:hAnsi="Times New Roman" w:cs="Times New Roman"/>
          <w:color w:val="000000" w:themeColor="text1"/>
          <w:sz w:val="24"/>
          <w:szCs w:val="24"/>
        </w:rPr>
        <w:t>six</w:t>
      </w:r>
      <w:r w:rsidR="006467DC"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pathways pertain to students who were unsuccessful in the first attempt of their first </w:t>
      </w:r>
      <w:r w:rsidR="003F3CA2" w:rsidRPr="00347697">
        <w:rPr>
          <w:rFonts w:ascii="Times New Roman" w:hAnsi="Times New Roman" w:cs="Times New Roman"/>
          <w:color w:val="000000" w:themeColor="text1"/>
          <w:sz w:val="24"/>
          <w:szCs w:val="24"/>
        </w:rPr>
        <w:t>English</w:t>
      </w:r>
      <w:r w:rsidRPr="00347697">
        <w:rPr>
          <w:rFonts w:ascii="Times New Roman" w:hAnsi="Times New Roman" w:cs="Times New Roman"/>
          <w:color w:val="000000" w:themeColor="text1"/>
          <w:sz w:val="24"/>
          <w:szCs w:val="24"/>
        </w:rPr>
        <w:t xml:space="preserve"> course.  These pathways account for </w:t>
      </w:r>
      <w:r w:rsidR="006467DC">
        <w:rPr>
          <w:rFonts w:ascii="Times New Roman" w:hAnsi="Times New Roman" w:cs="Times New Roman"/>
          <w:color w:val="000000" w:themeColor="text1"/>
          <w:sz w:val="24"/>
          <w:szCs w:val="24"/>
        </w:rPr>
        <w:t>653</w:t>
      </w:r>
      <w:r w:rsidRPr="00347697">
        <w:rPr>
          <w:rFonts w:ascii="Times New Roman" w:hAnsi="Times New Roman" w:cs="Times New Roman"/>
          <w:color w:val="000000" w:themeColor="text1"/>
          <w:sz w:val="24"/>
          <w:szCs w:val="24"/>
        </w:rPr>
        <w:t xml:space="preserve"> students:  </w:t>
      </w:r>
      <w:r w:rsidR="006467DC">
        <w:rPr>
          <w:rFonts w:ascii="Times New Roman" w:hAnsi="Times New Roman" w:cs="Times New Roman"/>
          <w:color w:val="000000" w:themeColor="text1"/>
          <w:sz w:val="24"/>
          <w:szCs w:val="24"/>
        </w:rPr>
        <w:t>32</w:t>
      </w:r>
      <w:r w:rsidRPr="00347697">
        <w:rPr>
          <w:rFonts w:ascii="Times New Roman" w:hAnsi="Times New Roman" w:cs="Times New Roman"/>
          <w:color w:val="000000" w:themeColor="text1"/>
          <w:sz w:val="24"/>
          <w:szCs w:val="24"/>
        </w:rPr>
        <w:t xml:space="preserve">% of the </w:t>
      </w:r>
      <w:r w:rsidR="006467DC">
        <w:rPr>
          <w:rFonts w:ascii="Times New Roman" w:hAnsi="Times New Roman" w:cs="Times New Roman"/>
          <w:color w:val="000000" w:themeColor="text1"/>
          <w:sz w:val="24"/>
          <w:szCs w:val="24"/>
        </w:rPr>
        <w:t>2,016</w:t>
      </w:r>
      <w:r w:rsidRPr="00347697">
        <w:rPr>
          <w:rFonts w:ascii="Times New Roman" w:hAnsi="Times New Roman" w:cs="Times New Roman"/>
          <w:color w:val="000000" w:themeColor="text1"/>
          <w:sz w:val="24"/>
          <w:szCs w:val="24"/>
        </w:rPr>
        <w:t xml:space="preserve"> students who were unsuccessful in their first </w:t>
      </w:r>
      <w:r w:rsidR="009D5DDE"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course, and </w:t>
      </w:r>
      <w:r w:rsidR="006467DC">
        <w:rPr>
          <w:rFonts w:ascii="Times New Roman" w:hAnsi="Times New Roman" w:cs="Times New Roman"/>
          <w:color w:val="000000" w:themeColor="text1"/>
          <w:sz w:val="24"/>
          <w:szCs w:val="24"/>
        </w:rPr>
        <w:t>78</w:t>
      </w:r>
      <w:r w:rsidRPr="00347697">
        <w:rPr>
          <w:rFonts w:ascii="Times New Roman" w:hAnsi="Times New Roman" w:cs="Times New Roman"/>
          <w:color w:val="000000" w:themeColor="text1"/>
          <w:sz w:val="24"/>
          <w:szCs w:val="24"/>
        </w:rPr>
        <w:t xml:space="preserve">% of the subset of </w:t>
      </w:r>
      <w:r w:rsidR="006467DC">
        <w:rPr>
          <w:rFonts w:ascii="Times New Roman" w:hAnsi="Times New Roman" w:cs="Times New Roman"/>
          <w:color w:val="000000" w:themeColor="text1"/>
          <w:sz w:val="24"/>
          <w:szCs w:val="24"/>
        </w:rPr>
        <w:t>840</w:t>
      </w:r>
      <w:r w:rsidRPr="00347697">
        <w:rPr>
          <w:rFonts w:ascii="Times New Roman" w:hAnsi="Times New Roman" w:cs="Times New Roman"/>
          <w:color w:val="000000" w:themeColor="text1"/>
          <w:sz w:val="24"/>
          <w:szCs w:val="24"/>
        </w:rPr>
        <w:t xml:space="preserve"> students who were unsuccessful in their first </w:t>
      </w:r>
      <w:r w:rsidR="009D5DDE"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course </w:t>
      </w:r>
      <w:r w:rsidRPr="00347697">
        <w:rPr>
          <w:rFonts w:ascii="Times New Roman" w:hAnsi="Times New Roman" w:cs="Times New Roman"/>
          <w:i/>
          <w:color w:val="000000" w:themeColor="text1"/>
          <w:sz w:val="24"/>
          <w:szCs w:val="24"/>
        </w:rPr>
        <w:t>and</w:t>
      </w:r>
      <w:r w:rsidRPr="00347697">
        <w:rPr>
          <w:rFonts w:ascii="Times New Roman" w:hAnsi="Times New Roman" w:cs="Times New Roman"/>
          <w:color w:val="000000" w:themeColor="text1"/>
          <w:sz w:val="24"/>
          <w:szCs w:val="24"/>
        </w:rPr>
        <w:t xml:space="preserve"> attempted any second </w:t>
      </w:r>
      <w:r w:rsidR="009D5DDE"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course (counting as a possible “second course” the repeating of the first </w:t>
      </w:r>
      <w:r w:rsidR="009D5DDE"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course).  </w:t>
      </w:r>
    </w:p>
    <w:p w14:paraId="37D320B5" w14:textId="6F128BBC" w:rsidR="00CA02D3" w:rsidRPr="00347697" w:rsidRDefault="00CA02D3" w:rsidP="00CA02D3">
      <w:pPr>
        <w:spacing w:after="0" w:line="240" w:lineRule="auto"/>
        <w:rPr>
          <w:rFonts w:ascii="Times New Roman" w:hAnsi="Times New Roman" w:cs="Times New Roman"/>
          <w:color w:val="000000" w:themeColor="text1"/>
          <w:sz w:val="24"/>
          <w:szCs w:val="24"/>
          <w:u w:val="single"/>
        </w:rPr>
      </w:pPr>
      <w:r w:rsidRPr="00347697">
        <w:rPr>
          <w:rFonts w:ascii="Times New Roman" w:hAnsi="Times New Roman" w:cs="Times New Roman"/>
          <w:color w:val="000000" w:themeColor="text1"/>
          <w:sz w:val="24"/>
          <w:szCs w:val="24"/>
          <w:u w:val="single"/>
        </w:rPr>
        <w:t xml:space="preserve">Students who Succeed in their First </w:t>
      </w:r>
      <w:r w:rsidR="009D5DDE" w:rsidRPr="00347697">
        <w:rPr>
          <w:rFonts w:ascii="Times New Roman" w:hAnsi="Times New Roman" w:cs="Times New Roman"/>
          <w:color w:val="000000" w:themeColor="text1"/>
          <w:sz w:val="24"/>
          <w:szCs w:val="24"/>
          <w:u w:val="single"/>
        </w:rPr>
        <w:t>English</w:t>
      </w:r>
      <w:r w:rsidRPr="00347697">
        <w:rPr>
          <w:rFonts w:ascii="Times New Roman" w:hAnsi="Times New Roman" w:cs="Times New Roman"/>
          <w:color w:val="000000" w:themeColor="text1"/>
          <w:sz w:val="24"/>
          <w:szCs w:val="24"/>
          <w:u w:val="single"/>
        </w:rPr>
        <w:t xml:space="preserve"> Course</w:t>
      </w:r>
    </w:p>
    <w:p w14:paraId="399A86A3" w14:textId="77777777" w:rsidR="00CA02D3" w:rsidRPr="00347697" w:rsidRDefault="00CA02D3" w:rsidP="00CA02D3">
      <w:pPr>
        <w:spacing w:after="0" w:line="240" w:lineRule="auto"/>
        <w:rPr>
          <w:rFonts w:ascii="Times New Roman" w:hAnsi="Times New Roman" w:cs="Times New Roman"/>
          <w:color w:val="000000" w:themeColor="text1"/>
          <w:sz w:val="24"/>
          <w:szCs w:val="24"/>
        </w:rPr>
      </w:pPr>
    </w:p>
    <w:p w14:paraId="782BEE9B" w14:textId="16FC8E70" w:rsidR="00CA02D3" w:rsidRPr="00347697" w:rsidRDefault="00CA02D3" w:rsidP="00CA02D3">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 xml:space="preserve">Among students who </w:t>
      </w:r>
      <w:r w:rsidR="004E7C71">
        <w:rPr>
          <w:rFonts w:ascii="Times New Roman" w:hAnsi="Times New Roman" w:cs="Times New Roman"/>
          <w:color w:val="000000" w:themeColor="text1"/>
          <w:sz w:val="24"/>
          <w:szCs w:val="24"/>
        </w:rPr>
        <w:t>were</w:t>
      </w:r>
      <w:r w:rsidR="004E7C71"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i/>
          <w:color w:val="000000" w:themeColor="text1"/>
          <w:sz w:val="24"/>
          <w:szCs w:val="24"/>
        </w:rPr>
        <w:t>successful</w:t>
      </w:r>
      <w:r w:rsidRPr="00347697">
        <w:rPr>
          <w:rFonts w:ascii="Times New Roman" w:hAnsi="Times New Roman" w:cs="Times New Roman"/>
          <w:color w:val="000000" w:themeColor="text1"/>
          <w:sz w:val="24"/>
          <w:szCs w:val="24"/>
        </w:rPr>
        <w:t xml:space="preserve"> in the first attempt of their first </w:t>
      </w:r>
      <w:r w:rsidR="0098039F" w:rsidRPr="00347697">
        <w:rPr>
          <w:rFonts w:ascii="Times New Roman" w:hAnsi="Times New Roman" w:cs="Times New Roman"/>
          <w:color w:val="000000" w:themeColor="text1"/>
          <w:sz w:val="24"/>
          <w:szCs w:val="24"/>
        </w:rPr>
        <w:t>English</w:t>
      </w:r>
      <w:r w:rsidRPr="00347697">
        <w:rPr>
          <w:rFonts w:ascii="Times New Roman" w:hAnsi="Times New Roman" w:cs="Times New Roman"/>
          <w:color w:val="000000" w:themeColor="text1"/>
          <w:sz w:val="24"/>
          <w:szCs w:val="24"/>
        </w:rPr>
        <w:t xml:space="preserve"> course, students who enter</w:t>
      </w:r>
      <w:r w:rsidR="004E7C71">
        <w:rPr>
          <w:rFonts w:ascii="Times New Roman" w:hAnsi="Times New Roman" w:cs="Times New Roman"/>
          <w:color w:val="000000" w:themeColor="text1"/>
          <w:sz w:val="24"/>
          <w:szCs w:val="24"/>
        </w:rPr>
        <w:t>ed</w:t>
      </w:r>
      <w:r w:rsidRPr="00347697">
        <w:rPr>
          <w:rFonts w:ascii="Times New Roman" w:hAnsi="Times New Roman" w:cs="Times New Roman"/>
          <w:color w:val="000000" w:themeColor="text1"/>
          <w:sz w:val="24"/>
          <w:szCs w:val="24"/>
        </w:rPr>
        <w:t xml:space="preserve"> the </w:t>
      </w:r>
      <w:r w:rsidR="0098039F"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curriculum through LRNC </w:t>
      </w:r>
      <w:r w:rsidR="009D5DDE" w:rsidRPr="00347697">
        <w:rPr>
          <w:rFonts w:ascii="Times New Roman" w:hAnsi="Times New Roman" w:cs="Times New Roman"/>
          <w:color w:val="000000" w:themeColor="text1"/>
          <w:sz w:val="24"/>
          <w:szCs w:val="24"/>
        </w:rPr>
        <w:t>B510</w:t>
      </w:r>
      <w:r w:rsidR="009B1362" w:rsidRPr="0072729B">
        <w:rPr>
          <w:rFonts w:ascii="Times New Roman" w:hAnsi="Times New Roman" w:cs="Times New Roman"/>
          <w:i/>
          <w:color w:val="000000" w:themeColor="text1"/>
          <w:sz w:val="24"/>
          <w:szCs w:val="24"/>
        </w:rPr>
        <w:t>f</w:t>
      </w:r>
      <w:r w:rsidRPr="00347697">
        <w:rPr>
          <w:rFonts w:ascii="Times New Roman" w:hAnsi="Times New Roman" w:cs="Times New Roman"/>
          <w:color w:val="000000" w:themeColor="text1"/>
          <w:sz w:val="24"/>
          <w:szCs w:val="24"/>
        </w:rPr>
        <w:t xml:space="preserve"> </w:t>
      </w:r>
      <w:r w:rsidR="004E7C71">
        <w:rPr>
          <w:rFonts w:ascii="Times New Roman" w:hAnsi="Times New Roman" w:cs="Times New Roman"/>
          <w:color w:val="000000" w:themeColor="text1"/>
          <w:sz w:val="24"/>
          <w:szCs w:val="24"/>
        </w:rPr>
        <w:t>were</w:t>
      </w:r>
      <w:r w:rsidR="004E7C71"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the most likely to continue into a second course, with </w:t>
      </w:r>
      <w:r w:rsidR="009B1362">
        <w:rPr>
          <w:rFonts w:ascii="Times New Roman" w:hAnsi="Times New Roman" w:cs="Times New Roman"/>
          <w:color w:val="000000" w:themeColor="text1"/>
          <w:sz w:val="24"/>
          <w:szCs w:val="24"/>
        </w:rPr>
        <w:t>98</w:t>
      </w:r>
      <w:r w:rsidRPr="00347697">
        <w:rPr>
          <w:rFonts w:ascii="Times New Roman" w:hAnsi="Times New Roman" w:cs="Times New Roman"/>
          <w:color w:val="000000" w:themeColor="text1"/>
          <w:sz w:val="24"/>
          <w:szCs w:val="24"/>
        </w:rPr>
        <w:t xml:space="preserve">% of them doing so.  </w:t>
      </w:r>
      <w:r w:rsidR="009D5DDE" w:rsidRPr="00347697">
        <w:rPr>
          <w:rFonts w:ascii="Times New Roman" w:hAnsi="Times New Roman" w:cs="Times New Roman"/>
          <w:color w:val="000000" w:themeColor="text1"/>
          <w:sz w:val="24"/>
          <w:szCs w:val="24"/>
        </w:rPr>
        <w:t>Nearly all</w:t>
      </w:r>
      <w:r w:rsidRPr="00347697">
        <w:rPr>
          <w:rFonts w:ascii="Times New Roman" w:hAnsi="Times New Roman" w:cs="Times New Roman"/>
          <w:color w:val="000000" w:themeColor="text1"/>
          <w:sz w:val="24"/>
          <w:szCs w:val="24"/>
        </w:rPr>
        <w:t xml:space="preserve"> of these students continue</w:t>
      </w:r>
      <w:r w:rsidR="004E7C71">
        <w:rPr>
          <w:rFonts w:ascii="Times New Roman" w:hAnsi="Times New Roman" w:cs="Times New Roman"/>
          <w:color w:val="000000" w:themeColor="text1"/>
          <w:sz w:val="24"/>
          <w:szCs w:val="24"/>
        </w:rPr>
        <w:t>d</w:t>
      </w:r>
      <w:r w:rsidRPr="00347697">
        <w:rPr>
          <w:rFonts w:ascii="Times New Roman" w:hAnsi="Times New Roman" w:cs="Times New Roman"/>
          <w:color w:val="000000" w:themeColor="text1"/>
          <w:sz w:val="24"/>
          <w:szCs w:val="24"/>
        </w:rPr>
        <w:t xml:space="preserve"> into the second half of LRNC B5</w:t>
      </w:r>
      <w:r w:rsidR="009D5DDE" w:rsidRPr="00347697">
        <w:rPr>
          <w:rFonts w:ascii="Times New Roman" w:hAnsi="Times New Roman" w:cs="Times New Roman"/>
          <w:color w:val="000000" w:themeColor="text1"/>
          <w:sz w:val="24"/>
          <w:szCs w:val="24"/>
        </w:rPr>
        <w:t>1</w:t>
      </w:r>
      <w:r w:rsidRPr="00347697">
        <w:rPr>
          <w:rFonts w:ascii="Times New Roman" w:hAnsi="Times New Roman" w:cs="Times New Roman"/>
          <w:color w:val="000000" w:themeColor="text1"/>
          <w:sz w:val="24"/>
          <w:szCs w:val="24"/>
        </w:rPr>
        <w:t>0 (</w:t>
      </w:r>
      <w:r w:rsidR="00BD50D4" w:rsidRPr="00347697">
        <w:rPr>
          <w:rFonts w:ascii="Times New Roman" w:hAnsi="Times New Roman" w:cs="Times New Roman"/>
          <w:color w:val="000000" w:themeColor="text1"/>
          <w:sz w:val="24"/>
          <w:szCs w:val="24"/>
        </w:rPr>
        <w:t>LRNC B510</w:t>
      </w:r>
      <w:r w:rsidR="00BD50D4" w:rsidRPr="006865D8">
        <w:rPr>
          <w:rFonts w:ascii="Times New Roman" w:hAnsi="Times New Roman" w:cs="Times New Roman"/>
          <w:i/>
          <w:color w:val="000000" w:themeColor="text1"/>
          <w:sz w:val="24"/>
          <w:szCs w:val="24"/>
        </w:rPr>
        <w:t>s</w:t>
      </w:r>
      <w:r w:rsidR="00BD50D4">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equivalent to </w:t>
      </w:r>
      <w:r w:rsidR="009D5DDE" w:rsidRPr="00347697">
        <w:rPr>
          <w:rFonts w:ascii="Times New Roman" w:hAnsi="Times New Roman" w:cs="Times New Roman"/>
          <w:color w:val="000000" w:themeColor="text1"/>
          <w:sz w:val="24"/>
          <w:szCs w:val="24"/>
        </w:rPr>
        <w:t>Engl B1A</w:t>
      </w:r>
      <w:r w:rsidRPr="00347697">
        <w:rPr>
          <w:rFonts w:ascii="Times New Roman" w:hAnsi="Times New Roman" w:cs="Times New Roman"/>
          <w:color w:val="000000" w:themeColor="text1"/>
          <w:sz w:val="24"/>
          <w:szCs w:val="24"/>
        </w:rPr>
        <w:t xml:space="preserve">).  </w:t>
      </w:r>
    </w:p>
    <w:p w14:paraId="486DB6E1" w14:textId="77777777" w:rsidR="00CA02D3" w:rsidRPr="00347697" w:rsidRDefault="00CA02D3" w:rsidP="00CA02D3">
      <w:pPr>
        <w:spacing w:after="0" w:line="240" w:lineRule="auto"/>
        <w:rPr>
          <w:rFonts w:ascii="Times New Roman" w:hAnsi="Times New Roman" w:cs="Times New Roman"/>
          <w:color w:val="000000" w:themeColor="text1"/>
          <w:sz w:val="24"/>
          <w:szCs w:val="24"/>
        </w:rPr>
      </w:pPr>
    </w:p>
    <w:p w14:paraId="340DB845" w14:textId="69877E45" w:rsidR="00CA02D3" w:rsidRPr="00347697" w:rsidRDefault="00CA02D3" w:rsidP="00CA02D3">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Students who enter</w:t>
      </w:r>
      <w:r w:rsidR="004E7C71">
        <w:rPr>
          <w:rFonts w:ascii="Times New Roman" w:hAnsi="Times New Roman" w:cs="Times New Roman"/>
          <w:color w:val="000000" w:themeColor="text1"/>
          <w:sz w:val="24"/>
          <w:szCs w:val="24"/>
        </w:rPr>
        <w:t>ed</w:t>
      </w:r>
      <w:r w:rsidRPr="00347697">
        <w:rPr>
          <w:rFonts w:ascii="Times New Roman" w:hAnsi="Times New Roman" w:cs="Times New Roman"/>
          <w:color w:val="000000" w:themeColor="text1"/>
          <w:sz w:val="24"/>
          <w:szCs w:val="24"/>
        </w:rPr>
        <w:t xml:space="preserve"> the curriculum through </w:t>
      </w:r>
      <w:r w:rsidR="009D5DDE" w:rsidRPr="00347697">
        <w:rPr>
          <w:rFonts w:ascii="Times New Roman" w:hAnsi="Times New Roman" w:cs="Times New Roman"/>
          <w:color w:val="000000" w:themeColor="text1"/>
          <w:sz w:val="24"/>
          <w:szCs w:val="24"/>
        </w:rPr>
        <w:t xml:space="preserve">Engl B50 or Engl B53 and </w:t>
      </w:r>
      <w:r w:rsidRPr="00347697">
        <w:rPr>
          <w:rFonts w:ascii="Times New Roman" w:hAnsi="Times New Roman" w:cs="Times New Roman"/>
          <w:color w:val="000000" w:themeColor="text1"/>
          <w:sz w:val="24"/>
          <w:szCs w:val="24"/>
        </w:rPr>
        <w:t>complete</w:t>
      </w:r>
      <w:r w:rsidR="004E7C71">
        <w:rPr>
          <w:rFonts w:ascii="Times New Roman" w:hAnsi="Times New Roman" w:cs="Times New Roman"/>
          <w:color w:val="000000" w:themeColor="text1"/>
          <w:sz w:val="24"/>
          <w:szCs w:val="24"/>
        </w:rPr>
        <w:t>d</w:t>
      </w:r>
      <w:r w:rsidRPr="00347697">
        <w:rPr>
          <w:rFonts w:ascii="Times New Roman" w:hAnsi="Times New Roman" w:cs="Times New Roman"/>
          <w:color w:val="000000" w:themeColor="text1"/>
          <w:sz w:val="24"/>
          <w:szCs w:val="24"/>
        </w:rPr>
        <w:t xml:space="preserve"> </w:t>
      </w:r>
      <w:r w:rsidR="009D5DDE" w:rsidRPr="00347697">
        <w:rPr>
          <w:rFonts w:ascii="Times New Roman" w:hAnsi="Times New Roman" w:cs="Times New Roman"/>
          <w:color w:val="000000" w:themeColor="text1"/>
          <w:sz w:val="24"/>
          <w:szCs w:val="24"/>
        </w:rPr>
        <w:t xml:space="preserve">the </w:t>
      </w:r>
      <w:r w:rsidRPr="00347697">
        <w:rPr>
          <w:rFonts w:ascii="Times New Roman" w:hAnsi="Times New Roman" w:cs="Times New Roman"/>
          <w:color w:val="000000" w:themeColor="text1"/>
          <w:sz w:val="24"/>
          <w:szCs w:val="24"/>
        </w:rPr>
        <w:t xml:space="preserve">course successfully on the first attempt </w:t>
      </w:r>
      <w:r w:rsidR="004E7C71">
        <w:rPr>
          <w:rFonts w:ascii="Times New Roman" w:hAnsi="Times New Roman" w:cs="Times New Roman"/>
          <w:color w:val="000000" w:themeColor="text1"/>
          <w:sz w:val="24"/>
          <w:szCs w:val="24"/>
        </w:rPr>
        <w:t>were</w:t>
      </w:r>
      <w:r w:rsidR="004E7C71"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the </w:t>
      </w:r>
      <w:r w:rsidR="00E5271B" w:rsidRPr="00347697">
        <w:rPr>
          <w:rFonts w:ascii="Times New Roman" w:hAnsi="Times New Roman" w:cs="Times New Roman"/>
          <w:color w:val="000000" w:themeColor="text1"/>
          <w:sz w:val="24"/>
          <w:szCs w:val="24"/>
        </w:rPr>
        <w:t>next most</w:t>
      </w:r>
      <w:r w:rsidRPr="00347697">
        <w:rPr>
          <w:rFonts w:ascii="Times New Roman" w:hAnsi="Times New Roman" w:cs="Times New Roman"/>
          <w:color w:val="000000" w:themeColor="text1"/>
          <w:sz w:val="24"/>
          <w:szCs w:val="24"/>
        </w:rPr>
        <w:t xml:space="preserve"> likely to continue </w:t>
      </w:r>
      <w:r w:rsidR="00495E69" w:rsidRPr="00347697">
        <w:rPr>
          <w:rFonts w:ascii="Times New Roman" w:hAnsi="Times New Roman" w:cs="Times New Roman"/>
          <w:color w:val="000000" w:themeColor="text1"/>
          <w:sz w:val="24"/>
          <w:szCs w:val="24"/>
        </w:rPr>
        <w:t>in</w:t>
      </w:r>
      <w:r w:rsidRPr="00347697">
        <w:rPr>
          <w:rFonts w:ascii="Times New Roman" w:hAnsi="Times New Roman" w:cs="Times New Roman"/>
          <w:color w:val="000000" w:themeColor="text1"/>
          <w:sz w:val="24"/>
          <w:szCs w:val="24"/>
        </w:rPr>
        <w:t>to a second course</w:t>
      </w:r>
      <w:r w:rsidR="0098039F" w:rsidRPr="00347697">
        <w:rPr>
          <w:rFonts w:ascii="Times New Roman" w:hAnsi="Times New Roman" w:cs="Times New Roman"/>
          <w:color w:val="000000" w:themeColor="text1"/>
          <w:sz w:val="24"/>
          <w:szCs w:val="24"/>
        </w:rPr>
        <w:t xml:space="preserve">, </w:t>
      </w:r>
      <w:r w:rsidR="00495E69" w:rsidRPr="00347697">
        <w:rPr>
          <w:rFonts w:ascii="Times New Roman" w:hAnsi="Times New Roman" w:cs="Times New Roman"/>
          <w:color w:val="000000" w:themeColor="text1"/>
          <w:sz w:val="24"/>
          <w:szCs w:val="24"/>
        </w:rPr>
        <w:t>with continuation rate</w:t>
      </w:r>
      <w:r w:rsidR="009B1362">
        <w:rPr>
          <w:rFonts w:ascii="Times New Roman" w:hAnsi="Times New Roman" w:cs="Times New Roman"/>
          <w:color w:val="000000" w:themeColor="text1"/>
          <w:sz w:val="24"/>
          <w:szCs w:val="24"/>
        </w:rPr>
        <w:t>s</w:t>
      </w:r>
      <w:r w:rsidR="00495E69" w:rsidRPr="00347697">
        <w:rPr>
          <w:rFonts w:ascii="Times New Roman" w:hAnsi="Times New Roman" w:cs="Times New Roman"/>
          <w:color w:val="000000" w:themeColor="text1"/>
          <w:sz w:val="24"/>
          <w:szCs w:val="24"/>
        </w:rPr>
        <w:t xml:space="preserve"> of </w:t>
      </w:r>
      <w:r w:rsidR="009B1362">
        <w:rPr>
          <w:rFonts w:ascii="Times New Roman" w:hAnsi="Times New Roman" w:cs="Times New Roman"/>
          <w:color w:val="000000" w:themeColor="text1"/>
          <w:sz w:val="24"/>
          <w:szCs w:val="24"/>
        </w:rPr>
        <w:t>84% and 85</w:t>
      </w:r>
      <w:r w:rsidR="00495E69" w:rsidRPr="00347697">
        <w:rPr>
          <w:rFonts w:ascii="Times New Roman" w:hAnsi="Times New Roman" w:cs="Times New Roman"/>
          <w:color w:val="000000" w:themeColor="text1"/>
          <w:sz w:val="24"/>
          <w:szCs w:val="24"/>
        </w:rPr>
        <w:t>%</w:t>
      </w:r>
      <w:r w:rsidR="009B1362">
        <w:rPr>
          <w:rFonts w:ascii="Times New Roman" w:hAnsi="Times New Roman" w:cs="Times New Roman"/>
          <w:color w:val="000000" w:themeColor="text1"/>
          <w:sz w:val="24"/>
          <w:szCs w:val="24"/>
        </w:rPr>
        <w:t>, respectively</w:t>
      </w:r>
      <w:r w:rsidRPr="00347697">
        <w:rPr>
          <w:rFonts w:ascii="Times New Roman" w:hAnsi="Times New Roman" w:cs="Times New Roman"/>
          <w:color w:val="000000" w:themeColor="text1"/>
          <w:sz w:val="24"/>
          <w:szCs w:val="24"/>
        </w:rPr>
        <w:t xml:space="preserve">.  </w:t>
      </w:r>
      <w:r w:rsidR="00495E69" w:rsidRPr="00347697">
        <w:rPr>
          <w:rFonts w:ascii="Times New Roman" w:hAnsi="Times New Roman" w:cs="Times New Roman"/>
          <w:color w:val="000000" w:themeColor="text1"/>
          <w:sz w:val="24"/>
          <w:szCs w:val="24"/>
        </w:rPr>
        <w:t xml:space="preserve">Nearly all of these students </w:t>
      </w:r>
      <w:r w:rsidRPr="00347697">
        <w:rPr>
          <w:rFonts w:ascii="Times New Roman" w:hAnsi="Times New Roman" w:cs="Times New Roman"/>
          <w:color w:val="000000" w:themeColor="text1"/>
          <w:sz w:val="24"/>
          <w:szCs w:val="24"/>
        </w:rPr>
        <w:t>continue</w:t>
      </w:r>
      <w:r w:rsidR="004E7C71">
        <w:rPr>
          <w:rFonts w:ascii="Times New Roman" w:hAnsi="Times New Roman" w:cs="Times New Roman"/>
          <w:color w:val="000000" w:themeColor="text1"/>
          <w:sz w:val="24"/>
          <w:szCs w:val="24"/>
        </w:rPr>
        <w:t>d</w:t>
      </w:r>
      <w:r w:rsidRPr="00347697">
        <w:rPr>
          <w:rFonts w:ascii="Times New Roman" w:hAnsi="Times New Roman" w:cs="Times New Roman"/>
          <w:color w:val="000000" w:themeColor="text1"/>
          <w:sz w:val="24"/>
          <w:szCs w:val="24"/>
        </w:rPr>
        <w:t xml:space="preserve"> </w:t>
      </w:r>
      <w:r w:rsidR="00495E69" w:rsidRPr="00347697">
        <w:rPr>
          <w:rFonts w:ascii="Times New Roman" w:hAnsi="Times New Roman" w:cs="Times New Roman"/>
          <w:color w:val="000000" w:themeColor="text1"/>
          <w:sz w:val="24"/>
          <w:szCs w:val="24"/>
        </w:rPr>
        <w:t>into Engl B1A</w:t>
      </w:r>
      <w:r w:rsidRPr="00347697">
        <w:rPr>
          <w:rFonts w:ascii="Times New Roman" w:hAnsi="Times New Roman" w:cs="Times New Roman"/>
          <w:color w:val="000000" w:themeColor="text1"/>
          <w:sz w:val="24"/>
          <w:szCs w:val="24"/>
        </w:rPr>
        <w:t>.</w:t>
      </w:r>
    </w:p>
    <w:p w14:paraId="0D630370" w14:textId="77777777" w:rsidR="00CA02D3" w:rsidRPr="00347697" w:rsidRDefault="00CA02D3" w:rsidP="00CA02D3">
      <w:pPr>
        <w:spacing w:after="0" w:line="240" w:lineRule="auto"/>
        <w:rPr>
          <w:rFonts w:ascii="Times New Roman" w:hAnsi="Times New Roman" w:cs="Times New Roman"/>
          <w:color w:val="000000" w:themeColor="text1"/>
          <w:sz w:val="24"/>
          <w:szCs w:val="24"/>
        </w:rPr>
      </w:pPr>
    </w:p>
    <w:p w14:paraId="2A87A765" w14:textId="33B3AB4A" w:rsidR="00CA02D3" w:rsidRPr="00347697" w:rsidRDefault="00495E69" w:rsidP="00CA02D3">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Engl</w:t>
      </w:r>
      <w:r w:rsidR="00CA02D3"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B60 </w:t>
      </w:r>
      <w:r w:rsidR="00CA02D3" w:rsidRPr="00347697">
        <w:rPr>
          <w:rFonts w:ascii="Times New Roman" w:hAnsi="Times New Roman" w:cs="Times New Roman"/>
          <w:color w:val="000000" w:themeColor="text1"/>
          <w:sz w:val="24"/>
          <w:szCs w:val="24"/>
        </w:rPr>
        <w:t>students who complete</w:t>
      </w:r>
      <w:r w:rsidR="004E7C71">
        <w:rPr>
          <w:rFonts w:ascii="Times New Roman" w:hAnsi="Times New Roman" w:cs="Times New Roman"/>
          <w:color w:val="000000" w:themeColor="text1"/>
          <w:sz w:val="24"/>
          <w:szCs w:val="24"/>
        </w:rPr>
        <w:t>d</w:t>
      </w:r>
      <w:r w:rsidR="00CA02D3" w:rsidRPr="00347697">
        <w:rPr>
          <w:rFonts w:ascii="Times New Roman" w:hAnsi="Times New Roman" w:cs="Times New Roman"/>
          <w:color w:val="000000" w:themeColor="text1"/>
          <w:sz w:val="24"/>
          <w:szCs w:val="24"/>
        </w:rPr>
        <w:t xml:space="preserve"> their first </w:t>
      </w:r>
      <w:r w:rsidRPr="00347697">
        <w:rPr>
          <w:rFonts w:ascii="Times New Roman" w:hAnsi="Times New Roman" w:cs="Times New Roman"/>
          <w:color w:val="000000" w:themeColor="text1"/>
          <w:sz w:val="24"/>
          <w:szCs w:val="24"/>
        </w:rPr>
        <w:t xml:space="preserve">English </w:t>
      </w:r>
      <w:r w:rsidR="00CA02D3" w:rsidRPr="00347697">
        <w:rPr>
          <w:rFonts w:ascii="Times New Roman" w:hAnsi="Times New Roman" w:cs="Times New Roman"/>
          <w:color w:val="000000" w:themeColor="text1"/>
          <w:sz w:val="24"/>
          <w:szCs w:val="24"/>
        </w:rPr>
        <w:t xml:space="preserve">course successfully on the first attempt </w:t>
      </w:r>
      <w:r w:rsidR="004E7C71">
        <w:rPr>
          <w:rFonts w:ascii="Times New Roman" w:hAnsi="Times New Roman" w:cs="Times New Roman"/>
          <w:color w:val="000000" w:themeColor="text1"/>
          <w:sz w:val="24"/>
          <w:szCs w:val="24"/>
        </w:rPr>
        <w:t>were</w:t>
      </w:r>
      <w:r w:rsidR="004E7C71"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somewhat less </w:t>
      </w:r>
      <w:r w:rsidR="00CA02D3" w:rsidRPr="00347697">
        <w:rPr>
          <w:rFonts w:ascii="Times New Roman" w:hAnsi="Times New Roman" w:cs="Times New Roman"/>
          <w:color w:val="000000" w:themeColor="text1"/>
          <w:sz w:val="24"/>
          <w:szCs w:val="24"/>
        </w:rPr>
        <w:t xml:space="preserve">likely to continue </w:t>
      </w:r>
      <w:r w:rsidRPr="00347697">
        <w:rPr>
          <w:rFonts w:ascii="Times New Roman" w:hAnsi="Times New Roman" w:cs="Times New Roman"/>
          <w:color w:val="000000" w:themeColor="text1"/>
          <w:sz w:val="24"/>
          <w:szCs w:val="24"/>
        </w:rPr>
        <w:t>in</w:t>
      </w:r>
      <w:r w:rsidR="00CA02D3" w:rsidRPr="00347697">
        <w:rPr>
          <w:rFonts w:ascii="Times New Roman" w:hAnsi="Times New Roman" w:cs="Times New Roman"/>
          <w:color w:val="000000" w:themeColor="text1"/>
          <w:sz w:val="24"/>
          <w:szCs w:val="24"/>
        </w:rPr>
        <w:t>to a</w:t>
      </w:r>
      <w:r w:rsidRPr="00347697">
        <w:rPr>
          <w:rFonts w:ascii="Times New Roman" w:hAnsi="Times New Roman" w:cs="Times New Roman"/>
          <w:color w:val="000000" w:themeColor="text1"/>
          <w:sz w:val="24"/>
          <w:szCs w:val="24"/>
        </w:rPr>
        <w:t xml:space="preserve"> second English course</w:t>
      </w:r>
      <w:r w:rsidR="00CA02D3" w:rsidRPr="00347697">
        <w:rPr>
          <w:rFonts w:ascii="Times New Roman" w:hAnsi="Times New Roman" w:cs="Times New Roman"/>
          <w:color w:val="000000" w:themeColor="text1"/>
          <w:sz w:val="24"/>
          <w:szCs w:val="24"/>
        </w:rPr>
        <w:t xml:space="preserve">, with </w:t>
      </w:r>
      <w:r w:rsidR="009B1362">
        <w:rPr>
          <w:rFonts w:ascii="Times New Roman" w:hAnsi="Times New Roman" w:cs="Times New Roman"/>
          <w:color w:val="000000" w:themeColor="text1"/>
          <w:sz w:val="24"/>
          <w:szCs w:val="24"/>
        </w:rPr>
        <w:t xml:space="preserve">about three in four students </w:t>
      </w:r>
      <w:r w:rsidR="0098039F" w:rsidRPr="00347697">
        <w:rPr>
          <w:rFonts w:ascii="Times New Roman" w:hAnsi="Times New Roman" w:cs="Times New Roman"/>
          <w:color w:val="000000" w:themeColor="text1"/>
          <w:sz w:val="24"/>
          <w:szCs w:val="24"/>
        </w:rPr>
        <w:t>(</w:t>
      </w:r>
      <w:r w:rsidR="009B1362">
        <w:rPr>
          <w:rFonts w:ascii="Times New Roman" w:hAnsi="Times New Roman" w:cs="Times New Roman"/>
          <w:color w:val="000000" w:themeColor="text1"/>
          <w:sz w:val="24"/>
          <w:szCs w:val="24"/>
        </w:rPr>
        <w:t>77</w:t>
      </w:r>
      <w:r w:rsidR="0098039F" w:rsidRPr="00347697">
        <w:rPr>
          <w:rFonts w:ascii="Times New Roman" w:hAnsi="Times New Roman" w:cs="Times New Roman"/>
          <w:color w:val="000000" w:themeColor="text1"/>
          <w:sz w:val="24"/>
          <w:szCs w:val="24"/>
        </w:rPr>
        <w:t xml:space="preserve">%) </w:t>
      </w:r>
      <w:r w:rsidR="00CA02D3" w:rsidRPr="00347697">
        <w:rPr>
          <w:rFonts w:ascii="Times New Roman" w:hAnsi="Times New Roman" w:cs="Times New Roman"/>
          <w:color w:val="000000" w:themeColor="text1"/>
          <w:sz w:val="24"/>
          <w:szCs w:val="24"/>
        </w:rPr>
        <w:t xml:space="preserve">doing so.  </w:t>
      </w:r>
      <w:r w:rsidRPr="00347697">
        <w:rPr>
          <w:rFonts w:ascii="Times New Roman" w:hAnsi="Times New Roman" w:cs="Times New Roman"/>
          <w:color w:val="000000" w:themeColor="text1"/>
          <w:sz w:val="24"/>
          <w:szCs w:val="24"/>
        </w:rPr>
        <w:t>Most enroll</w:t>
      </w:r>
      <w:r w:rsidR="004E7C71">
        <w:rPr>
          <w:rFonts w:ascii="Times New Roman" w:hAnsi="Times New Roman" w:cs="Times New Roman"/>
          <w:color w:val="000000" w:themeColor="text1"/>
          <w:sz w:val="24"/>
          <w:szCs w:val="24"/>
        </w:rPr>
        <w:t>ed</w:t>
      </w:r>
      <w:r w:rsidRPr="00347697">
        <w:rPr>
          <w:rFonts w:ascii="Times New Roman" w:hAnsi="Times New Roman" w:cs="Times New Roman"/>
          <w:color w:val="000000" w:themeColor="text1"/>
          <w:sz w:val="24"/>
          <w:szCs w:val="24"/>
        </w:rPr>
        <w:t xml:space="preserve"> in Engl B50, although a meaningful number </w:t>
      </w:r>
      <w:r w:rsidR="00277973">
        <w:rPr>
          <w:rFonts w:ascii="Times New Roman" w:hAnsi="Times New Roman" w:cs="Times New Roman"/>
          <w:color w:val="000000" w:themeColor="text1"/>
          <w:sz w:val="24"/>
          <w:szCs w:val="24"/>
        </w:rPr>
        <w:t>continue</w:t>
      </w:r>
      <w:r w:rsidR="004E7C71">
        <w:rPr>
          <w:rFonts w:ascii="Times New Roman" w:hAnsi="Times New Roman" w:cs="Times New Roman"/>
          <w:color w:val="000000" w:themeColor="text1"/>
          <w:sz w:val="24"/>
          <w:szCs w:val="24"/>
        </w:rPr>
        <w:t>d</w:t>
      </w:r>
      <w:r w:rsidR="00277973">
        <w:rPr>
          <w:rFonts w:ascii="Times New Roman" w:hAnsi="Times New Roman" w:cs="Times New Roman"/>
          <w:color w:val="000000" w:themeColor="text1"/>
          <w:sz w:val="24"/>
          <w:szCs w:val="24"/>
        </w:rPr>
        <w:t xml:space="preserve"> into an </w:t>
      </w:r>
      <w:r w:rsidR="00277973">
        <w:rPr>
          <w:rFonts w:ascii="Times New Roman" w:hAnsi="Times New Roman" w:cs="Times New Roman"/>
          <w:i/>
          <w:color w:val="000000" w:themeColor="text1"/>
          <w:sz w:val="24"/>
          <w:szCs w:val="24"/>
        </w:rPr>
        <w:t>Other</w:t>
      </w:r>
      <w:r w:rsidR="00277973" w:rsidRPr="0072729B">
        <w:rPr>
          <w:rFonts w:ascii="Times New Roman" w:hAnsi="Times New Roman" w:cs="Times New Roman"/>
          <w:color w:val="000000" w:themeColor="text1"/>
          <w:sz w:val="24"/>
          <w:szCs w:val="24"/>
        </w:rPr>
        <w:t xml:space="preserve"> </w:t>
      </w:r>
      <w:r w:rsidR="00277973">
        <w:rPr>
          <w:rFonts w:ascii="Times New Roman" w:hAnsi="Times New Roman" w:cs="Times New Roman"/>
          <w:color w:val="000000" w:themeColor="text1"/>
          <w:sz w:val="24"/>
          <w:szCs w:val="24"/>
        </w:rPr>
        <w:t xml:space="preserve">course, the most common of which </w:t>
      </w:r>
      <w:r w:rsidR="004E7C71">
        <w:rPr>
          <w:rFonts w:ascii="Times New Roman" w:hAnsi="Times New Roman" w:cs="Times New Roman"/>
          <w:color w:val="000000" w:themeColor="text1"/>
          <w:sz w:val="24"/>
          <w:szCs w:val="24"/>
        </w:rPr>
        <w:t xml:space="preserve">was </w:t>
      </w:r>
      <w:r w:rsidR="00013006" w:rsidRPr="00347697">
        <w:rPr>
          <w:rFonts w:ascii="Times New Roman" w:hAnsi="Times New Roman" w:cs="Times New Roman"/>
          <w:color w:val="000000" w:themeColor="text1"/>
          <w:sz w:val="24"/>
          <w:szCs w:val="24"/>
        </w:rPr>
        <w:t>Engl B53</w:t>
      </w:r>
      <w:r w:rsidR="00277973">
        <w:rPr>
          <w:rFonts w:ascii="Times New Roman" w:hAnsi="Times New Roman" w:cs="Times New Roman"/>
          <w:color w:val="000000" w:themeColor="text1"/>
          <w:sz w:val="24"/>
          <w:szCs w:val="24"/>
        </w:rPr>
        <w:t xml:space="preserve">.  This represents </w:t>
      </w:r>
      <w:r w:rsidR="00013006" w:rsidRPr="00347697">
        <w:rPr>
          <w:rFonts w:ascii="Times New Roman" w:hAnsi="Times New Roman" w:cs="Times New Roman"/>
          <w:color w:val="000000" w:themeColor="text1"/>
          <w:sz w:val="24"/>
          <w:szCs w:val="24"/>
        </w:rPr>
        <w:t xml:space="preserve">a repetition of course </w:t>
      </w:r>
      <w:r w:rsidR="0098039F" w:rsidRPr="00347697">
        <w:rPr>
          <w:rFonts w:ascii="Times New Roman" w:hAnsi="Times New Roman" w:cs="Times New Roman"/>
          <w:color w:val="000000" w:themeColor="text1"/>
          <w:sz w:val="24"/>
          <w:szCs w:val="24"/>
        </w:rPr>
        <w:t xml:space="preserve">content because Engl B53 </w:t>
      </w:r>
      <w:r w:rsidR="00277973" w:rsidRPr="00347697">
        <w:rPr>
          <w:rFonts w:ascii="Times New Roman" w:hAnsi="Times New Roman" w:cs="Times New Roman"/>
          <w:color w:val="000000" w:themeColor="text1"/>
          <w:sz w:val="24"/>
          <w:szCs w:val="24"/>
        </w:rPr>
        <w:t>combine</w:t>
      </w:r>
      <w:r w:rsidR="00277973">
        <w:rPr>
          <w:rFonts w:ascii="Times New Roman" w:hAnsi="Times New Roman" w:cs="Times New Roman"/>
          <w:color w:val="000000" w:themeColor="text1"/>
          <w:sz w:val="24"/>
          <w:szCs w:val="24"/>
        </w:rPr>
        <w:t>s</w:t>
      </w:r>
      <w:r w:rsidR="00277973" w:rsidRPr="00347697">
        <w:rPr>
          <w:rFonts w:ascii="Times New Roman" w:hAnsi="Times New Roman" w:cs="Times New Roman"/>
          <w:color w:val="000000" w:themeColor="text1"/>
          <w:sz w:val="24"/>
          <w:szCs w:val="24"/>
        </w:rPr>
        <w:t xml:space="preserve"> </w:t>
      </w:r>
      <w:r w:rsidR="0098039F" w:rsidRPr="00347697">
        <w:rPr>
          <w:rFonts w:ascii="Times New Roman" w:hAnsi="Times New Roman" w:cs="Times New Roman"/>
          <w:color w:val="000000" w:themeColor="text1"/>
          <w:sz w:val="24"/>
          <w:szCs w:val="24"/>
        </w:rPr>
        <w:t>Engl B60 and Engl B50 into a single accelerated course.</w:t>
      </w:r>
      <w:r w:rsidR="00013006" w:rsidRPr="00347697">
        <w:rPr>
          <w:rFonts w:ascii="Times New Roman" w:hAnsi="Times New Roman" w:cs="Times New Roman"/>
          <w:color w:val="000000" w:themeColor="text1"/>
          <w:sz w:val="24"/>
          <w:szCs w:val="24"/>
        </w:rPr>
        <w:t xml:space="preserve">  </w:t>
      </w:r>
      <w:r w:rsidR="00CA02D3" w:rsidRPr="00347697">
        <w:rPr>
          <w:rFonts w:ascii="Times New Roman" w:hAnsi="Times New Roman" w:cs="Times New Roman"/>
          <w:color w:val="000000" w:themeColor="text1"/>
          <w:sz w:val="24"/>
          <w:szCs w:val="24"/>
        </w:rPr>
        <w:t xml:space="preserve">  </w:t>
      </w:r>
    </w:p>
    <w:p w14:paraId="312DA103" w14:textId="77777777" w:rsidR="00CA02D3" w:rsidRPr="00347697" w:rsidRDefault="00CA02D3" w:rsidP="00CA02D3">
      <w:pPr>
        <w:spacing w:after="0" w:line="240" w:lineRule="auto"/>
        <w:rPr>
          <w:rFonts w:ascii="Times New Roman" w:hAnsi="Times New Roman" w:cs="Times New Roman"/>
          <w:color w:val="000000" w:themeColor="text1"/>
          <w:sz w:val="24"/>
          <w:szCs w:val="24"/>
        </w:rPr>
      </w:pPr>
    </w:p>
    <w:p w14:paraId="3E86C954" w14:textId="1E8E5542" w:rsidR="00CA02D3" w:rsidRPr="00347697" w:rsidRDefault="00CA02D3" w:rsidP="00CA02D3">
      <w:pPr>
        <w:spacing w:after="0" w:line="240" w:lineRule="auto"/>
        <w:rPr>
          <w:rFonts w:ascii="Times New Roman" w:hAnsi="Times New Roman" w:cs="Times New Roman"/>
          <w:color w:val="000000" w:themeColor="text1"/>
          <w:sz w:val="24"/>
          <w:szCs w:val="24"/>
          <w:u w:val="single"/>
        </w:rPr>
      </w:pPr>
      <w:r w:rsidRPr="00347697">
        <w:rPr>
          <w:rFonts w:ascii="Times New Roman" w:hAnsi="Times New Roman" w:cs="Times New Roman"/>
          <w:color w:val="000000" w:themeColor="text1"/>
          <w:sz w:val="24"/>
          <w:szCs w:val="24"/>
          <w:u w:val="single"/>
        </w:rPr>
        <w:t xml:space="preserve">Students who are Unsuccessful in their First </w:t>
      </w:r>
      <w:r w:rsidR="00013006" w:rsidRPr="00347697">
        <w:rPr>
          <w:rFonts w:ascii="Times New Roman" w:hAnsi="Times New Roman" w:cs="Times New Roman"/>
          <w:color w:val="000000" w:themeColor="text1"/>
          <w:sz w:val="24"/>
          <w:szCs w:val="24"/>
          <w:u w:val="single"/>
        </w:rPr>
        <w:t>English</w:t>
      </w:r>
      <w:r w:rsidRPr="00347697">
        <w:rPr>
          <w:rFonts w:ascii="Times New Roman" w:hAnsi="Times New Roman" w:cs="Times New Roman"/>
          <w:color w:val="000000" w:themeColor="text1"/>
          <w:sz w:val="24"/>
          <w:szCs w:val="24"/>
          <w:u w:val="single"/>
        </w:rPr>
        <w:t xml:space="preserve"> Course</w:t>
      </w:r>
    </w:p>
    <w:p w14:paraId="53E6822B" w14:textId="77777777" w:rsidR="00CA02D3" w:rsidRPr="00347697" w:rsidRDefault="00CA02D3" w:rsidP="00CA02D3">
      <w:pPr>
        <w:spacing w:after="0" w:line="240" w:lineRule="auto"/>
        <w:rPr>
          <w:rFonts w:ascii="Times New Roman" w:hAnsi="Times New Roman" w:cs="Times New Roman"/>
          <w:color w:val="000000" w:themeColor="text1"/>
          <w:sz w:val="24"/>
          <w:szCs w:val="24"/>
        </w:rPr>
      </w:pPr>
    </w:p>
    <w:p w14:paraId="4D1C7F9E" w14:textId="612F11B6" w:rsidR="00CA02D3" w:rsidRPr="00347697" w:rsidRDefault="00CA02D3" w:rsidP="00CA02D3">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 xml:space="preserve">Among students who </w:t>
      </w:r>
      <w:r w:rsidR="004E7C71">
        <w:rPr>
          <w:rFonts w:ascii="Times New Roman" w:hAnsi="Times New Roman" w:cs="Times New Roman"/>
          <w:color w:val="000000" w:themeColor="text1"/>
          <w:sz w:val="24"/>
          <w:szCs w:val="24"/>
        </w:rPr>
        <w:t>were</w:t>
      </w:r>
      <w:r w:rsidR="004E7C71"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i/>
          <w:color w:val="000000" w:themeColor="text1"/>
          <w:sz w:val="24"/>
          <w:szCs w:val="24"/>
        </w:rPr>
        <w:t>unsuccessful</w:t>
      </w:r>
      <w:r w:rsidRPr="00347697">
        <w:rPr>
          <w:rFonts w:ascii="Times New Roman" w:hAnsi="Times New Roman" w:cs="Times New Roman"/>
          <w:color w:val="000000" w:themeColor="text1"/>
          <w:sz w:val="24"/>
          <w:szCs w:val="24"/>
        </w:rPr>
        <w:t xml:space="preserve"> in the first attempt of their first </w:t>
      </w:r>
      <w:r w:rsidR="00855C0F"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course, students who start</w:t>
      </w:r>
      <w:r w:rsidR="004E7C71">
        <w:rPr>
          <w:rFonts w:ascii="Times New Roman" w:hAnsi="Times New Roman" w:cs="Times New Roman"/>
          <w:color w:val="000000" w:themeColor="text1"/>
          <w:sz w:val="24"/>
          <w:szCs w:val="24"/>
        </w:rPr>
        <w:t>ed</w:t>
      </w:r>
      <w:r w:rsidRPr="00347697">
        <w:rPr>
          <w:rFonts w:ascii="Times New Roman" w:hAnsi="Times New Roman" w:cs="Times New Roman"/>
          <w:color w:val="000000" w:themeColor="text1"/>
          <w:sz w:val="24"/>
          <w:szCs w:val="24"/>
        </w:rPr>
        <w:t xml:space="preserve"> in LRNC B5</w:t>
      </w:r>
      <w:r w:rsidR="00013006" w:rsidRPr="00347697">
        <w:rPr>
          <w:rFonts w:ascii="Times New Roman" w:hAnsi="Times New Roman" w:cs="Times New Roman"/>
          <w:color w:val="000000" w:themeColor="text1"/>
          <w:sz w:val="24"/>
          <w:szCs w:val="24"/>
        </w:rPr>
        <w:t>1</w:t>
      </w:r>
      <w:r w:rsidRPr="00347697">
        <w:rPr>
          <w:rFonts w:ascii="Times New Roman" w:hAnsi="Times New Roman" w:cs="Times New Roman"/>
          <w:color w:val="000000" w:themeColor="text1"/>
          <w:sz w:val="24"/>
          <w:szCs w:val="24"/>
        </w:rPr>
        <w:t>0</w:t>
      </w:r>
      <w:r w:rsidR="00614045" w:rsidRPr="0072729B">
        <w:rPr>
          <w:rFonts w:ascii="Times New Roman" w:hAnsi="Times New Roman" w:cs="Times New Roman"/>
          <w:i/>
          <w:color w:val="000000" w:themeColor="text1"/>
          <w:sz w:val="24"/>
          <w:szCs w:val="24"/>
        </w:rPr>
        <w:t>f</w:t>
      </w:r>
      <w:r w:rsidRPr="00347697">
        <w:rPr>
          <w:rFonts w:ascii="Times New Roman" w:hAnsi="Times New Roman" w:cs="Times New Roman"/>
          <w:color w:val="000000" w:themeColor="text1"/>
          <w:sz w:val="24"/>
          <w:szCs w:val="24"/>
        </w:rPr>
        <w:t xml:space="preserve"> have the best rebound rate</w:t>
      </w:r>
      <w:r w:rsidR="00855C0F" w:rsidRPr="00347697">
        <w:rPr>
          <w:rFonts w:ascii="Times New Roman" w:hAnsi="Times New Roman" w:cs="Times New Roman"/>
          <w:color w:val="000000" w:themeColor="text1"/>
          <w:sz w:val="24"/>
          <w:szCs w:val="24"/>
        </w:rPr>
        <w:t xml:space="preserve">, with </w:t>
      </w:r>
      <w:r w:rsidR="00614045">
        <w:rPr>
          <w:rFonts w:ascii="Times New Roman" w:hAnsi="Times New Roman" w:cs="Times New Roman"/>
          <w:color w:val="000000" w:themeColor="text1"/>
          <w:sz w:val="24"/>
          <w:szCs w:val="24"/>
        </w:rPr>
        <w:t>49</w:t>
      </w:r>
      <w:r w:rsidR="00855C0F" w:rsidRPr="00347697">
        <w:rPr>
          <w:rFonts w:ascii="Times New Roman" w:hAnsi="Times New Roman" w:cs="Times New Roman"/>
          <w:color w:val="000000" w:themeColor="text1"/>
          <w:sz w:val="24"/>
          <w:szCs w:val="24"/>
        </w:rPr>
        <w:t xml:space="preserve">% of </w:t>
      </w:r>
      <w:r w:rsidRPr="00347697">
        <w:rPr>
          <w:rFonts w:ascii="Times New Roman" w:hAnsi="Times New Roman" w:cs="Times New Roman"/>
          <w:color w:val="000000" w:themeColor="text1"/>
          <w:sz w:val="24"/>
          <w:szCs w:val="24"/>
        </w:rPr>
        <w:t>these students attempt</w:t>
      </w:r>
      <w:r w:rsidR="00855C0F" w:rsidRPr="00347697">
        <w:rPr>
          <w:rFonts w:ascii="Times New Roman" w:hAnsi="Times New Roman" w:cs="Times New Roman"/>
          <w:color w:val="000000" w:themeColor="text1"/>
          <w:sz w:val="24"/>
          <w:szCs w:val="24"/>
        </w:rPr>
        <w:t>ing</w:t>
      </w:r>
      <w:r w:rsidRPr="00347697">
        <w:rPr>
          <w:rFonts w:ascii="Times New Roman" w:hAnsi="Times New Roman" w:cs="Times New Roman"/>
          <w:color w:val="000000" w:themeColor="text1"/>
          <w:sz w:val="24"/>
          <w:szCs w:val="24"/>
        </w:rPr>
        <w:t xml:space="preserve"> a second </w:t>
      </w:r>
      <w:r w:rsidR="00855C0F"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course</w:t>
      </w:r>
      <w:r w:rsidR="00855C0F" w:rsidRPr="00347697">
        <w:rPr>
          <w:rFonts w:ascii="Times New Roman" w:hAnsi="Times New Roman" w:cs="Times New Roman"/>
          <w:color w:val="000000" w:themeColor="text1"/>
          <w:sz w:val="24"/>
          <w:szCs w:val="24"/>
        </w:rPr>
        <w:t xml:space="preserve">.  Although this figure is troublingly low, it is superior to the </w:t>
      </w:r>
      <w:r w:rsidR="004E7C71">
        <w:rPr>
          <w:rFonts w:ascii="Times New Roman" w:hAnsi="Times New Roman" w:cs="Times New Roman"/>
          <w:color w:val="000000" w:themeColor="text1"/>
          <w:sz w:val="24"/>
          <w:szCs w:val="24"/>
        </w:rPr>
        <w:t xml:space="preserve">rebound </w:t>
      </w:r>
      <w:r w:rsidR="00855C0F" w:rsidRPr="00347697">
        <w:rPr>
          <w:rFonts w:ascii="Times New Roman" w:hAnsi="Times New Roman" w:cs="Times New Roman"/>
          <w:color w:val="000000" w:themeColor="text1"/>
          <w:sz w:val="24"/>
          <w:szCs w:val="24"/>
        </w:rPr>
        <w:t xml:space="preserve">rates observed </w:t>
      </w:r>
      <w:r w:rsidR="00811D00" w:rsidRPr="00347697">
        <w:rPr>
          <w:rFonts w:ascii="Times New Roman" w:hAnsi="Times New Roman" w:cs="Times New Roman"/>
          <w:color w:val="000000" w:themeColor="text1"/>
          <w:sz w:val="24"/>
          <w:szCs w:val="24"/>
        </w:rPr>
        <w:t xml:space="preserve">among students who </w:t>
      </w:r>
      <w:r w:rsidR="00614045">
        <w:rPr>
          <w:rFonts w:ascii="Times New Roman" w:hAnsi="Times New Roman" w:cs="Times New Roman"/>
          <w:color w:val="000000" w:themeColor="text1"/>
          <w:sz w:val="24"/>
          <w:szCs w:val="24"/>
        </w:rPr>
        <w:t>were unsuccessful on their first attempt of other first English course</w:t>
      </w:r>
      <w:r w:rsidR="004E7C71">
        <w:rPr>
          <w:rFonts w:ascii="Times New Roman" w:hAnsi="Times New Roman" w:cs="Times New Roman"/>
          <w:color w:val="000000" w:themeColor="text1"/>
          <w:sz w:val="24"/>
          <w:szCs w:val="24"/>
        </w:rPr>
        <w:t>s</w:t>
      </w:r>
      <w:r w:rsidR="00614045">
        <w:rPr>
          <w:rFonts w:ascii="Times New Roman" w:hAnsi="Times New Roman" w:cs="Times New Roman"/>
          <w:color w:val="000000" w:themeColor="text1"/>
          <w:sz w:val="24"/>
          <w:szCs w:val="24"/>
        </w:rPr>
        <w:t xml:space="preserve">:  </w:t>
      </w:r>
      <w:r w:rsidR="00855C0F" w:rsidRPr="00347697">
        <w:rPr>
          <w:rFonts w:ascii="Times New Roman" w:hAnsi="Times New Roman" w:cs="Times New Roman"/>
          <w:color w:val="000000" w:themeColor="text1"/>
          <w:sz w:val="24"/>
          <w:szCs w:val="24"/>
        </w:rPr>
        <w:t>Engl B50 (</w:t>
      </w:r>
      <w:r w:rsidR="00614045">
        <w:rPr>
          <w:rFonts w:ascii="Times New Roman" w:hAnsi="Times New Roman" w:cs="Times New Roman"/>
          <w:color w:val="000000" w:themeColor="text1"/>
          <w:sz w:val="24"/>
          <w:szCs w:val="24"/>
        </w:rPr>
        <w:t>43</w:t>
      </w:r>
      <w:r w:rsidR="00855C0F" w:rsidRPr="00347697">
        <w:rPr>
          <w:rFonts w:ascii="Times New Roman" w:hAnsi="Times New Roman" w:cs="Times New Roman"/>
          <w:color w:val="000000" w:themeColor="text1"/>
          <w:sz w:val="24"/>
          <w:szCs w:val="24"/>
        </w:rPr>
        <w:t>%</w:t>
      </w:r>
      <w:r w:rsidR="00811D00" w:rsidRPr="00347697">
        <w:rPr>
          <w:rFonts w:ascii="Times New Roman" w:hAnsi="Times New Roman" w:cs="Times New Roman"/>
          <w:color w:val="000000" w:themeColor="text1"/>
          <w:sz w:val="24"/>
          <w:szCs w:val="24"/>
        </w:rPr>
        <w:t xml:space="preserve"> attempting a second course</w:t>
      </w:r>
      <w:r w:rsidR="00855C0F" w:rsidRPr="00347697">
        <w:rPr>
          <w:rFonts w:ascii="Times New Roman" w:hAnsi="Times New Roman" w:cs="Times New Roman"/>
          <w:color w:val="000000" w:themeColor="text1"/>
          <w:sz w:val="24"/>
          <w:szCs w:val="24"/>
        </w:rPr>
        <w:t>), Engl B53 (</w:t>
      </w:r>
      <w:r w:rsidR="00614045">
        <w:rPr>
          <w:rFonts w:ascii="Times New Roman" w:hAnsi="Times New Roman" w:cs="Times New Roman"/>
          <w:color w:val="000000" w:themeColor="text1"/>
          <w:sz w:val="24"/>
          <w:szCs w:val="24"/>
        </w:rPr>
        <w:t>42</w:t>
      </w:r>
      <w:r w:rsidR="00855C0F" w:rsidRPr="00347697">
        <w:rPr>
          <w:rFonts w:ascii="Times New Roman" w:hAnsi="Times New Roman" w:cs="Times New Roman"/>
          <w:color w:val="000000" w:themeColor="text1"/>
          <w:sz w:val="24"/>
          <w:szCs w:val="24"/>
        </w:rPr>
        <w:t>%), and Engl B60 (</w:t>
      </w:r>
      <w:r w:rsidR="00614045">
        <w:rPr>
          <w:rFonts w:ascii="Times New Roman" w:hAnsi="Times New Roman" w:cs="Times New Roman"/>
          <w:color w:val="000000" w:themeColor="text1"/>
          <w:sz w:val="24"/>
          <w:szCs w:val="24"/>
        </w:rPr>
        <w:t>38</w:t>
      </w:r>
      <w:r w:rsidR="00855C0F" w:rsidRPr="00347697">
        <w:rPr>
          <w:rFonts w:ascii="Times New Roman" w:hAnsi="Times New Roman" w:cs="Times New Roman"/>
          <w:color w:val="000000" w:themeColor="text1"/>
          <w:sz w:val="24"/>
          <w:szCs w:val="24"/>
        </w:rPr>
        <w:t>%)</w:t>
      </w:r>
      <w:r w:rsidRPr="00347697">
        <w:rPr>
          <w:rFonts w:ascii="Times New Roman" w:hAnsi="Times New Roman" w:cs="Times New Roman"/>
          <w:color w:val="000000" w:themeColor="text1"/>
          <w:sz w:val="24"/>
          <w:szCs w:val="24"/>
        </w:rPr>
        <w:t xml:space="preserve">. </w:t>
      </w:r>
    </w:p>
    <w:p w14:paraId="59589BA0" w14:textId="77777777" w:rsidR="00CA02D3" w:rsidRPr="00347697" w:rsidRDefault="00CA02D3" w:rsidP="00CA02D3">
      <w:pPr>
        <w:spacing w:after="0" w:line="240" w:lineRule="auto"/>
        <w:rPr>
          <w:rFonts w:ascii="Times New Roman" w:hAnsi="Times New Roman" w:cs="Times New Roman"/>
          <w:color w:val="000000" w:themeColor="text1"/>
          <w:sz w:val="24"/>
          <w:szCs w:val="24"/>
        </w:rPr>
      </w:pPr>
    </w:p>
    <w:p w14:paraId="3757310D" w14:textId="7BA0D55A" w:rsidR="00CA02D3" w:rsidRPr="00347697" w:rsidRDefault="00811D00" w:rsidP="00CA02D3">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 xml:space="preserve">Unsuccessful </w:t>
      </w:r>
      <w:r w:rsidR="00CA02D3" w:rsidRPr="00347697">
        <w:rPr>
          <w:rFonts w:ascii="Times New Roman" w:hAnsi="Times New Roman" w:cs="Times New Roman"/>
          <w:color w:val="000000" w:themeColor="text1"/>
          <w:sz w:val="24"/>
          <w:szCs w:val="24"/>
        </w:rPr>
        <w:t>LRNC B5</w:t>
      </w:r>
      <w:r w:rsidRPr="00347697">
        <w:rPr>
          <w:rFonts w:ascii="Times New Roman" w:hAnsi="Times New Roman" w:cs="Times New Roman"/>
          <w:color w:val="000000" w:themeColor="text1"/>
          <w:sz w:val="24"/>
          <w:szCs w:val="24"/>
        </w:rPr>
        <w:t>1</w:t>
      </w:r>
      <w:r w:rsidR="00CA02D3" w:rsidRPr="00347697">
        <w:rPr>
          <w:rFonts w:ascii="Times New Roman" w:hAnsi="Times New Roman" w:cs="Times New Roman"/>
          <w:color w:val="000000" w:themeColor="text1"/>
          <w:sz w:val="24"/>
          <w:szCs w:val="24"/>
        </w:rPr>
        <w:t>0</w:t>
      </w:r>
      <w:r w:rsidR="00614045" w:rsidRPr="0072729B">
        <w:rPr>
          <w:rFonts w:ascii="Times New Roman" w:hAnsi="Times New Roman" w:cs="Times New Roman"/>
          <w:i/>
          <w:color w:val="000000" w:themeColor="text1"/>
          <w:sz w:val="24"/>
          <w:szCs w:val="24"/>
        </w:rPr>
        <w:t>f</w:t>
      </w:r>
      <w:r w:rsidR="00CA02D3" w:rsidRPr="00347697">
        <w:rPr>
          <w:rFonts w:ascii="Times New Roman" w:hAnsi="Times New Roman" w:cs="Times New Roman"/>
          <w:color w:val="000000" w:themeColor="text1"/>
          <w:sz w:val="24"/>
          <w:szCs w:val="24"/>
        </w:rPr>
        <w:t xml:space="preserve"> students who attempt a second </w:t>
      </w:r>
      <w:r w:rsidR="00284A24" w:rsidRPr="00347697">
        <w:rPr>
          <w:rFonts w:ascii="Times New Roman" w:hAnsi="Times New Roman" w:cs="Times New Roman"/>
          <w:color w:val="000000" w:themeColor="text1"/>
          <w:sz w:val="24"/>
          <w:szCs w:val="24"/>
        </w:rPr>
        <w:t>English</w:t>
      </w:r>
      <w:r w:rsidR="00CA02D3" w:rsidRPr="00347697">
        <w:rPr>
          <w:rFonts w:ascii="Times New Roman" w:hAnsi="Times New Roman" w:cs="Times New Roman"/>
          <w:color w:val="000000" w:themeColor="text1"/>
          <w:sz w:val="24"/>
          <w:szCs w:val="24"/>
        </w:rPr>
        <w:t xml:space="preserve"> course </w:t>
      </w:r>
      <w:r w:rsidRPr="00347697">
        <w:rPr>
          <w:rFonts w:ascii="Times New Roman" w:hAnsi="Times New Roman" w:cs="Times New Roman"/>
          <w:color w:val="000000" w:themeColor="text1"/>
          <w:sz w:val="24"/>
          <w:szCs w:val="24"/>
        </w:rPr>
        <w:t>largely shift to Engl B50, rather than repeating LRNC B510</w:t>
      </w:r>
      <w:r w:rsidR="00614045" w:rsidRPr="0072729B">
        <w:rPr>
          <w:rFonts w:ascii="Times New Roman" w:hAnsi="Times New Roman" w:cs="Times New Roman"/>
          <w:i/>
          <w:color w:val="000000" w:themeColor="text1"/>
          <w:sz w:val="24"/>
          <w:szCs w:val="24"/>
        </w:rPr>
        <w:t>f</w:t>
      </w:r>
      <w:r w:rsidRPr="00347697">
        <w:rPr>
          <w:rFonts w:ascii="Times New Roman" w:hAnsi="Times New Roman" w:cs="Times New Roman"/>
          <w:color w:val="000000" w:themeColor="text1"/>
          <w:sz w:val="24"/>
          <w:szCs w:val="24"/>
        </w:rPr>
        <w:t>.  Studen</w:t>
      </w:r>
      <w:r w:rsidR="00284A24" w:rsidRPr="00347697">
        <w:rPr>
          <w:rFonts w:ascii="Times New Roman" w:hAnsi="Times New Roman" w:cs="Times New Roman"/>
          <w:color w:val="000000" w:themeColor="text1"/>
          <w:sz w:val="24"/>
          <w:szCs w:val="24"/>
        </w:rPr>
        <w:t>t</w:t>
      </w:r>
      <w:r w:rsidRPr="00347697">
        <w:rPr>
          <w:rFonts w:ascii="Times New Roman" w:hAnsi="Times New Roman" w:cs="Times New Roman"/>
          <w:color w:val="000000" w:themeColor="text1"/>
          <w:sz w:val="24"/>
          <w:szCs w:val="24"/>
        </w:rPr>
        <w:t xml:space="preserve">s </w:t>
      </w:r>
      <w:r w:rsidR="00284A24" w:rsidRPr="00347697">
        <w:rPr>
          <w:rFonts w:ascii="Times New Roman" w:hAnsi="Times New Roman" w:cs="Times New Roman"/>
          <w:color w:val="000000" w:themeColor="text1"/>
          <w:sz w:val="24"/>
          <w:szCs w:val="24"/>
        </w:rPr>
        <w:t>in the other developmental English courses are more likely to repeat the course that they did not pass on the first attempt, although a sizeable minority of unsuccessful Engl B60 students shift</w:t>
      </w:r>
      <w:r w:rsidR="00403016">
        <w:rPr>
          <w:rFonts w:ascii="Times New Roman" w:hAnsi="Times New Roman" w:cs="Times New Roman"/>
          <w:color w:val="000000" w:themeColor="text1"/>
          <w:sz w:val="24"/>
          <w:szCs w:val="24"/>
        </w:rPr>
        <w:t>s</w:t>
      </w:r>
      <w:r w:rsidR="00284A24" w:rsidRPr="00347697">
        <w:rPr>
          <w:rFonts w:ascii="Times New Roman" w:hAnsi="Times New Roman" w:cs="Times New Roman"/>
          <w:color w:val="000000" w:themeColor="text1"/>
          <w:sz w:val="24"/>
          <w:szCs w:val="24"/>
        </w:rPr>
        <w:t xml:space="preserve"> to Engl B53.  </w:t>
      </w:r>
      <w:r w:rsidRPr="00347697">
        <w:rPr>
          <w:rFonts w:ascii="Times New Roman" w:hAnsi="Times New Roman" w:cs="Times New Roman"/>
          <w:color w:val="000000" w:themeColor="text1"/>
          <w:sz w:val="24"/>
          <w:szCs w:val="24"/>
        </w:rPr>
        <w:t xml:space="preserve"> </w:t>
      </w:r>
    </w:p>
    <w:p w14:paraId="27019717" w14:textId="77777777" w:rsidR="00CA02D3" w:rsidRPr="00347697" w:rsidRDefault="00CA02D3" w:rsidP="00CA02D3">
      <w:pPr>
        <w:spacing w:after="0" w:line="240" w:lineRule="auto"/>
        <w:rPr>
          <w:rFonts w:ascii="Times New Roman" w:hAnsi="Times New Roman" w:cs="Times New Roman"/>
          <w:color w:val="000000" w:themeColor="text1"/>
          <w:sz w:val="24"/>
          <w:szCs w:val="24"/>
        </w:rPr>
      </w:pPr>
    </w:p>
    <w:p w14:paraId="76E93106" w14:textId="7434E5CA" w:rsidR="004F61FA" w:rsidRPr="00347697" w:rsidRDefault="00A90080" w:rsidP="004F61FA">
      <w:pPr>
        <w:spacing w:after="0" w:line="240" w:lineRule="auto"/>
        <w:rPr>
          <w:rFonts w:ascii="Times New Roman" w:hAnsi="Times New Roman" w:cs="Times New Roman"/>
          <w:b/>
          <w:sz w:val="24"/>
          <w:szCs w:val="24"/>
        </w:rPr>
      </w:pPr>
      <w:r w:rsidRPr="00347697">
        <w:rPr>
          <w:rFonts w:ascii="Times New Roman" w:hAnsi="Times New Roman" w:cs="Times New Roman"/>
          <w:b/>
          <w:sz w:val="24"/>
          <w:szCs w:val="24"/>
        </w:rPr>
        <w:t>6</w:t>
      </w:r>
      <w:r w:rsidR="004F61FA" w:rsidRPr="00347697">
        <w:rPr>
          <w:rFonts w:ascii="Times New Roman" w:hAnsi="Times New Roman" w:cs="Times New Roman"/>
          <w:b/>
          <w:sz w:val="24"/>
          <w:szCs w:val="24"/>
        </w:rPr>
        <w:t>.</w:t>
      </w:r>
      <w:r w:rsidR="00C43974" w:rsidRPr="00347697">
        <w:rPr>
          <w:rFonts w:ascii="Times New Roman" w:hAnsi="Times New Roman" w:cs="Times New Roman"/>
          <w:b/>
          <w:sz w:val="24"/>
          <w:szCs w:val="24"/>
        </w:rPr>
        <w:t>4</w:t>
      </w:r>
      <w:r w:rsidR="004F61FA" w:rsidRPr="00347697">
        <w:rPr>
          <w:rFonts w:ascii="Times New Roman" w:hAnsi="Times New Roman" w:cs="Times New Roman"/>
          <w:b/>
          <w:sz w:val="24"/>
          <w:szCs w:val="24"/>
        </w:rPr>
        <w:t xml:space="preserve"> Relationships Between </w:t>
      </w:r>
      <w:r w:rsidR="000B6413" w:rsidRPr="00347697">
        <w:rPr>
          <w:rFonts w:ascii="Times New Roman" w:hAnsi="Times New Roman" w:cs="Times New Roman"/>
          <w:b/>
          <w:sz w:val="24"/>
          <w:szCs w:val="24"/>
        </w:rPr>
        <w:t xml:space="preserve">English </w:t>
      </w:r>
      <w:r w:rsidR="004F61FA" w:rsidRPr="00347697">
        <w:rPr>
          <w:rFonts w:ascii="Times New Roman" w:hAnsi="Times New Roman" w:cs="Times New Roman"/>
          <w:b/>
          <w:sz w:val="24"/>
          <w:szCs w:val="24"/>
        </w:rPr>
        <w:t>Pathways and Selected Outcomes</w:t>
      </w:r>
    </w:p>
    <w:p w14:paraId="12B68772" w14:textId="77777777" w:rsidR="00B022B1" w:rsidRPr="00347697" w:rsidRDefault="00B022B1" w:rsidP="004F61FA">
      <w:pPr>
        <w:spacing w:after="0" w:line="240" w:lineRule="auto"/>
        <w:rPr>
          <w:rFonts w:ascii="Times New Roman" w:hAnsi="Times New Roman" w:cs="Times New Roman"/>
          <w:color w:val="000000" w:themeColor="text1"/>
          <w:sz w:val="24"/>
          <w:szCs w:val="24"/>
        </w:rPr>
      </w:pPr>
    </w:p>
    <w:p w14:paraId="18271B63" w14:textId="77777777" w:rsidR="00B022B1" w:rsidRPr="00347697" w:rsidRDefault="00B022B1" w:rsidP="00B022B1">
      <w:pPr>
        <w:spacing w:after="0" w:line="240" w:lineRule="auto"/>
        <w:rPr>
          <w:rFonts w:ascii="Times New Roman" w:hAnsi="Times New Roman" w:cs="Times New Roman"/>
          <w:color w:val="000000" w:themeColor="text1"/>
          <w:sz w:val="24"/>
          <w:szCs w:val="24"/>
          <w:u w:val="single"/>
        </w:rPr>
      </w:pPr>
      <w:r w:rsidRPr="00347697">
        <w:rPr>
          <w:rFonts w:ascii="Times New Roman" w:hAnsi="Times New Roman" w:cs="Times New Roman"/>
          <w:color w:val="000000" w:themeColor="text1"/>
          <w:sz w:val="24"/>
          <w:szCs w:val="24"/>
          <w:u w:val="single"/>
        </w:rPr>
        <w:t>Questions</w:t>
      </w:r>
    </w:p>
    <w:p w14:paraId="2F526807" w14:textId="77777777" w:rsidR="00B022B1" w:rsidRPr="00347697" w:rsidRDefault="00B022B1" w:rsidP="00B022B1">
      <w:pPr>
        <w:spacing w:after="0" w:line="240" w:lineRule="auto"/>
        <w:rPr>
          <w:rFonts w:ascii="Times New Roman" w:hAnsi="Times New Roman" w:cs="Times New Roman"/>
          <w:color w:val="000000" w:themeColor="text1"/>
          <w:sz w:val="24"/>
          <w:szCs w:val="24"/>
        </w:rPr>
      </w:pPr>
    </w:p>
    <w:p w14:paraId="076D9DD4" w14:textId="34691280" w:rsidR="00B022B1" w:rsidRPr="00347697" w:rsidRDefault="00B022B1" w:rsidP="00B022B1">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 xml:space="preserve">This section seeks to address the following questions.  What is the nature of the relationship between students’ English pathway (as defined in this study) and: </w:t>
      </w:r>
    </w:p>
    <w:p w14:paraId="134C73DC" w14:textId="500C353C" w:rsidR="00B022B1" w:rsidRPr="00347697" w:rsidRDefault="00B022B1" w:rsidP="00EF6CD7">
      <w:pPr>
        <w:pStyle w:val="ListParagraph"/>
        <w:numPr>
          <w:ilvl w:val="0"/>
          <w:numId w:val="10"/>
        </w:num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the likelihood of passing their second English course</w:t>
      </w:r>
      <w:r w:rsidRPr="00347697">
        <w:rPr>
          <w:rStyle w:val="FootnoteReference"/>
          <w:rFonts w:ascii="Times New Roman" w:hAnsi="Times New Roman" w:cs="Times New Roman"/>
          <w:color w:val="000000" w:themeColor="text1"/>
          <w:sz w:val="24"/>
          <w:szCs w:val="24"/>
        </w:rPr>
        <w:footnoteReference w:id="5"/>
      </w:r>
      <w:r w:rsidRPr="00347697">
        <w:rPr>
          <w:rFonts w:ascii="Times New Roman" w:hAnsi="Times New Roman" w:cs="Times New Roman"/>
          <w:color w:val="000000" w:themeColor="text1"/>
          <w:sz w:val="24"/>
          <w:szCs w:val="24"/>
        </w:rPr>
        <w:t xml:space="preserve"> on the first attempt?</w:t>
      </w:r>
    </w:p>
    <w:p w14:paraId="770567FB" w14:textId="47B61A31" w:rsidR="00B022B1" w:rsidRPr="00347697" w:rsidRDefault="00B022B1" w:rsidP="00EF6CD7">
      <w:pPr>
        <w:pStyle w:val="ListParagraph"/>
        <w:numPr>
          <w:ilvl w:val="0"/>
          <w:numId w:val="10"/>
        </w:num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the likelihood of eventually demonstrating transfer-level English competency?</w:t>
      </w:r>
    </w:p>
    <w:p w14:paraId="2572F6B4" w14:textId="71FD753F" w:rsidR="00B022B1" w:rsidRPr="00347697" w:rsidRDefault="00B022B1" w:rsidP="00EF6CD7">
      <w:pPr>
        <w:pStyle w:val="ListParagraph"/>
        <w:numPr>
          <w:ilvl w:val="0"/>
          <w:numId w:val="10"/>
        </w:num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the average length of time to achieve transfer-level English competency?</w:t>
      </w:r>
    </w:p>
    <w:p w14:paraId="466F2E3C" w14:textId="77777777" w:rsidR="00B022B1" w:rsidRPr="00347697" w:rsidRDefault="00B022B1" w:rsidP="00B022B1">
      <w:pPr>
        <w:spacing w:after="0" w:line="240" w:lineRule="auto"/>
        <w:rPr>
          <w:rFonts w:ascii="Times New Roman" w:hAnsi="Times New Roman" w:cs="Times New Roman"/>
          <w:color w:val="000000" w:themeColor="text1"/>
          <w:sz w:val="24"/>
          <w:szCs w:val="24"/>
        </w:rPr>
      </w:pPr>
    </w:p>
    <w:p w14:paraId="474D6752" w14:textId="62833B18" w:rsidR="00B022B1" w:rsidRPr="00347697" w:rsidRDefault="00B022B1" w:rsidP="00347697">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 xml:space="preserve">Table </w:t>
      </w:r>
      <w:r w:rsidR="00AD6640">
        <w:rPr>
          <w:rFonts w:ascii="Times New Roman" w:hAnsi="Times New Roman" w:cs="Times New Roman"/>
          <w:color w:val="000000" w:themeColor="text1"/>
          <w:sz w:val="24"/>
          <w:szCs w:val="24"/>
        </w:rPr>
        <w:t>12</w:t>
      </w:r>
      <w:r w:rsidR="00AD6640"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presents the percentage of students who passed their second </w:t>
      </w:r>
      <w:r w:rsidR="007902E0"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course on the first attempt and the percentage of students who eventually demonstrated transfer-level </w:t>
      </w:r>
      <w:r w:rsidR="007902E0"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competency, by </w:t>
      </w:r>
      <w:r w:rsidR="007902E0" w:rsidRPr="00347697">
        <w:rPr>
          <w:rFonts w:ascii="Times New Roman" w:hAnsi="Times New Roman" w:cs="Times New Roman"/>
          <w:color w:val="000000" w:themeColor="text1"/>
          <w:sz w:val="24"/>
          <w:szCs w:val="24"/>
        </w:rPr>
        <w:t>English</w:t>
      </w:r>
      <w:r w:rsidRPr="00347697">
        <w:rPr>
          <w:rFonts w:ascii="Times New Roman" w:hAnsi="Times New Roman" w:cs="Times New Roman"/>
          <w:color w:val="000000" w:themeColor="text1"/>
          <w:sz w:val="24"/>
          <w:szCs w:val="24"/>
        </w:rPr>
        <w:t xml:space="preserve"> pathway.  </w:t>
      </w:r>
      <w:r w:rsidR="00B168CB" w:rsidRPr="00347697">
        <w:rPr>
          <w:rFonts w:ascii="Times New Roman" w:hAnsi="Times New Roman" w:cs="Times New Roman"/>
          <w:color w:val="000000" w:themeColor="text1"/>
          <w:sz w:val="24"/>
          <w:szCs w:val="24"/>
        </w:rPr>
        <w:t xml:space="preserve">Just as with math, </w:t>
      </w:r>
      <w:r w:rsidRPr="00347697">
        <w:rPr>
          <w:rFonts w:ascii="Times New Roman" w:hAnsi="Times New Roman" w:cs="Times New Roman"/>
          <w:color w:val="000000" w:themeColor="text1"/>
          <w:sz w:val="24"/>
          <w:szCs w:val="24"/>
        </w:rPr>
        <w:t xml:space="preserve">the second </w:t>
      </w:r>
      <w:r w:rsidR="007902E0"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course is defined such that it may be the second attempt of the first </w:t>
      </w:r>
      <w:r w:rsidR="007902E0"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course.  Thus, students who attempt their first </w:t>
      </w:r>
      <w:r w:rsidR="007902E0" w:rsidRPr="00347697">
        <w:rPr>
          <w:rFonts w:ascii="Times New Roman" w:hAnsi="Times New Roman" w:cs="Times New Roman"/>
          <w:color w:val="000000" w:themeColor="text1"/>
          <w:sz w:val="24"/>
          <w:szCs w:val="24"/>
        </w:rPr>
        <w:t>English</w:t>
      </w:r>
      <w:r w:rsidRPr="00347697">
        <w:rPr>
          <w:rFonts w:ascii="Times New Roman" w:hAnsi="Times New Roman" w:cs="Times New Roman"/>
          <w:color w:val="000000" w:themeColor="text1"/>
          <w:sz w:val="24"/>
          <w:szCs w:val="24"/>
        </w:rPr>
        <w:t xml:space="preserve"> course a second time and pass this “second course” on the first attempt could be more accurately described as having passed their first </w:t>
      </w:r>
      <w:r w:rsidR="007902E0"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course on the second attempt</w:t>
      </w:r>
      <w:r w:rsidR="00E5271B"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Table </w:t>
      </w:r>
      <w:r w:rsidR="00AD6640">
        <w:rPr>
          <w:rFonts w:ascii="Times New Roman" w:hAnsi="Times New Roman" w:cs="Times New Roman"/>
          <w:color w:val="000000" w:themeColor="text1"/>
          <w:sz w:val="24"/>
          <w:szCs w:val="24"/>
        </w:rPr>
        <w:t>13</w:t>
      </w:r>
      <w:r w:rsidR="00AD6640" w:rsidRPr="00347697">
        <w:rPr>
          <w:rFonts w:ascii="Times New Roman" w:hAnsi="Times New Roman" w:cs="Times New Roman"/>
          <w:color w:val="000000" w:themeColor="text1"/>
          <w:sz w:val="24"/>
          <w:szCs w:val="24"/>
        </w:rPr>
        <w:t xml:space="preserve"> </w:t>
      </w:r>
      <w:r w:rsidR="00ED1E3C" w:rsidRPr="00347697">
        <w:rPr>
          <w:rFonts w:ascii="Times New Roman" w:hAnsi="Times New Roman" w:cs="Times New Roman"/>
          <w:color w:val="000000" w:themeColor="text1"/>
          <w:sz w:val="24"/>
          <w:szCs w:val="24"/>
        </w:rPr>
        <w:t xml:space="preserve">presents </w:t>
      </w:r>
      <w:r w:rsidRPr="00347697">
        <w:rPr>
          <w:rFonts w:ascii="Times New Roman" w:hAnsi="Times New Roman" w:cs="Times New Roman"/>
          <w:color w:val="000000" w:themeColor="text1"/>
          <w:sz w:val="24"/>
          <w:szCs w:val="24"/>
        </w:rPr>
        <w:t xml:space="preserve">the average time to demonstrate transfer-level </w:t>
      </w:r>
      <w:r w:rsidR="00ED1E3C" w:rsidRPr="00347697">
        <w:rPr>
          <w:rFonts w:ascii="Times New Roman" w:hAnsi="Times New Roman" w:cs="Times New Roman"/>
          <w:color w:val="000000" w:themeColor="text1"/>
          <w:sz w:val="24"/>
          <w:szCs w:val="24"/>
        </w:rPr>
        <w:t>English</w:t>
      </w:r>
      <w:r w:rsidRPr="00347697">
        <w:rPr>
          <w:rFonts w:ascii="Times New Roman" w:hAnsi="Times New Roman" w:cs="Times New Roman"/>
          <w:color w:val="000000" w:themeColor="text1"/>
          <w:sz w:val="24"/>
          <w:szCs w:val="24"/>
        </w:rPr>
        <w:t xml:space="preserve"> competency for students who completed a transfer-level </w:t>
      </w:r>
      <w:r w:rsidR="00ED1E3C" w:rsidRPr="00347697">
        <w:rPr>
          <w:rFonts w:ascii="Times New Roman" w:hAnsi="Times New Roman" w:cs="Times New Roman"/>
          <w:color w:val="000000" w:themeColor="text1"/>
          <w:sz w:val="24"/>
          <w:szCs w:val="24"/>
        </w:rPr>
        <w:t xml:space="preserve">English </w:t>
      </w:r>
      <w:r w:rsidRPr="00347697">
        <w:rPr>
          <w:rFonts w:ascii="Times New Roman" w:hAnsi="Times New Roman" w:cs="Times New Roman"/>
          <w:color w:val="000000" w:themeColor="text1"/>
          <w:sz w:val="24"/>
          <w:szCs w:val="24"/>
        </w:rPr>
        <w:t xml:space="preserve">course successfully.  </w:t>
      </w:r>
    </w:p>
    <w:p w14:paraId="7F819A9D" w14:textId="77777777" w:rsidR="00B022B1" w:rsidRPr="00347697" w:rsidRDefault="00B022B1" w:rsidP="00B022B1">
      <w:pPr>
        <w:spacing w:after="0" w:line="240" w:lineRule="auto"/>
        <w:rPr>
          <w:rFonts w:ascii="Times New Roman" w:hAnsi="Times New Roman" w:cs="Times New Roman"/>
          <w:color w:val="000000" w:themeColor="text1"/>
          <w:sz w:val="24"/>
          <w:szCs w:val="24"/>
        </w:rPr>
      </w:pPr>
    </w:p>
    <w:p w14:paraId="2A157378" w14:textId="4B84D858" w:rsidR="00B022B1" w:rsidRPr="00347697" w:rsidRDefault="00B022B1" w:rsidP="00B022B1">
      <w:pPr>
        <w:spacing w:after="0" w:line="240" w:lineRule="auto"/>
        <w:rPr>
          <w:rFonts w:ascii="Times New Roman" w:hAnsi="Times New Roman" w:cs="Times New Roman"/>
          <w:color w:val="000000" w:themeColor="text1"/>
          <w:sz w:val="24"/>
          <w:szCs w:val="24"/>
          <w:u w:val="single"/>
        </w:rPr>
      </w:pPr>
      <w:r w:rsidRPr="00347697">
        <w:rPr>
          <w:rFonts w:ascii="Times New Roman" w:hAnsi="Times New Roman" w:cs="Times New Roman"/>
          <w:color w:val="000000" w:themeColor="text1"/>
          <w:sz w:val="24"/>
          <w:szCs w:val="24"/>
          <w:u w:val="single"/>
        </w:rPr>
        <w:lastRenderedPageBreak/>
        <w:t xml:space="preserve">Students who Succeed in their First </w:t>
      </w:r>
      <w:r w:rsidR="0053614F" w:rsidRPr="00347697">
        <w:rPr>
          <w:rFonts w:ascii="Times New Roman" w:hAnsi="Times New Roman" w:cs="Times New Roman"/>
          <w:color w:val="000000" w:themeColor="text1"/>
          <w:sz w:val="24"/>
          <w:szCs w:val="24"/>
          <w:u w:val="single"/>
        </w:rPr>
        <w:t>English</w:t>
      </w:r>
      <w:r w:rsidRPr="00347697">
        <w:rPr>
          <w:rFonts w:ascii="Times New Roman" w:hAnsi="Times New Roman" w:cs="Times New Roman"/>
          <w:color w:val="000000" w:themeColor="text1"/>
          <w:sz w:val="24"/>
          <w:szCs w:val="24"/>
          <w:u w:val="single"/>
        </w:rPr>
        <w:t xml:space="preserve"> Course</w:t>
      </w:r>
    </w:p>
    <w:p w14:paraId="13FB94F1" w14:textId="77777777" w:rsidR="00B022B1" w:rsidRPr="00347697" w:rsidRDefault="00B022B1" w:rsidP="00B022B1">
      <w:pPr>
        <w:spacing w:after="0" w:line="240" w:lineRule="auto"/>
        <w:rPr>
          <w:rFonts w:ascii="Times New Roman" w:hAnsi="Times New Roman" w:cs="Times New Roman"/>
          <w:color w:val="000000" w:themeColor="text1"/>
          <w:sz w:val="24"/>
          <w:szCs w:val="24"/>
        </w:rPr>
      </w:pPr>
    </w:p>
    <w:p w14:paraId="358DACEE" w14:textId="2098A664" w:rsidR="00B022B1" w:rsidRPr="00347697" w:rsidRDefault="0053614F" w:rsidP="00B022B1">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Among students who succeed</w:t>
      </w:r>
      <w:r w:rsidR="004E7C71">
        <w:rPr>
          <w:rFonts w:ascii="Times New Roman" w:hAnsi="Times New Roman" w:cs="Times New Roman"/>
          <w:color w:val="000000" w:themeColor="text1"/>
          <w:sz w:val="24"/>
          <w:szCs w:val="24"/>
        </w:rPr>
        <w:t>ed</w:t>
      </w:r>
      <w:r w:rsidRPr="00347697">
        <w:rPr>
          <w:rFonts w:ascii="Times New Roman" w:hAnsi="Times New Roman" w:cs="Times New Roman"/>
          <w:color w:val="000000" w:themeColor="text1"/>
          <w:sz w:val="24"/>
          <w:szCs w:val="24"/>
        </w:rPr>
        <w:t xml:space="preserve"> in the first-attempt of their first English course and advance</w:t>
      </w:r>
      <w:r w:rsidR="004E7C71">
        <w:rPr>
          <w:rFonts w:ascii="Times New Roman" w:hAnsi="Times New Roman" w:cs="Times New Roman"/>
          <w:color w:val="000000" w:themeColor="text1"/>
          <w:sz w:val="24"/>
          <w:szCs w:val="24"/>
        </w:rPr>
        <w:t>d</w:t>
      </w:r>
      <w:r w:rsidRPr="00347697">
        <w:rPr>
          <w:rFonts w:ascii="Times New Roman" w:hAnsi="Times New Roman" w:cs="Times New Roman"/>
          <w:color w:val="000000" w:themeColor="text1"/>
          <w:sz w:val="24"/>
          <w:szCs w:val="24"/>
        </w:rPr>
        <w:t xml:space="preserve"> into</w:t>
      </w:r>
      <w:r w:rsidR="00B022B1"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a second course, the highest rate of </w:t>
      </w:r>
      <w:r w:rsidR="00FE1CF8" w:rsidRPr="00347697">
        <w:rPr>
          <w:rFonts w:ascii="Times New Roman" w:hAnsi="Times New Roman" w:cs="Times New Roman"/>
          <w:color w:val="000000" w:themeColor="text1"/>
          <w:sz w:val="24"/>
          <w:szCs w:val="24"/>
        </w:rPr>
        <w:t xml:space="preserve">first-attempt </w:t>
      </w:r>
      <w:r w:rsidRPr="00347697">
        <w:rPr>
          <w:rFonts w:ascii="Times New Roman" w:hAnsi="Times New Roman" w:cs="Times New Roman"/>
          <w:color w:val="000000" w:themeColor="text1"/>
          <w:sz w:val="24"/>
          <w:szCs w:val="24"/>
        </w:rPr>
        <w:t xml:space="preserve">success in the second course </w:t>
      </w:r>
      <w:r w:rsidR="00FE1CF8" w:rsidRPr="00347697">
        <w:rPr>
          <w:rFonts w:ascii="Times New Roman" w:hAnsi="Times New Roman" w:cs="Times New Roman"/>
          <w:color w:val="000000" w:themeColor="text1"/>
          <w:sz w:val="24"/>
          <w:szCs w:val="24"/>
        </w:rPr>
        <w:t xml:space="preserve">is </w:t>
      </w:r>
      <w:r w:rsidRPr="00347697">
        <w:rPr>
          <w:rFonts w:ascii="Times New Roman" w:hAnsi="Times New Roman" w:cs="Times New Roman"/>
          <w:color w:val="000000" w:themeColor="text1"/>
          <w:sz w:val="24"/>
          <w:szCs w:val="24"/>
        </w:rPr>
        <w:t xml:space="preserve">found among students who </w:t>
      </w:r>
      <w:r w:rsidR="00FE1CF8" w:rsidRPr="00347697">
        <w:rPr>
          <w:rFonts w:ascii="Times New Roman" w:hAnsi="Times New Roman" w:cs="Times New Roman"/>
          <w:color w:val="000000" w:themeColor="text1"/>
          <w:sz w:val="24"/>
          <w:szCs w:val="24"/>
        </w:rPr>
        <w:t>advance</w:t>
      </w:r>
      <w:r w:rsidR="004E7C71">
        <w:rPr>
          <w:rFonts w:ascii="Times New Roman" w:hAnsi="Times New Roman" w:cs="Times New Roman"/>
          <w:color w:val="000000" w:themeColor="text1"/>
          <w:sz w:val="24"/>
          <w:szCs w:val="24"/>
        </w:rPr>
        <w:t>d</w:t>
      </w:r>
      <w:r w:rsidRPr="00347697">
        <w:rPr>
          <w:rFonts w:ascii="Times New Roman" w:hAnsi="Times New Roman" w:cs="Times New Roman"/>
          <w:color w:val="000000" w:themeColor="text1"/>
          <w:sz w:val="24"/>
          <w:szCs w:val="24"/>
        </w:rPr>
        <w:t xml:space="preserve"> from </w:t>
      </w:r>
      <w:r w:rsidR="00FE1CF8" w:rsidRPr="00347697">
        <w:rPr>
          <w:rFonts w:ascii="Times New Roman" w:hAnsi="Times New Roman" w:cs="Times New Roman"/>
          <w:color w:val="000000" w:themeColor="text1"/>
          <w:sz w:val="24"/>
          <w:szCs w:val="24"/>
        </w:rPr>
        <w:t>LRNC B510</w:t>
      </w:r>
      <w:r w:rsidR="00A95988" w:rsidRPr="0072729B">
        <w:rPr>
          <w:rFonts w:ascii="Times New Roman" w:hAnsi="Times New Roman" w:cs="Times New Roman"/>
          <w:i/>
          <w:color w:val="000000" w:themeColor="text1"/>
          <w:sz w:val="24"/>
          <w:szCs w:val="24"/>
        </w:rPr>
        <w:t>f</w:t>
      </w:r>
      <w:r w:rsidR="00FE1CF8"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to LRNC B510</w:t>
      </w:r>
      <w:r w:rsidR="00A95988" w:rsidRPr="0072729B">
        <w:rPr>
          <w:rFonts w:ascii="Times New Roman" w:hAnsi="Times New Roman" w:cs="Times New Roman"/>
          <w:i/>
          <w:color w:val="000000" w:themeColor="text1"/>
          <w:sz w:val="24"/>
          <w:szCs w:val="24"/>
        </w:rPr>
        <w:t>s</w:t>
      </w:r>
      <w:r w:rsidRPr="00347697">
        <w:rPr>
          <w:rFonts w:ascii="Times New Roman" w:hAnsi="Times New Roman" w:cs="Times New Roman"/>
          <w:color w:val="000000" w:themeColor="text1"/>
          <w:sz w:val="24"/>
          <w:szCs w:val="24"/>
        </w:rPr>
        <w:t xml:space="preserve"> (</w:t>
      </w:r>
      <w:r w:rsidR="00A95988">
        <w:rPr>
          <w:rFonts w:ascii="Times New Roman" w:hAnsi="Times New Roman" w:cs="Times New Roman"/>
          <w:color w:val="000000" w:themeColor="text1"/>
          <w:sz w:val="24"/>
          <w:szCs w:val="24"/>
        </w:rPr>
        <w:t>71</w:t>
      </w:r>
      <w:r w:rsidRPr="00347697">
        <w:rPr>
          <w:rFonts w:ascii="Times New Roman" w:hAnsi="Times New Roman" w:cs="Times New Roman"/>
          <w:color w:val="000000" w:themeColor="text1"/>
          <w:sz w:val="24"/>
          <w:szCs w:val="24"/>
        </w:rPr>
        <w:t>% first-attempt success</w:t>
      </w:r>
      <w:r w:rsidR="00FE1CF8" w:rsidRPr="00347697">
        <w:rPr>
          <w:rFonts w:ascii="Times New Roman" w:hAnsi="Times New Roman" w:cs="Times New Roman"/>
          <w:color w:val="000000" w:themeColor="text1"/>
          <w:sz w:val="24"/>
          <w:szCs w:val="24"/>
        </w:rPr>
        <w:t xml:space="preserve"> in the second-half of LRNC B510</w:t>
      </w:r>
      <w:r w:rsidR="007B785C" w:rsidRPr="00347697">
        <w:rPr>
          <w:rFonts w:ascii="Times New Roman" w:hAnsi="Times New Roman" w:cs="Times New Roman"/>
          <w:color w:val="000000" w:themeColor="text1"/>
          <w:sz w:val="24"/>
          <w:szCs w:val="24"/>
        </w:rPr>
        <w:t>).  LRNC B510</w:t>
      </w:r>
      <w:r w:rsidR="00A95988" w:rsidRPr="0072729B">
        <w:rPr>
          <w:rFonts w:ascii="Times New Roman" w:hAnsi="Times New Roman" w:cs="Times New Roman"/>
          <w:i/>
          <w:color w:val="000000" w:themeColor="text1"/>
          <w:sz w:val="24"/>
          <w:szCs w:val="24"/>
        </w:rPr>
        <w:t>s</w:t>
      </w:r>
      <w:r w:rsidR="007B785C" w:rsidRPr="00347697">
        <w:rPr>
          <w:rFonts w:ascii="Times New Roman" w:hAnsi="Times New Roman" w:cs="Times New Roman"/>
          <w:color w:val="000000" w:themeColor="text1"/>
          <w:sz w:val="24"/>
          <w:szCs w:val="24"/>
        </w:rPr>
        <w:t xml:space="preserve"> </w:t>
      </w:r>
      <w:r w:rsidR="00FE1CF8" w:rsidRPr="00347697">
        <w:rPr>
          <w:rFonts w:ascii="Times New Roman" w:hAnsi="Times New Roman" w:cs="Times New Roman"/>
          <w:color w:val="000000" w:themeColor="text1"/>
          <w:sz w:val="24"/>
          <w:szCs w:val="24"/>
        </w:rPr>
        <w:t>is equivalent to Engl B1A.  The next highest rate is found among students who advance</w:t>
      </w:r>
      <w:r w:rsidR="002879AE">
        <w:rPr>
          <w:rFonts w:ascii="Times New Roman" w:hAnsi="Times New Roman" w:cs="Times New Roman"/>
          <w:color w:val="000000" w:themeColor="text1"/>
          <w:sz w:val="24"/>
          <w:szCs w:val="24"/>
        </w:rPr>
        <w:t>d</w:t>
      </w:r>
      <w:r w:rsidRPr="00347697">
        <w:rPr>
          <w:rFonts w:ascii="Times New Roman" w:hAnsi="Times New Roman" w:cs="Times New Roman"/>
          <w:color w:val="000000" w:themeColor="text1"/>
          <w:sz w:val="24"/>
          <w:szCs w:val="24"/>
        </w:rPr>
        <w:t xml:space="preserve"> from </w:t>
      </w:r>
      <w:r w:rsidR="009B18F7" w:rsidRPr="00347697">
        <w:rPr>
          <w:rFonts w:ascii="Times New Roman" w:hAnsi="Times New Roman" w:cs="Times New Roman"/>
          <w:color w:val="000000" w:themeColor="text1"/>
          <w:sz w:val="24"/>
          <w:szCs w:val="24"/>
        </w:rPr>
        <w:t>Engl B50 to Engl B1A (</w:t>
      </w:r>
      <w:r w:rsidR="00A95988">
        <w:rPr>
          <w:rFonts w:ascii="Times New Roman" w:hAnsi="Times New Roman" w:cs="Times New Roman"/>
          <w:color w:val="000000" w:themeColor="text1"/>
          <w:sz w:val="24"/>
          <w:szCs w:val="24"/>
        </w:rPr>
        <w:t>66</w:t>
      </w:r>
      <w:r w:rsidR="009B18F7" w:rsidRPr="00347697">
        <w:rPr>
          <w:rFonts w:ascii="Times New Roman" w:hAnsi="Times New Roman" w:cs="Times New Roman"/>
          <w:color w:val="000000" w:themeColor="text1"/>
          <w:sz w:val="24"/>
          <w:szCs w:val="24"/>
        </w:rPr>
        <w:t xml:space="preserve">% first-attempt success).  Students who advanced from Engl B53 to Engl B1A </w:t>
      </w:r>
      <w:r w:rsidR="002879AE">
        <w:rPr>
          <w:rFonts w:ascii="Times New Roman" w:hAnsi="Times New Roman" w:cs="Times New Roman"/>
          <w:color w:val="000000" w:themeColor="text1"/>
          <w:sz w:val="24"/>
          <w:szCs w:val="24"/>
        </w:rPr>
        <w:t>had</w:t>
      </w:r>
      <w:r w:rsidR="002879AE" w:rsidRPr="00347697">
        <w:rPr>
          <w:rFonts w:ascii="Times New Roman" w:hAnsi="Times New Roman" w:cs="Times New Roman"/>
          <w:color w:val="000000" w:themeColor="text1"/>
          <w:sz w:val="24"/>
          <w:szCs w:val="24"/>
        </w:rPr>
        <w:t xml:space="preserve"> </w:t>
      </w:r>
      <w:r w:rsidR="009B18F7" w:rsidRPr="00347697">
        <w:rPr>
          <w:rFonts w:ascii="Times New Roman" w:hAnsi="Times New Roman" w:cs="Times New Roman"/>
          <w:color w:val="000000" w:themeColor="text1"/>
          <w:sz w:val="24"/>
          <w:szCs w:val="24"/>
        </w:rPr>
        <w:t xml:space="preserve">an appreciably lower rate of </w:t>
      </w:r>
      <w:r w:rsidR="002A3A71" w:rsidRPr="00347697">
        <w:rPr>
          <w:rFonts w:ascii="Times New Roman" w:hAnsi="Times New Roman" w:cs="Times New Roman"/>
          <w:color w:val="000000" w:themeColor="text1"/>
          <w:sz w:val="24"/>
          <w:szCs w:val="24"/>
        </w:rPr>
        <w:t xml:space="preserve">first-attempt </w:t>
      </w:r>
      <w:r w:rsidR="009B18F7" w:rsidRPr="00347697">
        <w:rPr>
          <w:rFonts w:ascii="Times New Roman" w:hAnsi="Times New Roman" w:cs="Times New Roman"/>
          <w:color w:val="000000" w:themeColor="text1"/>
          <w:sz w:val="24"/>
          <w:szCs w:val="24"/>
        </w:rPr>
        <w:t xml:space="preserve">success in </w:t>
      </w:r>
      <w:r w:rsidR="00FE1CF8" w:rsidRPr="00347697">
        <w:rPr>
          <w:rFonts w:ascii="Times New Roman" w:hAnsi="Times New Roman" w:cs="Times New Roman"/>
          <w:color w:val="000000" w:themeColor="text1"/>
          <w:sz w:val="24"/>
          <w:szCs w:val="24"/>
        </w:rPr>
        <w:t>Engl B1A (</w:t>
      </w:r>
      <w:r w:rsidR="00A95988">
        <w:rPr>
          <w:rFonts w:ascii="Times New Roman" w:hAnsi="Times New Roman" w:cs="Times New Roman"/>
          <w:color w:val="000000" w:themeColor="text1"/>
          <w:sz w:val="24"/>
          <w:szCs w:val="24"/>
        </w:rPr>
        <w:t>59</w:t>
      </w:r>
      <w:r w:rsidR="00FE1CF8" w:rsidRPr="00347697">
        <w:rPr>
          <w:rFonts w:ascii="Times New Roman" w:hAnsi="Times New Roman" w:cs="Times New Roman"/>
          <w:color w:val="000000" w:themeColor="text1"/>
          <w:sz w:val="24"/>
          <w:szCs w:val="24"/>
        </w:rPr>
        <w:t>%)</w:t>
      </w:r>
      <w:r w:rsidR="00A95988">
        <w:rPr>
          <w:rFonts w:ascii="Times New Roman" w:hAnsi="Times New Roman" w:cs="Times New Roman"/>
          <w:color w:val="000000" w:themeColor="text1"/>
          <w:sz w:val="24"/>
          <w:szCs w:val="24"/>
        </w:rPr>
        <w:t xml:space="preserve">.  </w:t>
      </w:r>
      <w:r w:rsidR="003C5F36">
        <w:rPr>
          <w:rFonts w:ascii="Times New Roman" w:hAnsi="Times New Roman" w:cs="Times New Roman"/>
          <w:color w:val="000000" w:themeColor="text1"/>
          <w:sz w:val="24"/>
          <w:szCs w:val="24"/>
        </w:rPr>
        <w:t>Likewise, s</w:t>
      </w:r>
      <w:r w:rsidR="002A3A71" w:rsidRPr="00347697">
        <w:rPr>
          <w:rFonts w:ascii="Times New Roman" w:hAnsi="Times New Roman" w:cs="Times New Roman"/>
          <w:color w:val="000000" w:themeColor="text1"/>
          <w:sz w:val="24"/>
          <w:szCs w:val="24"/>
        </w:rPr>
        <w:t>tudents who advance</w:t>
      </w:r>
      <w:r w:rsidR="002879AE">
        <w:rPr>
          <w:rFonts w:ascii="Times New Roman" w:hAnsi="Times New Roman" w:cs="Times New Roman"/>
          <w:color w:val="000000" w:themeColor="text1"/>
          <w:sz w:val="24"/>
          <w:szCs w:val="24"/>
        </w:rPr>
        <w:t>d</w:t>
      </w:r>
      <w:r w:rsidR="00FE1CF8" w:rsidRPr="00347697">
        <w:rPr>
          <w:rFonts w:ascii="Times New Roman" w:hAnsi="Times New Roman" w:cs="Times New Roman"/>
          <w:color w:val="000000" w:themeColor="text1"/>
          <w:sz w:val="24"/>
          <w:szCs w:val="24"/>
        </w:rPr>
        <w:t xml:space="preserve"> from Engl B60 to Engl B50 </w:t>
      </w:r>
      <w:r w:rsidR="002879AE">
        <w:rPr>
          <w:rFonts w:ascii="Times New Roman" w:hAnsi="Times New Roman" w:cs="Times New Roman"/>
          <w:color w:val="000000" w:themeColor="text1"/>
          <w:sz w:val="24"/>
          <w:szCs w:val="24"/>
        </w:rPr>
        <w:t>had</w:t>
      </w:r>
      <w:r w:rsidR="002879AE" w:rsidRPr="00347697">
        <w:rPr>
          <w:rFonts w:ascii="Times New Roman" w:hAnsi="Times New Roman" w:cs="Times New Roman"/>
          <w:color w:val="000000" w:themeColor="text1"/>
          <w:sz w:val="24"/>
          <w:szCs w:val="24"/>
        </w:rPr>
        <w:t xml:space="preserve"> </w:t>
      </w:r>
      <w:r w:rsidR="00FE1CF8" w:rsidRPr="00347697">
        <w:rPr>
          <w:rFonts w:ascii="Times New Roman" w:hAnsi="Times New Roman" w:cs="Times New Roman"/>
          <w:color w:val="000000" w:themeColor="text1"/>
          <w:sz w:val="24"/>
          <w:szCs w:val="24"/>
        </w:rPr>
        <w:t>a similarly low rate of success in Engl B50 (</w:t>
      </w:r>
      <w:r w:rsidR="003C5F36">
        <w:rPr>
          <w:rFonts w:ascii="Times New Roman" w:hAnsi="Times New Roman" w:cs="Times New Roman"/>
          <w:color w:val="000000" w:themeColor="text1"/>
          <w:sz w:val="24"/>
          <w:szCs w:val="24"/>
        </w:rPr>
        <w:t>59</w:t>
      </w:r>
      <w:r w:rsidR="00FE1CF8" w:rsidRPr="00347697">
        <w:rPr>
          <w:rFonts w:ascii="Times New Roman" w:hAnsi="Times New Roman" w:cs="Times New Roman"/>
          <w:color w:val="000000" w:themeColor="text1"/>
          <w:sz w:val="24"/>
          <w:szCs w:val="24"/>
        </w:rPr>
        <w:t xml:space="preserve">%).  </w:t>
      </w:r>
    </w:p>
    <w:p w14:paraId="76B65A93" w14:textId="77777777" w:rsidR="002A3A71" w:rsidRPr="00347697" w:rsidRDefault="002A3A71" w:rsidP="00B022B1">
      <w:pPr>
        <w:spacing w:after="0" w:line="240" w:lineRule="auto"/>
        <w:rPr>
          <w:rFonts w:ascii="Times New Roman" w:hAnsi="Times New Roman" w:cs="Times New Roman"/>
          <w:color w:val="000000" w:themeColor="text1"/>
          <w:sz w:val="24"/>
          <w:szCs w:val="24"/>
        </w:rPr>
      </w:pPr>
    </w:p>
    <w:p w14:paraId="172FF5F6" w14:textId="72161D07" w:rsidR="00B022B1" w:rsidRPr="00347697" w:rsidRDefault="003337D0" w:rsidP="002879AE">
      <w:pPr>
        <w:spacing w:after="0" w:line="240" w:lineRule="auto"/>
        <w:rPr>
          <w:rFonts w:ascii="Times New Roman" w:hAnsi="Times New Roman" w:cs="Times New Roman"/>
          <w:color w:val="7030A0"/>
          <w:sz w:val="24"/>
          <w:szCs w:val="24"/>
        </w:rPr>
      </w:pPr>
      <w:r w:rsidRPr="00347697">
        <w:rPr>
          <w:rFonts w:ascii="Times New Roman" w:hAnsi="Times New Roman" w:cs="Times New Roman"/>
          <w:color w:val="000000" w:themeColor="text1"/>
          <w:sz w:val="24"/>
          <w:szCs w:val="24"/>
        </w:rPr>
        <w:t>Students on the LRNC B510</w:t>
      </w:r>
      <w:r w:rsidR="003C5F36" w:rsidRPr="0072729B">
        <w:rPr>
          <w:rFonts w:ascii="Times New Roman" w:hAnsi="Times New Roman" w:cs="Times New Roman"/>
          <w:i/>
          <w:color w:val="000000" w:themeColor="text1"/>
          <w:sz w:val="24"/>
          <w:szCs w:val="24"/>
        </w:rPr>
        <w:t>f</w:t>
      </w:r>
      <w:r w:rsidR="003C5F36">
        <w:rPr>
          <w:rFonts w:ascii="Times New Roman" w:hAnsi="Times New Roman" w:cs="Times New Roman"/>
          <w:color w:val="000000" w:themeColor="text1"/>
          <w:sz w:val="24"/>
          <w:szCs w:val="24"/>
        </w:rPr>
        <w:t>-</w:t>
      </w:r>
      <w:r w:rsidR="003C5F36" w:rsidRPr="003C5F36">
        <w:rPr>
          <w:rFonts w:ascii="Times New Roman" w:hAnsi="Times New Roman" w:cs="Times New Roman"/>
          <w:color w:val="000000" w:themeColor="text1"/>
          <w:sz w:val="24"/>
          <w:szCs w:val="24"/>
        </w:rPr>
        <w:t xml:space="preserve"> </w:t>
      </w:r>
      <w:r w:rsidR="003C5F36" w:rsidRPr="00347697">
        <w:rPr>
          <w:rFonts w:ascii="Times New Roman" w:hAnsi="Times New Roman" w:cs="Times New Roman"/>
          <w:color w:val="000000" w:themeColor="text1"/>
          <w:sz w:val="24"/>
          <w:szCs w:val="24"/>
        </w:rPr>
        <w:t>B510</w:t>
      </w:r>
      <w:r w:rsidR="003C5F36" w:rsidRPr="0072729B">
        <w:rPr>
          <w:rFonts w:ascii="Times New Roman" w:hAnsi="Times New Roman" w:cs="Times New Roman"/>
          <w:i/>
          <w:color w:val="000000" w:themeColor="text1"/>
          <w:sz w:val="24"/>
          <w:szCs w:val="24"/>
        </w:rPr>
        <w:t>s</w:t>
      </w:r>
      <w:r w:rsidRPr="00347697">
        <w:rPr>
          <w:rFonts w:ascii="Times New Roman" w:hAnsi="Times New Roman" w:cs="Times New Roman"/>
          <w:color w:val="000000" w:themeColor="text1"/>
          <w:sz w:val="24"/>
          <w:szCs w:val="24"/>
        </w:rPr>
        <w:t xml:space="preserve"> and Engl B50-B1A pathways are equally likely to achieve </w:t>
      </w:r>
      <w:r w:rsidR="007B785C" w:rsidRPr="00347697">
        <w:rPr>
          <w:rFonts w:ascii="Times New Roman" w:hAnsi="Times New Roman" w:cs="Times New Roman"/>
          <w:color w:val="000000" w:themeColor="text1"/>
          <w:sz w:val="24"/>
          <w:szCs w:val="24"/>
        </w:rPr>
        <w:t>transfer-level English competency</w:t>
      </w:r>
      <w:r w:rsidRPr="00347697">
        <w:rPr>
          <w:rFonts w:ascii="Times New Roman" w:hAnsi="Times New Roman" w:cs="Times New Roman"/>
          <w:color w:val="000000" w:themeColor="text1"/>
          <w:sz w:val="24"/>
          <w:szCs w:val="24"/>
        </w:rPr>
        <w:t xml:space="preserve"> (</w:t>
      </w:r>
      <w:r w:rsidR="003C5F36">
        <w:rPr>
          <w:rFonts w:ascii="Times New Roman" w:hAnsi="Times New Roman" w:cs="Times New Roman"/>
          <w:color w:val="000000" w:themeColor="text1"/>
          <w:sz w:val="24"/>
          <w:szCs w:val="24"/>
        </w:rPr>
        <w:t>75</w:t>
      </w:r>
      <w:r w:rsidRPr="00347697">
        <w:rPr>
          <w:rFonts w:ascii="Times New Roman" w:hAnsi="Times New Roman" w:cs="Times New Roman"/>
          <w:color w:val="000000" w:themeColor="text1"/>
          <w:sz w:val="24"/>
          <w:szCs w:val="24"/>
        </w:rPr>
        <w:t>%)</w:t>
      </w:r>
      <w:r w:rsidR="007B785C"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but </w:t>
      </w:r>
      <w:r w:rsidR="007B785C" w:rsidRPr="00347697">
        <w:rPr>
          <w:rFonts w:ascii="Times New Roman" w:hAnsi="Times New Roman" w:cs="Times New Roman"/>
          <w:color w:val="000000" w:themeColor="text1"/>
          <w:sz w:val="24"/>
          <w:szCs w:val="24"/>
        </w:rPr>
        <w:t xml:space="preserve">students on the LRNC </w:t>
      </w:r>
      <w:r w:rsidR="002879AE" w:rsidRPr="00347697">
        <w:rPr>
          <w:rFonts w:ascii="Times New Roman" w:hAnsi="Times New Roman" w:cs="Times New Roman"/>
          <w:color w:val="000000" w:themeColor="text1"/>
          <w:sz w:val="24"/>
          <w:szCs w:val="24"/>
        </w:rPr>
        <w:t>B510</w:t>
      </w:r>
      <w:r w:rsidR="002879AE" w:rsidRPr="00EF4FE2">
        <w:rPr>
          <w:rFonts w:ascii="Times New Roman" w:hAnsi="Times New Roman" w:cs="Times New Roman"/>
          <w:i/>
          <w:color w:val="000000" w:themeColor="text1"/>
          <w:sz w:val="24"/>
          <w:szCs w:val="24"/>
        </w:rPr>
        <w:t>f</w:t>
      </w:r>
      <w:r w:rsidR="002879AE">
        <w:rPr>
          <w:rFonts w:ascii="Times New Roman" w:hAnsi="Times New Roman" w:cs="Times New Roman"/>
          <w:color w:val="000000" w:themeColor="text1"/>
          <w:sz w:val="24"/>
          <w:szCs w:val="24"/>
        </w:rPr>
        <w:t>-</w:t>
      </w:r>
      <w:r w:rsidR="002879AE" w:rsidRPr="003C5F36">
        <w:rPr>
          <w:rFonts w:ascii="Times New Roman" w:hAnsi="Times New Roman" w:cs="Times New Roman"/>
          <w:color w:val="000000" w:themeColor="text1"/>
          <w:sz w:val="24"/>
          <w:szCs w:val="24"/>
        </w:rPr>
        <w:t xml:space="preserve"> </w:t>
      </w:r>
      <w:r w:rsidR="002879AE" w:rsidRPr="00347697">
        <w:rPr>
          <w:rFonts w:ascii="Times New Roman" w:hAnsi="Times New Roman" w:cs="Times New Roman"/>
          <w:color w:val="000000" w:themeColor="text1"/>
          <w:sz w:val="24"/>
          <w:szCs w:val="24"/>
        </w:rPr>
        <w:t>B510</w:t>
      </w:r>
      <w:r w:rsidR="002879AE" w:rsidRPr="0072729B">
        <w:rPr>
          <w:rFonts w:ascii="Times New Roman" w:hAnsi="Times New Roman" w:cs="Times New Roman"/>
          <w:i/>
          <w:color w:val="000000" w:themeColor="text1"/>
          <w:sz w:val="24"/>
          <w:szCs w:val="24"/>
        </w:rPr>
        <w:t>s</w:t>
      </w:r>
      <w:r w:rsidR="002879AE">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 xml:space="preserve">pathway who achieve transfer-level English competency do so about two terms faster than do students on the </w:t>
      </w:r>
      <w:r w:rsidR="007B785C" w:rsidRPr="00347697">
        <w:rPr>
          <w:rFonts w:ascii="Times New Roman" w:hAnsi="Times New Roman" w:cs="Times New Roman"/>
          <w:color w:val="000000" w:themeColor="text1"/>
          <w:sz w:val="24"/>
          <w:szCs w:val="24"/>
        </w:rPr>
        <w:t>Engl B50-B1A</w:t>
      </w:r>
      <w:r w:rsidRPr="00347697">
        <w:rPr>
          <w:rFonts w:ascii="Times New Roman" w:hAnsi="Times New Roman" w:cs="Times New Roman"/>
          <w:color w:val="000000" w:themeColor="text1"/>
          <w:sz w:val="24"/>
          <w:szCs w:val="24"/>
        </w:rPr>
        <w:t xml:space="preserve"> pathway, on average.  Students on the Engl B53-B1A pathway are much more likely to achieve transfer-level English competency (</w:t>
      </w:r>
      <w:r w:rsidR="006529A6">
        <w:rPr>
          <w:rFonts w:ascii="Times New Roman" w:hAnsi="Times New Roman" w:cs="Times New Roman"/>
          <w:color w:val="000000" w:themeColor="text1"/>
          <w:sz w:val="24"/>
          <w:szCs w:val="24"/>
        </w:rPr>
        <w:t>67</w:t>
      </w:r>
      <w:r w:rsidRPr="00347697">
        <w:rPr>
          <w:rFonts w:ascii="Times New Roman" w:hAnsi="Times New Roman" w:cs="Times New Roman"/>
          <w:color w:val="000000" w:themeColor="text1"/>
          <w:sz w:val="24"/>
          <w:szCs w:val="24"/>
        </w:rPr>
        <w:t>%) than are students on the Engl B60-B50 pathway (</w:t>
      </w:r>
      <w:r w:rsidR="006529A6">
        <w:rPr>
          <w:rFonts w:ascii="Times New Roman" w:hAnsi="Times New Roman" w:cs="Times New Roman"/>
          <w:color w:val="000000" w:themeColor="text1"/>
          <w:sz w:val="24"/>
          <w:szCs w:val="24"/>
        </w:rPr>
        <w:t>40</w:t>
      </w:r>
      <w:r w:rsidRPr="00347697">
        <w:rPr>
          <w:rFonts w:ascii="Times New Roman" w:hAnsi="Times New Roman" w:cs="Times New Roman"/>
          <w:color w:val="000000" w:themeColor="text1"/>
          <w:sz w:val="24"/>
          <w:szCs w:val="24"/>
        </w:rPr>
        <w:t>%).  Among students who achieve transfer-level English competency, students on the Engl B53-B1A pathway do so 1.</w:t>
      </w:r>
      <w:r w:rsidR="006529A6">
        <w:rPr>
          <w:rFonts w:ascii="Times New Roman" w:hAnsi="Times New Roman" w:cs="Times New Roman"/>
          <w:color w:val="000000" w:themeColor="text1"/>
          <w:sz w:val="24"/>
          <w:szCs w:val="24"/>
        </w:rPr>
        <w:t>5</w:t>
      </w:r>
      <w:r w:rsidR="006529A6"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to 1.</w:t>
      </w:r>
      <w:r w:rsidR="006529A6">
        <w:rPr>
          <w:rFonts w:ascii="Times New Roman" w:hAnsi="Times New Roman" w:cs="Times New Roman"/>
          <w:color w:val="000000" w:themeColor="text1"/>
          <w:sz w:val="24"/>
          <w:szCs w:val="24"/>
        </w:rPr>
        <w:t>6</w:t>
      </w:r>
      <w:r w:rsidR="006529A6"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terms faster than do students on the Engl B60-B50 pathway</w:t>
      </w:r>
      <w:r w:rsidR="006529A6">
        <w:rPr>
          <w:rFonts w:ascii="Times New Roman" w:hAnsi="Times New Roman" w:cs="Times New Roman"/>
          <w:color w:val="000000" w:themeColor="text1"/>
          <w:sz w:val="24"/>
          <w:szCs w:val="24"/>
        </w:rPr>
        <w:t>, on average</w:t>
      </w:r>
      <w:r w:rsidRPr="00347697">
        <w:rPr>
          <w:rFonts w:ascii="Times New Roman" w:hAnsi="Times New Roman" w:cs="Times New Roman"/>
          <w:color w:val="000000" w:themeColor="text1"/>
          <w:sz w:val="24"/>
          <w:szCs w:val="24"/>
        </w:rPr>
        <w:t>.</w:t>
      </w:r>
      <w:r w:rsidR="002879AE">
        <w:rPr>
          <w:rFonts w:ascii="Times New Roman" w:hAnsi="Times New Roman" w:cs="Times New Roman"/>
          <w:color w:val="000000" w:themeColor="text1"/>
          <w:sz w:val="24"/>
          <w:szCs w:val="24"/>
        </w:rPr>
        <w:t xml:space="preserve">  The </w:t>
      </w:r>
      <w:r w:rsidR="002879AE" w:rsidRPr="00347697">
        <w:rPr>
          <w:rFonts w:ascii="Times New Roman" w:hAnsi="Times New Roman" w:cs="Times New Roman"/>
          <w:color w:val="000000" w:themeColor="text1"/>
          <w:sz w:val="24"/>
          <w:szCs w:val="24"/>
        </w:rPr>
        <w:t>LRNC B510</w:t>
      </w:r>
      <w:r w:rsidR="002879AE" w:rsidRPr="00EF4FE2">
        <w:rPr>
          <w:rFonts w:ascii="Times New Roman" w:hAnsi="Times New Roman" w:cs="Times New Roman"/>
          <w:i/>
          <w:color w:val="000000" w:themeColor="text1"/>
          <w:sz w:val="24"/>
          <w:szCs w:val="24"/>
        </w:rPr>
        <w:t>f</w:t>
      </w:r>
      <w:r w:rsidR="002879AE">
        <w:rPr>
          <w:rFonts w:ascii="Times New Roman" w:hAnsi="Times New Roman" w:cs="Times New Roman"/>
          <w:color w:val="000000" w:themeColor="text1"/>
          <w:sz w:val="24"/>
          <w:szCs w:val="24"/>
        </w:rPr>
        <w:t>-</w:t>
      </w:r>
      <w:r w:rsidR="002879AE" w:rsidRPr="003C5F36">
        <w:rPr>
          <w:rFonts w:ascii="Times New Roman" w:hAnsi="Times New Roman" w:cs="Times New Roman"/>
          <w:color w:val="000000" w:themeColor="text1"/>
          <w:sz w:val="24"/>
          <w:szCs w:val="24"/>
        </w:rPr>
        <w:t xml:space="preserve"> </w:t>
      </w:r>
      <w:r w:rsidR="002879AE" w:rsidRPr="00347697">
        <w:rPr>
          <w:rFonts w:ascii="Times New Roman" w:hAnsi="Times New Roman" w:cs="Times New Roman"/>
          <w:color w:val="000000" w:themeColor="text1"/>
          <w:sz w:val="24"/>
          <w:szCs w:val="24"/>
        </w:rPr>
        <w:t>B510</w:t>
      </w:r>
      <w:r w:rsidR="002879AE" w:rsidRPr="00EF4FE2">
        <w:rPr>
          <w:rFonts w:ascii="Times New Roman" w:hAnsi="Times New Roman" w:cs="Times New Roman"/>
          <w:i/>
          <w:color w:val="000000" w:themeColor="text1"/>
          <w:sz w:val="24"/>
          <w:szCs w:val="24"/>
        </w:rPr>
        <w:t>s</w:t>
      </w:r>
      <w:r w:rsidR="002879AE">
        <w:rPr>
          <w:rFonts w:ascii="Times New Roman" w:hAnsi="Times New Roman" w:cs="Times New Roman"/>
          <w:color w:val="000000" w:themeColor="text1"/>
          <w:sz w:val="24"/>
          <w:szCs w:val="24"/>
        </w:rPr>
        <w:t xml:space="preserve">, </w:t>
      </w:r>
      <w:r w:rsidR="002879AE" w:rsidRPr="00347697">
        <w:rPr>
          <w:rFonts w:ascii="Times New Roman" w:hAnsi="Times New Roman" w:cs="Times New Roman"/>
          <w:color w:val="000000" w:themeColor="text1"/>
          <w:sz w:val="24"/>
          <w:szCs w:val="24"/>
        </w:rPr>
        <w:t>Engl B50-B1A</w:t>
      </w:r>
      <w:r w:rsidR="002879AE">
        <w:rPr>
          <w:rFonts w:ascii="Times New Roman" w:hAnsi="Times New Roman" w:cs="Times New Roman"/>
          <w:color w:val="000000" w:themeColor="text1"/>
          <w:sz w:val="24"/>
          <w:szCs w:val="24"/>
        </w:rPr>
        <w:t xml:space="preserve">, and </w:t>
      </w:r>
      <w:r w:rsidR="002879AE" w:rsidRPr="00347697">
        <w:rPr>
          <w:rFonts w:ascii="Times New Roman" w:hAnsi="Times New Roman" w:cs="Times New Roman"/>
          <w:color w:val="000000" w:themeColor="text1"/>
          <w:sz w:val="24"/>
          <w:szCs w:val="24"/>
        </w:rPr>
        <w:t>Engl B53-B1A pathways</w:t>
      </w:r>
      <w:r w:rsidR="002879AE">
        <w:rPr>
          <w:rFonts w:ascii="Times New Roman" w:hAnsi="Times New Roman" w:cs="Times New Roman"/>
          <w:color w:val="000000" w:themeColor="text1"/>
          <w:sz w:val="24"/>
          <w:szCs w:val="24"/>
        </w:rPr>
        <w:t xml:space="preserve"> all offer average times to transfer-level competency that are consistent with the implementation of AB705</w:t>
      </w:r>
      <w:r w:rsidR="00583C67">
        <w:rPr>
          <w:rFonts w:ascii="Times New Roman" w:hAnsi="Times New Roman" w:cs="Times New Roman"/>
          <w:color w:val="000000" w:themeColor="text1"/>
          <w:sz w:val="24"/>
          <w:szCs w:val="24"/>
        </w:rPr>
        <w:t>, given the inclusion of summer terms in the definition of time applied here</w:t>
      </w:r>
      <w:r w:rsidR="002879AE">
        <w:rPr>
          <w:rFonts w:ascii="Times New Roman" w:hAnsi="Times New Roman" w:cs="Times New Roman"/>
          <w:color w:val="000000" w:themeColor="text1"/>
          <w:sz w:val="24"/>
          <w:szCs w:val="24"/>
        </w:rPr>
        <w:t>.</w:t>
      </w:r>
    </w:p>
    <w:p w14:paraId="3E5E1585" w14:textId="55D55AC8" w:rsidR="003337D0" w:rsidRPr="00347697" w:rsidRDefault="003337D0" w:rsidP="00B022B1">
      <w:pPr>
        <w:spacing w:after="0" w:line="240" w:lineRule="auto"/>
        <w:rPr>
          <w:rFonts w:ascii="Times New Roman" w:hAnsi="Times New Roman" w:cs="Times New Roman"/>
          <w:color w:val="7030A0"/>
          <w:sz w:val="24"/>
          <w:szCs w:val="24"/>
        </w:rPr>
      </w:pPr>
    </w:p>
    <w:p w14:paraId="3D856FB2" w14:textId="2D970F56" w:rsidR="00B022B1" w:rsidRPr="00347697" w:rsidRDefault="00B022B1" w:rsidP="00B022B1">
      <w:pPr>
        <w:spacing w:after="0" w:line="240" w:lineRule="auto"/>
        <w:rPr>
          <w:rFonts w:ascii="Times New Roman" w:hAnsi="Times New Roman" w:cs="Times New Roman"/>
          <w:color w:val="000000" w:themeColor="text1"/>
          <w:sz w:val="24"/>
          <w:szCs w:val="24"/>
          <w:u w:val="single"/>
        </w:rPr>
      </w:pPr>
      <w:r w:rsidRPr="00347697">
        <w:rPr>
          <w:rFonts w:ascii="Times New Roman" w:hAnsi="Times New Roman" w:cs="Times New Roman"/>
          <w:color w:val="000000" w:themeColor="text1"/>
          <w:sz w:val="24"/>
          <w:szCs w:val="24"/>
          <w:u w:val="single"/>
        </w:rPr>
        <w:t xml:space="preserve">Students who are Unsuccessful in their First </w:t>
      </w:r>
      <w:r w:rsidR="006E4C01" w:rsidRPr="00347697">
        <w:rPr>
          <w:rFonts w:ascii="Times New Roman" w:hAnsi="Times New Roman" w:cs="Times New Roman"/>
          <w:color w:val="000000" w:themeColor="text1"/>
          <w:sz w:val="24"/>
          <w:szCs w:val="24"/>
          <w:u w:val="single"/>
        </w:rPr>
        <w:t>English</w:t>
      </w:r>
      <w:r w:rsidRPr="00347697">
        <w:rPr>
          <w:rFonts w:ascii="Times New Roman" w:hAnsi="Times New Roman" w:cs="Times New Roman"/>
          <w:color w:val="000000" w:themeColor="text1"/>
          <w:sz w:val="24"/>
          <w:szCs w:val="24"/>
          <w:u w:val="single"/>
        </w:rPr>
        <w:t xml:space="preserve"> Course</w:t>
      </w:r>
    </w:p>
    <w:p w14:paraId="431AE5A4" w14:textId="77777777" w:rsidR="00B022B1" w:rsidRPr="00347697" w:rsidRDefault="00B022B1" w:rsidP="00B022B1">
      <w:pPr>
        <w:spacing w:after="0" w:line="240" w:lineRule="auto"/>
        <w:rPr>
          <w:rFonts w:ascii="Times New Roman" w:hAnsi="Times New Roman" w:cs="Times New Roman"/>
          <w:color w:val="000000" w:themeColor="text1"/>
          <w:sz w:val="24"/>
          <w:szCs w:val="24"/>
        </w:rPr>
      </w:pPr>
    </w:p>
    <w:p w14:paraId="073E040C" w14:textId="0DAC5F54" w:rsidR="00B022B1" w:rsidRPr="00347697" w:rsidRDefault="006E4C01">
      <w:pPr>
        <w:spacing w:after="0" w:line="240" w:lineRule="auto"/>
        <w:rPr>
          <w:rFonts w:ascii="Times New Roman" w:hAnsi="Times New Roman" w:cs="Times New Roman"/>
          <w:color w:val="7030A0"/>
          <w:sz w:val="24"/>
          <w:szCs w:val="24"/>
        </w:rPr>
      </w:pPr>
      <w:r w:rsidRPr="00347697">
        <w:rPr>
          <w:rFonts w:ascii="Times New Roman" w:hAnsi="Times New Roman" w:cs="Times New Roman"/>
          <w:color w:val="000000" w:themeColor="text1"/>
          <w:sz w:val="24"/>
          <w:szCs w:val="24"/>
        </w:rPr>
        <w:t>S</w:t>
      </w:r>
      <w:r w:rsidR="00B022B1" w:rsidRPr="00347697">
        <w:rPr>
          <w:rFonts w:ascii="Times New Roman" w:hAnsi="Times New Roman" w:cs="Times New Roman"/>
          <w:color w:val="000000" w:themeColor="text1"/>
          <w:sz w:val="24"/>
          <w:szCs w:val="24"/>
        </w:rPr>
        <w:t xml:space="preserve">tudents who do not succeed in the first attempt of their first </w:t>
      </w:r>
      <w:r w:rsidRPr="00347697">
        <w:rPr>
          <w:rFonts w:ascii="Times New Roman" w:hAnsi="Times New Roman" w:cs="Times New Roman"/>
          <w:color w:val="000000" w:themeColor="text1"/>
          <w:sz w:val="24"/>
          <w:szCs w:val="24"/>
        </w:rPr>
        <w:t>English</w:t>
      </w:r>
      <w:r w:rsidR="00B022B1" w:rsidRPr="00347697">
        <w:rPr>
          <w:rFonts w:ascii="Times New Roman" w:hAnsi="Times New Roman" w:cs="Times New Roman"/>
          <w:color w:val="000000" w:themeColor="text1"/>
          <w:sz w:val="24"/>
          <w:szCs w:val="24"/>
        </w:rPr>
        <w:t xml:space="preserve"> course </w:t>
      </w:r>
      <w:r w:rsidR="00710923" w:rsidRPr="00347697">
        <w:rPr>
          <w:rFonts w:ascii="Times New Roman" w:hAnsi="Times New Roman" w:cs="Times New Roman"/>
          <w:color w:val="000000" w:themeColor="text1"/>
          <w:sz w:val="24"/>
          <w:szCs w:val="24"/>
        </w:rPr>
        <w:t>and who take a second course, including repeating the first course, generally have a risk of not passing their second course that is equal to</w:t>
      </w:r>
      <w:r w:rsidR="0032537D" w:rsidRPr="00347697">
        <w:rPr>
          <w:rFonts w:ascii="Times New Roman" w:hAnsi="Times New Roman" w:cs="Times New Roman"/>
          <w:color w:val="000000" w:themeColor="text1"/>
          <w:sz w:val="24"/>
          <w:szCs w:val="24"/>
        </w:rPr>
        <w:t xml:space="preserve"> or </w:t>
      </w:r>
      <w:r w:rsidR="00710923" w:rsidRPr="00347697">
        <w:rPr>
          <w:rFonts w:ascii="Times New Roman" w:hAnsi="Times New Roman" w:cs="Times New Roman"/>
          <w:color w:val="000000" w:themeColor="text1"/>
          <w:sz w:val="24"/>
          <w:szCs w:val="24"/>
        </w:rPr>
        <w:t xml:space="preserve">greater than the risk </w:t>
      </w:r>
      <w:r w:rsidR="00215B42" w:rsidRPr="00347697">
        <w:rPr>
          <w:rFonts w:ascii="Times New Roman" w:hAnsi="Times New Roman" w:cs="Times New Roman"/>
          <w:color w:val="000000" w:themeColor="text1"/>
          <w:sz w:val="24"/>
          <w:szCs w:val="24"/>
        </w:rPr>
        <w:t xml:space="preserve">that </w:t>
      </w:r>
      <w:r w:rsidR="00710923" w:rsidRPr="00347697">
        <w:rPr>
          <w:rFonts w:ascii="Times New Roman" w:hAnsi="Times New Roman" w:cs="Times New Roman"/>
          <w:color w:val="000000" w:themeColor="text1"/>
          <w:sz w:val="24"/>
          <w:szCs w:val="24"/>
        </w:rPr>
        <w:t>they faced in their first course.  The exception is unsuccessful Engl B50 students who repeat Engl B50.  Such students have a likelihood of passing their second course (</w:t>
      </w:r>
      <w:r w:rsidR="00B81A0C">
        <w:rPr>
          <w:rFonts w:ascii="Times New Roman" w:hAnsi="Times New Roman" w:cs="Times New Roman"/>
          <w:color w:val="000000" w:themeColor="text1"/>
          <w:sz w:val="24"/>
          <w:szCs w:val="24"/>
        </w:rPr>
        <w:t>53</w:t>
      </w:r>
      <w:r w:rsidR="00710923" w:rsidRPr="00347697">
        <w:rPr>
          <w:rFonts w:ascii="Times New Roman" w:hAnsi="Times New Roman" w:cs="Times New Roman"/>
          <w:color w:val="000000" w:themeColor="text1"/>
          <w:sz w:val="24"/>
          <w:szCs w:val="24"/>
        </w:rPr>
        <w:t xml:space="preserve">%) that is </w:t>
      </w:r>
      <w:r w:rsidR="00B81A0C">
        <w:rPr>
          <w:rFonts w:ascii="Times New Roman" w:hAnsi="Times New Roman" w:cs="Times New Roman"/>
          <w:color w:val="000000" w:themeColor="text1"/>
          <w:sz w:val="24"/>
          <w:szCs w:val="24"/>
        </w:rPr>
        <w:t>modestly</w:t>
      </w:r>
      <w:r w:rsidR="00B81A0C" w:rsidRPr="00347697">
        <w:rPr>
          <w:rFonts w:ascii="Times New Roman" w:hAnsi="Times New Roman" w:cs="Times New Roman"/>
          <w:color w:val="000000" w:themeColor="text1"/>
          <w:sz w:val="24"/>
          <w:szCs w:val="24"/>
        </w:rPr>
        <w:t xml:space="preserve"> </w:t>
      </w:r>
      <w:r w:rsidR="0032537D" w:rsidRPr="00347697">
        <w:rPr>
          <w:rFonts w:ascii="Times New Roman" w:hAnsi="Times New Roman" w:cs="Times New Roman"/>
          <w:color w:val="000000" w:themeColor="text1"/>
          <w:sz w:val="24"/>
          <w:szCs w:val="24"/>
        </w:rPr>
        <w:t>higher</w:t>
      </w:r>
      <w:r w:rsidR="00710923" w:rsidRPr="00347697">
        <w:rPr>
          <w:rFonts w:ascii="Times New Roman" w:hAnsi="Times New Roman" w:cs="Times New Roman"/>
          <w:color w:val="000000" w:themeColor="text1"/>
          <w:sz w:val="24"/>
          <w:szCs w:val="24"/>
        </w:rPr>
        <w:t xml:space="preserve"> than the likelihood </w:t>
      </w:r>
      <w:r w:rsidR="0032537D" w:rsidRPr="00347697">
        <w:rPr>
          <w:rFonts w:ascii="Times New Roman" w:hAnsi="Times New Roman" w:cs="Times New Roman"/>
          <w:color w:val="000000" w:themeColor="text1"/>
          <w:sz w:val="24"/>
          <w:szCs w:val="24"/>
        </w:rPr>
        <w:t xml:space="preserve">of success among </w:t>
      </w:r>
      <w:r w:rsidR="00215B42" w:rsidRPr="00347697">
        <w:rPr>
          <w:rFonts w:ascii="Times New Roman" w:hAnsi="Times New Roman" w:cs="Times New Roman"/>
          <w:color w:val="000000" w:themeColor="text1"/>
          <w:sz w:val="24"/>
          <w:szCs w:val="24"/>
        </w:rPr>
        <w:t xml:space="preserve">students taking the course for the first time (44%).  </w:t>
      </w:r>
    </w:p>
    <w:p w14:paraId="712DF1BC" w14:textId="77777777" w:rsidR="00B022B1" w:rsidRPr="00347697" w:rsidRDefault="00B022B1" w:rsidP="00B022B1">
      <w:pPr>
        <w:spacing w:after="0" w:line="240" w:lineRule="auto"/>
        <w:rPr>
          <w:rFonts w:ascii="Times New Roman" w:hAnsi="Times New Roman" w:cs="Times New Roman"/>
          <w:color w:val="7030A0"/>
          <w:sz w:val="24"/>
          <w:szCs w:val="24"/>
        </w:rPr>
      </w:pPr>
    </w:p>
    <w:p w14:paraId="10190328" w14:textId="199C420C" w:rsidR="009C7829" w:rsidRPr="00347697" w:rsidRDefault="009C7829" w:rsidP="009C7829">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 xml:space="preserve">The </w:t>
      </w:r>
      <w:r w:rsidR="00B81A0C">
        <w:rPr>
          <w:rFonts w:ascii="Times New Roman" w:hAnsi="Times New Roman" w:cs="Times New Roman"/>
          <w:color w:val="000000" w:themeColor="text1"/>
          <w:sz w:val="24"/>
          <w:szCs w:val="24"/>
        </w:rPr>
        <w:t>depressed</w:t>
      </w:r>
      <w:r w:rsidR="00B81A0C" w:rsidRPr="00347697">
        <w:rPr>
          <w:rFonts w:ascii="Times New Roman" w:hAnsi="Times New Roman" w:cs="Times New Roman"/>
          <w:color w:val="000000" w:themeColor="text1"/>
          <w:sz w:val="24"/>
          <w:szCs w:val="24"/>
        </w:rPr>
        <w:t xml:space="preserve"> </w:t>
      </w:r>
      <w:r w:rsidRPr="00347697">
        <w:rPr>
          <w:rFonts w:ascii="Times New Roman" w:hAnsi="Times New Roman" w:cs="Times New Roman"/>
          <w:color w:val="000000" w:themeColor="text1"/>
          <w:sz w:val="24"/>
          <w:szCs w:val="24"/>
        </w:rPr>
        <w:t>rate</w:t>
      </w:r>
      <w:r w:rsidR="00B81A0C">
        <w:rPr>
          <w:rFonts w:ascii="Times New Roman" w:hAnsi="Times New Roman" w:cs="Times New Roman"/>
          <w:color w:val="000000" w:themeColor="text1"/>
          <w:sz w:val="24"/>
          <w:szCs w:val="24"/>
        </w:rPr>
        <w:t>s</w:t>
      </w:r>
      <w:r w:rsidRPr="00347697">
        <w:rPr>
          <w:rFonts w:ascii="Times New Roman" w:hAnsi="Times New Roman" w:cs="Times New Roman"/>
          <w:color w:val="000000" w:themeColor="text1"/>
          <w:sz w:val="24"/>
          <w:szCs w:val="24"/>
        </w:rPr>
        <w:t xml:space="preserve"> of success in second courses </w:t>
      </w:r>
      <w:r w:rsidR="00B81A0C">
        <w:rPr>
          <w:rFonts w:ascii="Times New Roman" w:hAnsi="Times New Roman" w:cs="Times New Roman"/>
          <w:color w:val="000000" w:themeColor="text1"/>
          <w:sz w:val="24"/>
          <w:szCs w:val="24"/>
        </w:rPr>
        <w:t xml:space="preserve">(including </w:t>
      </w:r>
      <w:r w:rsidR="00583C67">
        <w:rPr>
          <w:rFonts w:ascii="Times New Roman" w:hAnsi="Times New Roman" w:cs="Times New Roman"/>
          <w:color w:val="000000" w:themeColor="text1"/>
          <w:sz w:val="24"/>
          <w:szCs w:val="24"/>
        </w:rPr>
        <w:t>second attempts of</w:t>
      </w:r>
      <w:r w:rsidR="00B81A0C">
        <w:rPr>
          <w:rFonts w:ascii="Times New Roman" w:hAnsi="Times New Roman" w:cs="Times New Roman"/>
          <w:color w:val="000000" w:themeColor="text1"/>
          <w:sz w:val="24"/>
          <w:szCs w:val="24"/>
        </w:rPr>
        <w:t xml:space="preserve"> first courses) </w:t>
      </w:r>
      <w:r w:rsidRPr="00347697">
        <w:rPr>
          <w:rFonts w:ascii="Times New Roman" w:hAnsi="Times New Roman" w:cs="Times New Roman"/>
          <w:color w:val="000000" w:themeColor="text1"/>
          <w:sz w:val="24"/>
          <w:szCs w:val="24"/>
        </w:rPr>
        <w:t>contributes to the low likelihood of achieving transfer-level English competency observed among students who do not succeed in the first attempt of their first English course</w:t>
      </w:r>
      <w:r w:rsidR="00DF2E1B" w:rsidRPr="00347697">
        <w:rPr>
          <w:rFonts w:ascii="Times New Roman" w:hAnsi="Times New Roman" w:cs="Times New Roman"/>
          <w:color w:val="000000" w:themeColor="text1"/>
          <w:sz w:val="24"/>
          <w:szCs w:val="24"/>
        </w:rPr>
        <w:t>.  The highest rates (</w:t>
      </w:r>
      <w:r w:rsidR="00B81A0C">
        <w:rPr>
          <w:rFonts w:ascii="Times New Roman" w:hAnsi="Times New Roman" w:cs="Times New Roman"/>
          <w:color w:val="000000" w:themeColor="text1"/>
          <w:sz w:val="24"/>
          <w:szCs w:val="24"/>
        </w:rPr>
        <w:t>22</w:t>
      </w:r>
      <w:r w:rsidR="00DF2E1B" w:rsidRPr="00347697">
        <w:rPr>
          <w:rFonts w:ascii="Times New Roman" w:hAnsi="Times New Roman" w:cs="Times New Roman"/>
          <w:color w:val="000000" w:themeColor="text1"/>
          <w:sz w:val="24"/>
          <w:szCs w:val="24"/>
        </w:rPr>
        <w:t xml:space="preserve">%) are observed among students on </w:t>
      </w:r>
      <w:r w:rsidR="00B81A0C">
        <w:rPr>
          <w:rFonts w:ascii="Times New Roman" w:hAnsi="Times New Roman" w:cs="Times New Roman"/>
          <w:color w:val="000000" w:themeColor="text1"/>
          <w:sz w:val="24"/>
          <w:szCs w:val="24"/>
        </w:rPr>
        <w:t xml:space="preserve">the </w:t>
      </w:r>
      <w:r w:rsidR="00DF2E1B" w:rsidRPr="00347697">
        <w:rPr>
          <w:rFonts w:ascii="Times New Roman" w:hAnsi="Times New Roman" w:cs="Times New Roman"/>
          <w:color w:val="000000" w:themeColor="text1"/>
          <w:sz w:val="24"/>
          <w:szCs w:val="24"/>
        </w:rPr>
        <w:t>LRNC B510</w:t>
      </w:r>
      <w:r w:rsidR="00B81A0C" w:rsidRPr="0072729B">
        <w:rPr>
          <w:rFonts w:ascii="Times New Roman" w:hAnsi="Times New Roman" w:cs="Times New Roman"/>
          <w:i/>
          <w:color w:val="000000" w:themeColor="text1"/>
          <w:sz w:val="24"/>
          <w:szCs w:val="24"/>
        </w:rPr>
        <w:t>f</w:t>
      </w:r>
      <w:r w:rsidR="00DF2E1B" w:rsidRPr="00347697">
        <w:rPr>
          <w:rFonts w:ascii="Times New Roman" w:hAnsi="Times New Roman" w:cs="Times New Roman"/>
          <w:color w:val="000000" w:themeColor="text1"/>
          <w:sz w:val="24"/>
          <w:szCs w:val="24"/>
        </w:rPr>
        <w:t>-Engl B50</w:t>
      </w:r>
      <w:r w:rsidR="00B81A0C">
        <w:rPr>
          <w:rFonts w:ascii="Times New Roman" w:hAnsi="Times New Roman" w:cs="Times New Roman"/>
          <w:color w:val="000000" w:themeColor="text1"/>
          <w:sz w:val="24"/>
          <w:szCs w:val="24"/>
        </w:rPr>
        <w:t xml:space="preserve"> pathway and students </w:t>
      </w:r>
      <w:r w:rsidR="00DF2E1B" w:rsidRPr="00347697">
        <w:rPr>
          <w:rFonts w:ascii="Times New Roman" w:hAnsi="Times New Roman" w:cs="Times New Roman"/>
          <w:color w:val="000000" w:themeColor="text1"/>
          <w:sz w:val="24"/>
          <w:szCs w:val="24"/>
        </w:rPr>
        <w:t xml:space="preserve">repeating Engl B50. </w:t>
      </w:r>
    </w:p>
    <w:p w14:paraId="353D0363" w14:textId="07DFCDF5" w:rsidR="009C7829" w:rsidRPr="00347697" w:rsidRDefault="009C7829" w:rsidP="00B022B1">
      <w:pPr>
        <w:spacing w:after="0" w:line="240" w:lineRule="auto"/>
        <w:rPr>
          <w:rFonts w:ascii="Times New Roman" w:hAnsi="Times New Roman" w:cs="Times New Roman"/>
          <w:color w:val="000000" w:themeColor="text1"/>
          <w:sz w:val="24"/>
          <w:szCs w:val="24"/>
        </w:rPr>
      </w:pPr>
    </w:p>
    <w:p w14:paraId="0D60546A" w14:textId="1A9E8B85" w:rsidR="00A73C63" w:rsidRPr="00347697" w:rsidRDefault="00A73C63" w:rsidP="00A73C63">
      <w:pPr>
        <w:spacing w:after="0" w:line="240" w:lineRule="auto"/>
        <w:rPr>
          <w:rFonts w:ascii="Times New Roman" w:hAnsi="Times New Roman" w:cs="Times New Roman"/>
          <w:b/>
          <w:color w:val="000000" w:themeColor="text1"/>
          <w:sz w:val="24"/>
          <w:szCs w:val="24"/>
        </w:rPr>
      </w:pPr>
      <w:r w:rsidRPr="00C92B80">
        <w:rPr>
          <w:rFonts w:ascii="Times New Roman" w:hAnsi="Times New Roman" w:cs="Times New Roman"/>
          <w:b/>
          <w:color w:val="000000" w:themeColor="text1"/>
          <w:sz w:val="24"/>
          <w:szCs w:val="24"/>
        </w:rPr>
        <w:t xml:space="preserve">6.5 </w:t>
      </w:r>
      <w:r w:rsidR="00F13CBA" w:rsidRPr="0072729B">
        <w:rPr>
          <w:rFonts w:ascii="Times New Roman" w:hAnsi="Times New Roman" w:cs="Times New Roman"/>
          <w:b/>
          <w:color w:val="000000" w:themeColor="text1"/>
          <w:sz w:val="24"/>
          <w:szCs w:val="24"/>
        </w:rPr>
        <w:t>Structural Characteristics</w:t>
      </w:r>
      <w:r w:rsidRPr="00C92B80">
        <w:rPr>
          <w:rFonts w:ascii="Times New Roman" w:hAnsi="Times New Roman" w:cs="Times New Roman"/>
          <w:b/>
          <w:color w:val="000000" w:themeColor="text1"/>
          <w:sz w:val="24"/>
          <w:szCs w:val="24"/>
        </w:rPr>
        <w:t xml:space="preserve"> versus Student Characteristics</w:t>
      </w:r>
      <w:r w:rsidRPr="00347697">
        <w:rPr>
          <w:rFonts w:ascii="Times New Roman" w:hAnsi="Times New Roman" w:cs="Times New Roman"/>
          <w:b/>
          <w:color w:val="000000" w:themeColor="text1"/>
          <w:sz w:val="24"/>
          <w:szCs w:val="24"/>
        </w:rPr>
        <w:t xml:space="preserve"> </w:t>
      </w:r>
    </w:p>
    <w:p w14:paraId="43932EE3" w14:textId="77777777" w:rsidR="00A73C63" w:rsidRPr="00347697" w:rsidRDefault="00A73C63" w:rsidP="00A73C63">
      <w:pPr>
        <w:spacing w:after="0" w:line="240" w:lineRule="auto"/>
        <w:rPr>
          <w:rFonts w:ascii="Times New Roman" w:hAnsi="Times New Roman" w:cs="Times New Roman"/>
          <w:i/>
          <w:color w:val="000000" w:themeColor="text1"/>
          <w:sz w:val="24"/>
          <w:szCs w:val="24"/>
        </w:rPr>
      </w:pPr>
    </w:p>
    <w:p w14:paraId="007AA624" w14:textId="77777777" w:rsidR="00A73C63" w:rsidRPr="00347697" w:rsidRDefault="00A73C63" w:rsidP="00A73C63">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u w:val="single"/>
        </w:rPr>
        <w:t>Question</w:t>
      </w:r>
    </w:p>
    <w:p w14:paraId="7C44673A" w14:textId="77777777" w:rsidR="00A73C63" w:rsidRPr="00347697" w:rsidRDefault="00A73C63" w:rsidP="00A73C63">
      <w:pPr>
        <w:spacing w:after="0" w:line="240" w:lineRule="auto"/>
        <w:ind w:left="1080"/>
        <w:rPr>
          <w:rFonts w:ascii="Times New Roman" w:hAnsi="Times New Roman" w:cs="Times New Roman"/>
          <w:color w:val="000000" w:themeColor="text1"/>
          <w:sz w:val="24"/>
          <w:szCs w:val="24"/>
        </w:rPr>
      </w:pPr>
    </w:p>
    <w:p w14:paraId="67390618" w14:textId="54DE3F20" w:rsidR="00A73C63" w:rsidRPr="00347697" w:rsidRDefault="005B2164" w:rsidP="00A73C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Just as with math, </w:t>
      </w:r>
      <w:r>
        <w:rPr>
          <w:rFonts w:ascii="Times New Roman" w:hAnsi="Times New Roman" w:cs="Times New Roman"/>
          <w:sz w:val="24"/>
          <w:szCs w:val="24"/>
        </w:rPr>
        <w:t>it</w:t>
      </w:r>
      <w:r w:rsidRPr="00347697">
        <w:rPr>
          <w:rFonts w:ascii="Times New Roman" w:hAnsi="Times New Roman" w:cs="Times New Roman"/>
          <w:sz w:val="24"/>
          <w:szCs w:val="24"/>
        </w:rPr>
        <w:t xml:space="preserve"> is clear that there are </w:t>
      </w:r>
      <w:r>
        <w:rPr>
          <w:rFonts w:ascii="Times New Roman" w:hAnsi="Times New Roman" w:cs="Times New Roman"/>
          <w:sz w:val="24"/>
          <w:szCs w:val="24"/>
        </w:rPr>
        <w:t xml:space="preserve">some </w:t>
      </w:r>
      <w:r w:rsidRPr="00347697">
        <w:rPr>
          <w:rFonts w:ascii="Times New Roman" w:hAnsi="Times New Roman" w:cs="Times New Roman"/>
          <w:sz w:val="24"/>
          <w:szCs w:val="24"/>
        </w:rPr>
        <w:t xml:space="preserve">marked differences </w:t>
      </w:r>
      <w:r>
        <w:rPr>
          <w:rFonts w:ascii="Times New Roman" w:hAnsi="Times New Roman" w:cs="Times New Roman"/>
          <w:sz w:val="24"/>
          <w:szCs w:val="24"/>
        </w:rPr>
        <w:t xml:space="preserve">in outcomes </w:t>
      </w:r>
      <w:r w:rsidRPr="00347697">
        <w:rPr>
          <w:rFonts w:ascii="Times New Roman" w:hAnsi="Times New Roman" w:cs="Times New Roman"/>
          <w:sz w:val="24"/>
          <w:szCs w:val="24"/>
        </w:rPr>
        <w:t xml:space="preserve">between students </w:t>
      </w:r>
      <w:r>
        <w:rPr>
          <w:rFonts w:ascii="Times New Roman" w:hAnsi="Times New Roman" w:cs="Times New Roman"/>
          <w:sz w:val="24"/>
          <w:szCs w:val="24"/>
        </w:rPr>
        <w:t>who enter the developmental English curriculum through one course versus another</w:t>
      </w:r>
      <w:r w:rsidRPr="00347697">
        <w:rPr>
          <w:rFonts w:ascii="Times New Roman" w:hAnsi="Times New Roman" w:cs="Times New Roman"/>
          <w:sz w:val="24"/>
          <w:szCs w:val="24"/>
        </w:rPr>
        <w:t xml:space="preserve">.  </w:t>
      </w:r>
      <w:r w:rsidR="00C21435">
        <w:rPr>
          <w:rFonts w:ascii="Times New Roman" w:hAnsi="Times New Roman" w:cs="Times New Roman"/>
          <w:color w:val="000000" w:themeColor="text1"/>
          <w:sz w:val="24"/>
          <w:szCs w:val="24"/>
        </w:rPr>
        <w:t>Yet</w:t>
      </w:r>
      <w:r w:rsidR="00A73C63" w:rsidRPr="00347697">
        <w:rPr>
          <w:rFonts w:ascii="Times New Roman" w:hAnsi="Times New Roman" w:cs="Times New Roman"/>
          <w:color w:val="000000" w:themeColor="text1"/>
          <w:sz w:val="24"/>
          <w:szCs w:val="24"/>
        </w:rPr>
        <w:t xml:space="preserve">, </w:t>
      </w:r>
      <w:r w:rsidR="00C21435">
        <w:rPr>
          <w:rFonts w:ascii="Times New Roman" w:hAnsi="Times New Roman" w:cs="Times New Roman"/>
          <w:color w:val="000000" w:themeColor="text1"/>
          <w:sz w:val="24"/>
          <w:szCs w:val="24"/>
        </w:rPr>
        <w:t xml:space="preserve">the analyses up to this point </w:t>
      </w:r>
      <w:r w:rsidR="002B3E54">
        <w:rPr>
          <w:rFonts w:ascii="Times New Roman" w:hAnsi="Times New Roman" w:cs="Times New Roman"/>
          <w:color w:val="000000" w:themeColor="text1"/>
          <w:sz w:val="24"/>
          <w:szCs w:val="24"/>
        </w:rPr>
        <w:t>have not distinguished the influence that student characteristics have on the</w:t>
      </w:r>
      <w:r w:rsidR="00583C67">
        <w:rPr>
          <w:rFonts w:ascii="Times New Roman" w:hAnsi="Times New Roman" w:cs="Times New Roman"/>
          <w:color w:val="000000" w:themeColor="text1"/>
          <w:sz w:val="24"/>
          <w:szCs w:val="24"/>
        </w:rPr>
        <w:t>se</w:t>
      </w:r>
      <w:r w:rsidR="002B3E54">
        <w:rPr>
          <w:rFonts w:ascii="Times New Roman" w:hAnsi="Times New Roman" w:cs="Times New Roman"/>
          <w:color w:val="000000" w:themeColor="text1"/>
          <w:sz w:val="24"/>
          <w:szCs w:val="24"/>
        </w:rPr>
        <w:t xml:space="preserve"> observed </w:t>
      </w:r>
      <w:r w:rsidR="00583C67">
        <w:rPr>
          <w:rFonts w:ascii="Times New Roman" w:hAnsi="Times New Roman" w:cs="Times New Roman"/>
          <w:color w:val="000000" w:themeColor="text1"/>
          <w:sz w:val="24"/>
          <w:szCs w:val="24"/>
        </w:rPr>
        <w:t>differences</w:t>
      </w:r>
      <w:r w:rsidR="00A73C63" w:rsidRPr="00347697">
        <w:rPr>
          <w:rFonts w:ascii="Times New Roman" w:hAnsi="Times New Roman" w:cs="Times New Roman"/>
          <w:color w:val="000000" w:themeColor="text1"/>
          <w:sz w:val="24"/>
          <w:szCs w:val="24"/>
        </w:rPr>
        <w:t xml:space="preserve">.  This section addresses the question of whether students </w:t>
      </w:r>
      <w:r w:rsidR="00F23CA4">
        <w:rPr>
          <w:rFonts w:ascii="Times New Roman" w:hAnsi="Times New Roman" w:cs="Times New Roman"/>
          <w:color w:val="000000" w:themeColor="text1"/>
          <w:sz w:val="24"/>
          <w:szCs w:val="24"/>
        </w:rPr>
        <w:t xml:space="preserve">who </w:t>
      </w:r>
      <w:r w:rsidR="00F23CA4">
        <w:rPr>
          <w:rFonts w:ascii="Times New Roman" w:hAnsi="Times New Roman" w:cs="Times New Roman"/>
          <w:color w:val="000000" w:themeColor="text1"/>
          <w:sz w:val="24"/>
          <w:szCs w:val="24"/>
        </w:rPr>
        <w:lastRenderedPageBreak/>
        <w:t xml:space="preserve">enter the curriculum through a given course </w:t>
      </w:r>
      <w:r w:rsidR="00F23CA4" w:rsidRPr="0072729B">
        <w:rPr>
          <w:rFonts w:ascii="Times New Roman" w:hAnsi="Times New Roman" w:cs="Times New Roman"/>
          <w:i/>
          <w:color w:val="000000" w:themeColor="text1"/>
          <w:sz w:val="24"/>
          <w:szCs w:val="24"/>
        </w:rPr>
        <w:t>A</w:t>
      </w:r>
      <w:r w:rsidR="00F23CA4">
        <w:rPr>
          <w:rFonts w:ascii="Times New Roman" w:hAnsi="Times New Roman" w:cs="Times New Roman"/>
          <w:color w:val="000000" w:themeColor="text1"/>
          <w:sz w:val="24"/>
          <w:szCs w:val="24"/>
        </w:rPr>
        <w:t xml:space="preserve"> </w:t>
      </w:r>
      <w:r w:rsidR="00A73C63" w:rsidRPr="00347697">
        <w:rPr>
          <w:rFonts w:ascii="Times New Roman" w:hAnsi="Times New Roman" w:cs="Times New Roman"/>
          <w:color w:val="000000" w:themeColor="text1"/>
          <w:sz w:val="24"/>
          <w:szCs w:val="24"/>
        </w:rPr>
        <w:t xml:space="preserve">achieve transfer-level competency at a higher rate than do students </w:t>
      </w:r>
      <w:r w:rsidR="00F23CA4">
        <w:rPr>
          <w:rFonts w:ascii="Times New Roman" w:hAnsi="Times New Roman" w:cs="Times New Roman"/>
          <w:color w:val="000000" w:themeColor="text1"/>
          <w:sz w:val="24"/>
          <w:szCs w:val="24"/>
        </w:rPr>
        <w:t xml:space="preserve">who enter through a given course </w:t>
      </w:r>
      <w:r w:rsidR="00F23CA4" w:rsidRPr="0072729B">
        <w:rPr>
          <w:rFonts w:ascii="Times New Roman" w:hAnsi="Times New Roman" w:cs="Times New Roman"/>
          <w:i/>
          <w:color w:val="000000" w:themeColor="text1"/>
          <w:sz w:val="24"/>
          <w:szCs w:val="24"/>
        </w:rPr>
        <w:t>B</w:t>
      </w:r>
      <w:r w:rsidR="00F23CA4">
        <w:rPr>
          <w:rFonts w:ascii="Times New Roman" w:hAnsi="Times New Roman" w:cs="Times New Roman"/>
          <w:color w:val="000000" w:themeColor="text1"/>
          <w:sz w:val="24"/>
          <w:szCs w:val="24"/>
        </w:rPr>
        <w:t xml:space="preserve"> </w:t>
      </w:r>
      <w:r w:rsidR="00A73C63" w:rsidRPr="00347697">
        <w:rPr>
          <w:rFonts w:ascii="Times New Roman" w:hAnsi="Times New Roman" w:cs="Times New Roman"/>
          <w:color w:val="000000" w:themeColor="text1"/>
          <w:sz w:val="24"/>
          <w:szCs w:val="24"/>
        </w:rPr>
        <w:t xml:space="preserve">because </w:t>
      </w:r>
      <w:r w:rsidR="00F23CA4" w:rsidRPr="00347697">
        <w:rPr>
          <w:rFonts w:ascii="Times New Roman" w:hAnsi="Times New Roman" w:cs="Times New Roman"/>
          <w:color w:val="000000" w:themeColor="text1"/>
          <w:sz w:val="24"/>
          <w:szCs w:val="24"/>
        </w:rPr>
        <w:t>students with characteristics that predispose them to achieve transfer-level competency tend</w:t>
      </w:r>
      <w:r w:rsidR="00F23CA4">
        <w:rPr>
          <w:rFonts w:ascii="Times New Roman" w:hAnsi="Times New Roman" w:cs="Times New Roman"/>
          <w:color w:val="000000" w:themeColor="text1"/>
          <w:sz w:val="24"/>
          <w:szCs w:val="24"/>
        </w:rPr>
        <w:t xml:space="preserve"> more often</w:t>
      </w:r>
      <w:r w:rsidR="00F23CA4" w:rsidRPr="00347697">
        <w:rPr>
          <w:rFonts w:ascii="Times New Roman" w:hAnsi="Times New Roman" w:cs="Times New Roman"/>
          <w:color w:val="000000" w:themeColor="text1"/>
          <w:sz w:val="24"/>
          <w:szCs w:val="24"/>
        </w:rPr>
        <w:t xml:space="preserve"> to choose </w:t>
      </w:r>
      <w:r w:rsidR="00F23CA4" w:rsidRPr="0072729B">
        <w:rPr>
          <w:rFonts w:ascii="Times New Roman" w:hAnsi="Times New Roman" w:cs="Times New Roman"/>
          <w:i/>
          <w:color w:val="000000" w:themeColor="text1"/>
          <w:sz w:val="24"/>
          <w:szCs w:val="24"/>
        </w:rPr>
        <w:t>A</w:t>
      </w:r>
      <w:r w:rsidR="00F23CA4">
        <w:rPr>
          <w:rFonts w:ascii="Times New Roman" w:hAnsi="Times New Roman" w:cs="Times New Roman"/>
          <w:color w:val="000000" w:themeColor="text1"/>
          <w:sz w:val="24"/>
          <w:szCs w:val="24"/>
        </w:rPr>
        <w:t xml:space="preserve"> over </w:t>
      </w:r>
      <w:r w:rsidR="00F23CA4" w:rsidRPr="0072729B">
        <w:rPr>
          <w:rFonts w:ascii="Times New Roman" w:hAnsi="Times New Roman" w:cs="Times New Roman"/>
          <w:i/>
          <w:color w:val="000000" w:themeColor="text1"/>
          <w:sz w:val="24"/>
          <w:szCs w:val="24"/>
        </w:rPr>
        <w:t>B</w:t>
      </w:r>
      <w:r w:rsidR="00583C67">
        <w:rPr>
          <w:rFonts w:ascii="Times New Roman" w:hAnsi="Times New Roman" w:cs="Times New Roman"/>
          <w:color w:val="000000" w:themeColor="text1"/>
          <w:sz w:val="24"/>
          <w:szCs w:val="24"/>
        </w:rPr>
        <w:t xml:space="preserve">.  The counter-explanation is that </w:t>
      </w:r>
      <w:r w:rsidR="00F23CA4">
        <w:rPr>
          <w:rFonts w:ascii="Times New Roman" w:hAnsi="Times New Roman" w:cs="Times New Roman"/>
          <w:color w:val="000000" w:themeColor="text1"/>
          <w:sz w:val="24"/>
          <w:szCs w:val="24"/>
        </w:rPr>
        <w:t>instructional or structural differences between</w:t>
      </w:r>
      <w:r w:rsidR="00F23CA4" w:rsidRPr="00347697">
        <w:rPr>
          <w:rFonts w:ascii="Times New Roman" w:hAnsi="Times New Roman" w:cs="Times New Roman"/>
          <w:color w:val="000000" w:themeColor="text1"/>
          <w:sz w:val="24"/>
          <w:szCs w:val="24"/>
        </w:rPr>
        <w:t xml:space="preserve"> </w:t>
      </w:r>
      <w:r w:rsidR="00F23CA4" w:rsidRPr="00EF4FE2">
        <w:rPr>
          <w:rFonts w:ascii="Times New Roman" w:hAnsi="Times New Roman" w:cs="Times New Roman"/>
          <w:i/>
          <w:color w:val="000000" w:themeColor="text1"/>
          <w:sz w:val="24"/>
          <w:szCs w:val="24"/>
        </w:rPr>
        <w:t>A</w:t>
      </w:r>
      <w:r w:rsidR="00F23CA4">
        <w:rPr>
          <w:rFonts w:ascii="Times New Roman" w:hAnsi="Times New Roman" w:cs="Times New Roman"/>
          <w:color w:val="000000" w:themeColor="text1"/>
          <w:sz w:val="24"/>
          <w:szCs w:val="24"/>
        </w:rPr>
        <w:t xml:space="preserve"> and </w:t>
      </w:r>
      <w:r w:rsidR="00F23CA4" w:rsidRPr="00EF4FE2">
        <w:rPr>
          <w:rFonts w:ascii="Times New Roman" w:hAnsi="Times New Roman" w:cs="Times New Roman"/>
          <w:i/>
          <w:color w:val="000000" w:themeColor="text1"/>
          <w:sz w:val="24"/>
          <w:szCs w:val="24"/>
        </w:rPr>
        <w:t>B</w:t>
      </w:r>
      <w:r w:rsidR="00583C67">
        <w:rPr>
          <w:rFonts w:ascii="Times New Roman" w:hAnsi="Times New Roman" w:cs="Times New Roman"/>
          <w:color w:val="000000" w:themeColor="text1"/>
          <w:sz w:val="24"/>
          <w:szCs w:val="24"/>
        </w:rPr>
        <w:t xml:space="preserve"> are the main reason for differences in outcomes</w:t>
      </w:r>
      <w:r w:rsidR="00A73C63" w:rsidRPr="00347697">
        <w:rPr>
          <w:rFonts w:ascii="Times New Roman" w:hAnsi="Times New Roman" w:cs="Times New Roman"/>
          <w:color w:val="000000" w:themeColor="text1"/>
          <w:sz w:val="24"/>
          <w:szCs w:val="24"/>
        </w:rPr>
        <w:t xml:space="preserve">.  </w:t>
      </w:r>
    </w:p>
    <w:p w14:paraId="11ABAD00" w14:textId="77777777" w:rsidR="00A73C63" w:rsidRPr="00347697" w:rsidRDefault="00A73C63" w:rsidP="00A73C63">
      <w:pPr>
        <w:spacing w:after="0" w:line="240" w:lineRule="auto"/>
        <w:rPr>
          <w:rFonts w:ascii="Times New Roman" w:hAnsi="Times New Roman" w:cs="Times New Roman"/>
          <w:color w:val="000000" w:themeColor="text1"/>
          <w:sz w:val="24"/>
          <w:szCs w:val="24"/>
        </w:rPr>
      </w:pPr>
    </w:p>
    <w:p w14:paraId="02188A28" w14:textId="77777777" w:rsidR="00A73C63" w:rsidRPr="00347697" w:rsidRDefault="00A73C63" w:rsidP="00A73C63">
      <w:pPr>
        <w:spacing w:after="0" w:line="240" w:lineRule="auto"/>
        <w:rPr>
          <w:rFonts w:ascii="Times New Roman" w:hAnsi="Times New Roman" w:cs="Times New Roman"/>
          <w:color w:val="000000" w:themeColor="text1"/>
          <w:sz w:val="24"/>
          <w:szCs w:val="24"/>
          <w:u w:val="single"/>
        </w:rPr>
      </w:pPr>
      <w:r w:rsidRPr="00347697">
        <w:rPr>
          <w:rFonts w:ascii="Times New Roman" w:hAnsi="Times New Roman" w:cs="Times New Roman"/>
          <w:color w:val="000000" w:themeColor="text1"/>
          <w:sz w:val="24"/>
          <w:szCs w:val="24"/>
          <w:u w:val="single"/>
        </w:rPr>
        <w:t>Analytic Strategy</w:t>
      </w:r>
    </w:p>
    <w:p w14:paraId="0278DA01" w14:textId="77777777" w:rsidR="00A73C63" w:rsidRPr="00347697" w:rsidRDefault="00A73C63" w:rsidP="00A73C63">
      <w:pPr>
        <w:spacing w:after="0" w:line="240" w:lineRule="auto"/>
        <w:rPr>
          <w:rFonts w:ascii="Times New Roman" w:hAnsi="Times New Roman" w:cs="Times New Roman"/>
          <w:color w:val="000000" w:themeColor="text1"/>
          <w:sz w:val="24"/>
          <w:szCs w:val="24"/>
        </w:rPr>
      </w:pPr>
    </w:p>
    <w:p w14:paraId="22735247" w14:textId="6D2894AD" w:rsidR="00AF2C60" w:rsidRDefault="00A73C63" w:rsidP="00AF2C60">
      <w:pPr>
        <w:spacing w:after="0" w:line="240" w:lineRule="auto"/>
        <w:rPr>
          <w:rFonts w:ascii="Times New Roman" w:hAnsi="Times New Roman" w:cs="Times New Roman"/>
          <w:sz w:val="24"/>
          <w:szCs w:val="24"/>
        </w:rPr>
      </w:pPr>
      <w:r w:rsidRPr="00347697">
        <w:rPr>
          <w:rFonts w:ascii="Times New Roman" w:hAnsi="Times New Roman" w:cs="Times New Roman"/>
          <w:color w:val="000000" w:themeColor="text1"/>
          <w:sz w:val="24"/>
          <w:szCs w:val="24"/>
        </w:rPr>
        <w:t>To address this question, I used logistic regression to analyze natural variation in the likelihood of completing a transfer-level English course</w:t>
      </w:r>
      <w:r w:rsidR="001320DA">
        <w:rPr>
          <w:rFonts w:ascii="Times New Roman" w:hAnsi="Times New Roman" w:cs="Times New Roman"/>
          <w:color w:val="000000" w:themeColor="text1"/>
          <w:sz w:val="24"/>
          <w:szCs w:val="24"/>
        </w:rPr>
        <w:t xml:space="preserve">.  </w:t>
      </w:r>
      <w:r w:rsidR="00AF2C60">
        <w:rPr>
          <w:rFonts w:ascii="Times New Roman" w:hAnsi="Times New Roman" w:cs="Times New Roman"/>
          <w:sz w:val="24"/>
          <w:szCs w:val="24"/>
        </w:rPr>
        <w:t xml:space="preserve">Data for three subsamples were used to regress </w:t>
      </w:r>
      <w:r w:rsidR="00583C67">
        <w:rPr>
          <w:rFonts w:ascii="Times New Roman" w:hAnsi="Times New Roman" w:cs="Times New Roman"/>
          <w:sz w:val="24"/>
          <w:szCs w:val="24"/>
        </w:rPr>
        <w:t>this</w:t>
      </w:r>
      <w:r w:rsidR="00AF2C60">
        <w:rPr>
          <w:rFonts w:ascii="Times New Roman" w:hAnsi="Times New Roman" w:cs="Times New Roman"/>
          <w:sz w:val="24"/>
          <w:szCs w:val="24"/>
        </w:rPr>
        <w:t xml:space="preserve"> outcome on point of entry to the developmental English curriculum or, in the case of subsample #3, </w:t>
      </w:r>
      <w:r w:rsidR="000D799A">
        <w:rPr>
          <w:rFonts w:ascii="Times New Roman" w:hAnsi="Times New Roman" w:cs="Times New Roman"/>
          <w:sz w:val="24"/>
          <w:szCs w:val="24"/>
        </w:rPr>
        <w:t xml:space="preserve">on </w:t>
      </w:r>
      <w:r w:rsidR="00AF2C60">
        <w:rPr>
          <w:rFonts w:ascii="Times New Roman" w:hAnsi="Times New Roman" w:cs="Times New Roman"/>
          <w:sz w:val="24"/>
          <w:szCs w:val="24"/>
        </w:rPr>
        <w:t xml:space="preserve">English pathway (which incorporates point of entry), resulting in three separate regression models.  The three subsamples were defined by combinations of outcome in first English course and second English course, as follows:  </w:t>
      </w:r>
    </w:p>
    <w:p w14:paraId="3D2820E5" w14:textId="7FDDCA49" w:rsidR="00AF2C60" w:rsidRDefault="00AF2C60" w:rsidP="00EF6CD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All students who entered the curriculum through one of the focal English courses, regardless of whether they passed this course on the first attempt or not, and regardless of whether they attempted a second course or not</w:t>
      </w:r>
      <w:r w:rsidRPr="0042686C">
        <w:rPr>
          <w:rFonts w:ascii="Times New Roman" w:hAnsi="Times New Roman" w:cs="Times New Roman"/>
          <w:sz w:val="24"/>
          <w:szCs w:val="24"/>
        </w:rPr>
        <w:t xml:space="preserve">.  </w:t>
      </w:r>
    </w:p>
    <w:p w14:paraId="4782C662" w14:textId="585EC4C9" w:rsidR="00AF2C60" w:rsidRDefault="00AF2C60" w:rsidP="00EF6CD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students who entered the curriculum through one of the focal English courses </w:t>
      </w:r>
      <w:r w:rsidRPr="000205A6">
        <w:rPr>
          <w:rFonts w:ascii="Times New Roman" w:hAnsi="Times New Roman" w:cs="Times New Roman"/>
          <w:i/>
          <w:sz w:val="24"/>
          <w:szCs w:val="24"/>
        </w:rPr>
        <w:t>and passed it on the first attempt</w:t>
      </w:r>
      <w:r>
        <w:rPr>
          <w:rFonts w:ascii="Times New Roman" w:hAnsi="Times New Roman" w:cs="Times New Roman"/>
          <w:sz w:val="24"/>
          <w:szCs w:val="24"/>
        </w:rPr>
        <w:t>, but may or may not have attempted a second course</w:t>
      </w:r>
      <w:r w:rsidRPr="00A5489B">
        <w:rPr>
          <w:rFonts w:ascii="Times New Roman" w:hAnsi="Times New Roman" w:cs="Times New Roman"/>
          <w:sz w:val="24"/>
          <w:szCs w:val="24"/>
        </w:rPr>
        <w:t>.</w:t>
      </w:r>
    </w:p>
    <w:p w14:paraId="7F018B98" w14:textId="5205F98F" w:rsidR="00AF2C60" w:rsidRPr="00523FED" w:rsidRDefault="00AF2C60" w:rsidP="00EF6CD7">
      <w:pPr>
        <w:pStyle w:val="ListParagraph"/>
        <w:numPr>
          <w:ilvl w:val="0"/>
          <w:numId w:val="13"/>
        </w:numPr>
        <w:spacing w:after="0" w:line="240" w:lineRule="auto"/>
        <w:rPr>
          <w:rFonts w:ascii="Times New Roman" w:hAnsi="Times New Roman" w:cs="Times New Roman"/>
          <w:sz w:val="24"/>
          <w:szCs w:val="24"/>
        </w:rPr>
      </w:pPr>
      <w:r w:rsidRPr="00523FED">
        <w:rPr>
          <w:rFonts w:ascii="Times New Roman" w:hAnsi="Times New Roman" w:cs="Times New Roman"/>
          <w:sz w:val="24"/>
          <w:szCs w:val="24"/>
        </w:rPr>
        <w:t xml:space="preserve">All </w:t>
      </w:r>
      <w:r w:rsidR="00633968">
        <w:rPr>
          <w:rFonts w:ascii="Times New Roman" w:hAnsi="Times New Roman" w:cs="Times New Roman"/>
          <w:sz w:val="24"/>
          <w:szCs w:val="24"/>
        </w:rPr>
        <w:t xml:space="preserve">students </w:t>
      </w:r>
      <w:r w:rsidRPr="00523FED">
        <w:rPr>
          <w:rFonts w:ascii="Times New Roman" w:hAnsi="Times New Roman" w:cs="Times New Roman"/>
          <w:sz w:val="24"/>
          <w:szCs w:val="24"/>
        </w:rPr>
        <w:t xml:space="preserve">who entered the curriculum through one of the focal </w:t>
      </w:r>
      <w:r>
        <w:rPr>
          <w:rFonts w:ascii="Times New Roman" w:hAnsi="Times New Roman" w:cs="Times New Roman"/>
          <w:sz w:val="24"/>
          <w:szCs w:val="24"/>
        </w:rPr>
        <w:t xml:space="preserve">English </w:t>
      </w:r>
      <w:r w:rsidRPr="00523FED">
        <w:rPr>
          <w:rFonts w:ascii="Times New Roman" w:hAnsi="Times New Roman" w:cs="Times New Roman"/>
          <w:sz w:val="24"/>
          <w:szCs w:val="24"/>
        </w:rPr>
        <w:t xml:space="preserve">courses, </w:t>
      </w:r>
      <w:r w:rsidRPr="000205A6">
        <w:rPr>
          <w:rFonts w:ascii="Times New Roman" w:hAnsi="Times New Roman" w:cs="Times New Roman"/>
          <w:sz w:val="24"/>
          <w:szCs w:val="24"/>
        </w:rPr>
        <w:t>passed it on the first attempt</w:t>
      </w:r>
      <w:r w:rsidRPr="00523FED">
        <w:rPr>
          <w:rFonts w:ascii="Times New Roman" w:hAnsi="Times New Roman" w:cs="Times New Roman"/>
          <w:sz w:val="24"/>
          <w:szCs w:val="24"/>
        </w:rPr>
        <w:t xml:space="preserve">, and then attempted a second </w:t>
      </w:r>
      <w:r>
        <w:rPr>
          <w:rFonts w:ascii="Times New Roman" w:hAnsi="Times New Roman" w:cs="Times New Roman"/>
          <w:sz w:val="24"/>
          <w:szCs w:val="24"/>
        </w:rPr>
        <w:t xml:space="preserve">English </w:t>
      </w:r>
      <w:r w:rsidRPr="00523FED">
        <w:rPr>
          <w:rFonts w:ascii="Times New Roman" w:hAnsi="Times New Roman" w:cs="Times New Roman"/>
          <w:sz w:val="24"/>
          <w:szCs w:val="24"/>
        </w:rPr>
        <w:t xml:space="preserve">course that, in combination with the first course and the outcome </w:t>
      </w:r>
      <w:r w:rsidR="00583C67">
        <w:rPr>
          <w:rFonts w:ascii="Times New Roman" w:hAnsi="Times New Roman" w:cs="Times New Roman"/>
          <w:sz w:val="24"/>
          <w:szCs w:val="24"/>
        </w:rPr>
        <w:t>in</w:t>
      </w:r>
      <w:r w:rsidRPr="00523FED">
        <w:rPr>
          <w:rFonts w:ascii="Times New Roman" w:hAnsi="Times New Roman" w:cs="Times New Roman"/>
          <w:sz w:val="24"/>
          <w:szCs w:val="24"/>
        </w:rPr>
        <w:t xml:space="preserve"> the first course, place</w:t>
      </w:r>
      <w:r w:rsidR="0044200A">
        <w:rPr>
          <w:rFonts w:ascii="Times New Roman" w:hAnsi="Times New Roman" w:cs="Times New Roman"/>
          <w:sz w:val="24"/>
          <w:szCs w:val="24"/>
        </w:rPr>
        <w:t>d</w:t>
      </w:r>
      <w:r w:rsidRPr="00523FED">
        <w:rPr>
          <w:rFonts w:ascii="Times New Roman" w:hAnsi="Times New Roman" w:cs="Times New Roman"/>
          <w:sz w:val="24"/>
          <w:szCs w:val="24"/>
        </w:rPr>
        <w:t xml:space="preserve"> them in </w:t>
      </w:r>
      <w:r>
        <w:rPr>
          <w:rFonts w:ascii="Times New Roman" w:hAnsi="Times New Roman" w:cs="Times New Roman"/>
          <w:sz w:val="24"/>
          <w:szCs w:val="24"/>
        </w:rPr>
        <w:t>one of the</w:t>
      </w:r>
      <w:r w:rsidRPr="00523FED">
        <w:rPr>
          <w:rFonts w:ascii="Times New Roman" w:hAnsi="Times New Roman" w:cs="Times New Roman"/>
          <w:sz w:val="24"/>
          <w:szCs w:val="24"/>
        </w:rPr>
        <w:t xml:space="preserve"> common </w:t>
      </w:r>
      <w:r>
        <w:rPr>
          <w:rFonts w:ascii="Times New Roman" w:hAnsi="Times New Roman" w:cs="Times New Roman"/>
          <w:sz w:val="24"/>
          <w:szCs w:val="24"/>
        </w:rPr>
        <w:t xml:space="preserve">English </w:t>
      </w:r>
      <w:r w:rsidRPr="00523FED">
        <w:rPr>
          <w:rFonts w:ascii="Times New Roman" w:hAnsi="Times New Roman" w:cs="Times New Roman"/>
          <w:sz w:val="24"/>
          <w:szCs w:val="24"/>
        </w:rPr>
        <w:t>pathway</w:t>
      </w:r>
      <w:r>
        <w:rPr>
          <w:rFonts w:ascii="Times New Roman" w:hAnsi="Times New Roman" w:cs="Times New Roman"/>
          <w:sz w:val="24"/>
          <w:szCs w:val="24"/>
        </w:rPr>
        <w:t>s</w:t>
      </w:r>
      <w:r w:rsidRPr="00523FED">
        <w:rPr>
          <w:rFonts w:ascii="Times New Roman" w:hAnsi="Times New Roman" w:cs="Times New Roman"/>
          <w:sz w:val="24"/>
          <w:szCs w:val="24"/>
        </w:rPr>
        <w:t xml:space="preserve"> </w:t>
      </w:r>
      <w:r>
        <w:rPr>
          <w:rFonts w:ascii="Times New Roman" w:hAnsi="Times New Roman" w:cs="Times New Roman"/>
          <w:sz w:val="24"/>
          <w:szCs w:val="24"/>
        </w:rPr>
        <w:t xml:space="preserve">identified </w:t>
      </w:r>
      <w:r w:rsidRPr="00523FED">
        <w:rPr>
          <w:rFonts w:ascii="Times New Roman" w:hAnsi="Times New Roman" w:cs="Times New Roman"/>
          <w:sz w:val="24"/>
          <w:szCs w:val="24"/>
        </w:rPr>
        <w:t xml:space="preserve">in this study.  </w:t>
      </w:r>
    </w:p>
    <w:p w14:paraId="35B6387D" w14:textId="77777777" w:rsidR="00AF2C60" w:rsidRDefault="00AF2C60" w:rsidP="00A73C63">
      <w:pPr>
        <w:spacing w:after="0" w:line="240" w:lineRule="auto"/>
        <w:rPr>
          <w:rFonts w:ascii="Times New Roman" w:hAnsi="Times New Roman" w:cs="Times New Roman"/>
          <w:color w:val="000000" w:themeColor="text1"/>
          <w:sz w:val="24"/>
          <w:szCs w:val="24"/>
        </w:rPr>
      </w:pPr>
    </w:p>
    <w:p w14:paraId="31F691D2" w14:textId="4A43CED8" w:rsidR="00212BB4" w:rsidRPr="0042686C" w:rsidRDefault="00212BB4" w:rsidP="00212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Selected covariates were included in each of the regression models as statistical controls, </w:t>
      </w:r>
      <w:r w:rsidR="00583C67">
        <w:rPr>
          <w:rFonts w:ascii="Times New Roman" w:hAnsi="Times New Roman" w:cs="Times New Roman"/>
          <w:sz w:val="24"/>
          <w:szCs w:val="24"/>
        </w:rPr>
        <w:t>as follows</w:t>
      </w:r>
      <w:r>
        <w:rPr>
          <w:rFonts w:ascii="Times New Roman" w:hAnsi="Times New Roman" w:cs="Times New Roman"/>
          <w:sz w:val="24"/>
          <w:szCs w:val="24"/>
        </w:rPr>
        <w:t>:</w:t>
      </w:r>
    </w:p>
    <w:p w14:paraId="65BF26B4" w14:textId="266323E4" w:rsidR="00C173F2" w:rsidRDefault="00C173F2"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Self-reported goal of transfer to a four-year institution (</w:t>
      </w:r>
      <w:r w:rsidRPr="00347697">
        <w:rPr>
          <w:rFonts w:ascii="Times New Roman" w:hAnsi="Times New Roman" w:cs="Times New Roman"/>
          <w:sz w:val="24"/>
          <w:szCs w:val="24"/>
        </w:rPr>
        <w:t>treated as dichotomous</w:t>
      </w:r>
      <w:r>
        <w:rPr>
          <w:rFonts w:ascii="Times New Roman" w:hAnsi="Times New Roman" w:cs="Times New Roman"/>
          <w:sz w:val="24"/>
          <w:szCs w:val="24"/>
        </w:rPr>
        <w:t xml:space="preserve"> and coded to distinguish between students who reported transfer either alone or in combination with an intermediate postsecondary credential versus all </w:t>
      </w:r>
      <w:r w:rsidR="0044200A">
        <w:rPr>
          <w:rFonts w:ascii="Times New Roman" w:hAnsi="Times New Roman" w:cs="Times New Roman"/>
          <w:sz w:val="24"/>
          <w:szCs w:val="24"/>
        </w:rPr>
        <w:t xml:space="preserve">other </w:t>
      </w:r>
      <w:r>
        <w:rPr>
          <w:rFonts w:ascii="Times New Roman" w:hAnsi="Times New Roman" w:cs="Times New Roman"/>
          <w:sz w:val="24"/>
          <w:szCs w:val="24"/>
        </w:rPr>
        <w:t>goals)</w:t>
      </w:r>
    </w:p>
    <w:p w14:paraId="48010127" w14:textId="77777777" w:rsidR="0044200A" w:rsidRPr="00347697" w:rsidRDefault="0044200A" w:rsidP="00EF6CD7">
      <w:pPr>
        <w:pStyle w:val="ListParagraph"/>
        <w:numPr>
          <w:ilvl w:val="1"/>
          <w:numId w:val="3"/>
        </w:numPr>
        <w:spacing w:after="0" w:line="240" w:lineRule="auto"/>
        <w:ind w:left="1080"/>
        <w:rPr>
          <w:rFonts w:ascii="Times New Roman" w:hAnsi="Times New Roman" w:cs="Times New Roman"/>
          <w:sz w:val="24"/>
          <w:szCs w:val="24"/>
        </w:rPr>
      </w:pPr>
      <w:r w:rsidRPr="00347697">
        <w:rPr>
          <w:rFonts w:ascii="Times New Roman" w:hAnsi="Times New Roman" w:cs="Times New Roman"/>
          <w:sz w:val="24"/>
          <w:szCs w:val="24"/>
        </w:rPr>
        <w:t xml:space="preserve">Part-time enrollment in the </w:t>
      </w:r>
      <w:r>
        <w:rPr>
          <w:rFonts w:ascii="Times New Roman" w:hAnsi="Times New Roman" w:cs="Times New Roman"/>
          <w:sz w:val="24"/>
          <w:szCs w:val="24"/>
        </w:rPr>
        <w:t xml:space="preserve">student’s </w:t>
      </w:r>
      <w:r w:rsidRPr="00347697">
        <w:rPr>
          <w:rFonts w:ascii="Times New Roman" w:hAnsi="Times New Roman" w:cs="Times New Roman"/>
          <w:sz w:val="24"/>
          <w:szCs w:val="24"/>
        </w:rPr>
        <w:t xml:space="preserve">first term </w:t>
      </w:r>
      <w:r>
        <w:rPr>
          <w:rFonts w:ascii="Times New Roman" w:hAnsi="Times New Roman" w:cs="Times New Roman"/>
          <w:sz w:val="24"/>
          <w:szCs w:val="24"/>
        </w:rPr>
        <w:t xml:space="preserve">of for-credit course-taking at </w:t>
      </w:r>
      <w:r w:rsidRPr="00347697">
        <w:rPr>
          <w:rFonts w:ascii="Times New Roman" w:hAnsi="Times New Roman" w:cs="Times New Roman"/>
          <w:sz w:val="24"/>
          <w:szCs w:val="24"/>
        </w:rPr>
        <w:t>BC (treated as dichotomous)</w:t>
      </w:r>
    </w:p>
    <w:p w14:paraId="69960052" w14:textId="77777777" w:rsidR="0044200A" w:rsidRPr="00347697" w:rsidRDefault="0044200A"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Age at </w:t>
      </w:r>
      <w:r w:rsidRPr="00347697">
        <w:rPr>
          <w:rFonts w:ascii="Times New Roman" w:hAnsi="Times New Roman" w:cs="Times New Roman"/>
          <w:sz w:val="24"/>
          <w:szCs w:val="24"/>
        </w:rPr>
        <w:t>college entry (treated as dichotomous</w:t>
      </w:r>
      <w:r>
        <w:rPr>
          <w:rFonts w:ascii="Times New Roman" w:hAnsi="Times New Roman" w:cs="Times New Roman"/>
          <w:sz w:val="24"/>
          <w:szCs w:val="24"/>
        </w:rPr>
        <w:t xml:space="preserve"> and coded to distinguish between students who were less than 20 years of age at college entry versus those who were 20 years of age or older</w:t>
      </w:r>
      <w:r w:rsidRPr="00347697">
        <w:rPr>
          <w:rFonts w:ascii="Times New Roman" w:hAnsi="Times New Roman" w:cs="Times New Roman"/>
          <w:sz w:val="24"/>
          <w:szCs w:val="24"/>
        </w:rPr>
        <w:t>)</w:t>
      </w:r>
    </w:p>
    <w:p w14:paraId="3A972ABF" w14:textId="77777777" w:rsidR="0044200A" w:rsidRPr="00347697" w:rsidRDefault="0044200A"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Self-reported g</w:t>
      </w:r>
      <w:r w:rsidRPr="00347697">
        <w:rPr>
          <w:rFonts w:ascii="Times New Roman" w:hAnsi="Times New Roman" w:cs="Times New Roman"/>
          <w:sz w:val="24"/>
          <w:szCs w:val="24"/>
        </w:rPr>
        <w:t>ender (treated as dichotomous)</w:t>
      </w:r>
    </w:p>
    <w:p w14:paraId="544FBCE0" w14:textId="77777777" w:rsidR="0044200A" w:rsidRPr="00347697" w:rsidRDefault="0044200A"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Self-reported </w:t>
      </w:r>
      <w:r w:rsidRPr="00347697">
        <w:rPr>
          <w:rFonts w:ascii="Times New Roman" w:hAnsi="Times New Roman" w:cs="Times New Roman"/>
          <w:sz w:val="24"/>
          <w:szCs w:val="24"/>
        </w:rPr>
        <w:t>race/ethnicity (treated as dichotomous</w:t>
      </w:r>
      <w:r>
        <w:rPr>
          <w:rFonts w:ascii="Times New Roman" w:hAnsi="Times New Roman" w:cs="Times New Roman"/>
          <w:sz w:val="24"/>
          <w:szCs w:val="24"/>
        </w:rPr>
        <w:t xml:space="preserve"> and coded to distinguish </w:t>
      </w:r>
      <w:r w:rsidRPr="00347697">
        <w:rPr>
          <w:rFonts w:ascii="Times New Roman" w:hAnsi="Times New Roman" w:cs="Times New Roman"/>
          <w:sz w:val="24"/>
          <w:szCs w:val="24"/>
        </w:rPr>
        <w:t xml:space="preserve">historically </w:t>
      </w:r>
      <w:r>
        <w:rPr>
          <w:rFonts w:ascii="Times New Roman" w:hAnsi="Times New Roman" w:cs="Times New Roman"/>
          <w:sz w:val="24"/>
          <w:szCs w:val="24"/>
        </w:rPr>
        <w:t xml:space="preserve">advantaged and </w:t>
      </w:r>
      <w:r w:rsidRPr="00347697">
        <w:rPr>
          <w:rFonts w:ascii="Times New Roman" w:hAnsi="Times New Roman" w:cs="Times New Roman"/>
          <w:sz w:val="24"/>
          <w:szCs w:val="24"/>
        </w:rPr>
        <w:t xml:space="preserve">disadvantaged </w:t>
      </w:r>
      <w:r>
        <w:rPr>
          <w:rFonts w:ascii="Times New Roman" w:hAnsi="Times New Roman" w:cs="Times New Roman"/>
          <w:sz w:val="24"/>
          <w:szCs w:val="24"/>
        </w:rPr>
        <w:t xml:space="preserve">groups, with the latter </w:t>
      </w:r>
      <w:r w:rsidRPr="00347697">
        <w:rPr>
          <w:rFonts w:ascii="Times New Roman" w:hAnsi="Times New Roman" w:cs="Times New Roman"/>
          <w:sz w:val="24"/>
          <w:szCs w:val="24"/>
        </w:rPr>
        <w:t>defined as Black, Hispanic, Native American, or two or more racial/ethnic categories)</w:t>
      </w:r>
    </w:p>
    <w:p w14:paraId="120DAEE6" w14:textId="3432735A" w:rsidR="0044200A" w:rsidRPr="00347697" w:rsidRDefault="0044200A" w:rsidP="00EF6CD7">
      <w:pPr>
        <w:pStyle w:val="ListParagraph"/>
        <w:numPr>
          <w:ilvl w:val="1"/>
          <w:numId w:val="3"/>
        </w:numPr>
        <w:spacing w:after="0" w:line="240" w:lineRule="auto"/>
        <w:ind w:left="1080"/>
        <w:rPr>
          <w:rFonts w:ascii="Times New Roman" w:hAnsi="Times New Roman" w:cs="Times New Roman"/>
          <w:sz w:val="24"/>
          <w:szCs w:val="24"/>
        </w:rPr>
      </w:pPr>
      <w:r w:rsidRPr="00347697">
        <w:rPr>
          <w:rFonts w:ascii="Times New Roman" w:hAnsi="Times New Roman" w:cs="Times New Roman"/>
          <w:sz w:val="24"/>
          <w:szCs w:val="24"/>
        </w:rPr>
        <w:t xml:space="preserve">Method of </w:t>
      </w:r>
      <w:r>
        <w:rPr>
          <w:rFonts w:ascii="Times New Roman" w:hAnsi="Times New Roman" w:cs="Times New Roman"/>
          <w:sz w:val="24"/>
          <w:szCs w:val="24"/>
        </w:rPr>
        <w:t xml:space="preserve">assessment for </w:t>
      </w:r>
      <w:r w:rsidRPr="00347697">
        <w:rPr>
          <w:rFonts w:ascii="Times New Roman" w:hAnsi="Times New Roman" w:cs="Times New Roman"/>
          <w:sz w:val="24"/>
          <w:szCs w:val="24"/>
        </w:rPr>
        <w:t xml:space="preserve">placement in the </w:t>
      </w:r>
      <w:r>
        <w:rPr>
          <w:rFonts w:ascii="Times New Roman" w:hAnsi="Times New Roman" w:cs="Times New Roman"/>
          <w:sz w:val="24"/>
          <w:szCs w:val="24"/>
        </w:rPr>
        <w:t>English</w:t>
      </w:r>
      <w:r w:rsidRPr="00347697">
        <w:rPr>
          <w:rFonts w:ascii="Times New Roman" w:hAnsi="Times New Roman" w:cs="Times New Roman"/>
          <w:sz w:val="24"/>
          <w:szCs w:val="24"/>
        </w:rPr>
        <w:t xml:space="preserve"> curriculum (treated as dichotomous and coded to reflect multiple measures placement versus placement test only)</w:t>
      </w:r>
    </w:p>
    <w:p w14:paraId="31FB7902" w14:textId="77777777" w:rsidR="0044200A" w:rsidRPr="00347697" w:rsidRDefault="0044200A" w:rsidP="00EF6CD7">
      <w:pPr>
        <w:pStyle w:val="ListParagraph"/>
        <w:numPr>
          <w:ilvl w:val="1"/>
          <w:numId w:val="3"/>
        </w:numPr>
        <w:spacing w:after="0" w:line="240" w:lineRule="auto"/>
        <w:ind w:left="1080"/>
        <w:rPr>
          <w:rFonts w:ascii="Times New Roman" w:hAnsi="Times New Roman" w:cs="Times New Roman"/>
          <w:sz w:val="24"/>
          <w:szCs w:val="24"/>
        </w:rPr>
      </w:pPr>
      <w:r w:rsidRPr="00347697">
        <w:rPr>
          <w:rFonts w:ascii="Times New Roman" w:hAnsi="Times New Roman" w:cs="Times New Roman"/>
          <w:sz w:val="24"/>
          <w:szCs w:val="24"/>
        </w:rPr>
        <w:t xml:space="preserve">Term of </w:t>
      </w:r>
      <w:r>
        <w:rPr>
          <w:rFonts w:ascii="Times New Roman" w:hAnsi="Times New Roman" w:cs="Times New Roman"/>
          <w:sz w:val="24"/>
          <w:szCs w:val="24"/>
        </w:rPr>
        <w:t>entry to</w:t>
      </w:r>
      <w:r w:rsidRPr="00347697">
        <w:rPr>
          <w:rFonts w:ascii="Times New Roman" w:hAnsi="Times New Roman" w:cs="Times New Roman"/>
          <w:sz w:val="24"/>
          <w:szCs w:val="24"/>
        </w:rPr>
        <w:t xml:space="preserve"> BC (coded with six categories, including Summer 2015, Fall 2015, Spring 2016, Summer 2016, Fall 2016, and Spring 2017)</w:t>
      </w:r>
    </w:p>
    <w:p w14:paraId="1DA6A0E1" w14:textId="77777777" w:rsidR="00A73C63" w:rsidRPr="00347697" w:rsidRDefault="00A73C63" w:rsidP="00A73C63">
      <w:pPr>
        <w:spacing w:after="0" w:line="240" w:lineRule="auto"/>
        <w:rPr>
          <w:rFonts w:ascii="Times New Roman" w:hAnsi="Times New Roman" w:cs="Times New Roman"/>
          <w:color w:val="000000" w:themeColor="text1"/>
          <w:sz w:val="24"/>
          <w:szCs w:val="24"/>
        </w:rPr>
      </w:pPr>
    </w:p>
    <w:p w14:paraId="12556D60" w14:textId="77777777" w:rsidR="006C421B" w:rsidRDefault="006C421B">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14:paraId="130C6D99" w14:textId="6287E47D" w:rsidR="00A73C63" w:rsidRPr="00347697" w:rsidRDefault="00A73C63" w:rsidP="00A73C63">
      <w:pPr>
        <w:spacing w:after="0" w:line="240" w:lineRule="auto"/>
        <w:rPr>
          <w:rFonts w:ascii="Times New Roman" w:hAnsi="Times New Roman" w:cs="Times New Roman"/>
          <w:color w:val="000000" w:themeColor="text1"/>
          <w:sz w:val="24"/>
          <w:szCs w:val="24"/>
          <w:u w:val="single"/>
        </w:rPr>
      </w:pPr>
      <w:r w:rsidRPr="00687EF9">
        <w:rPr>
          <w:rFonts w:ascii="Times New Roman" w:hAnsi="Times New Roman" w:cs="Times New Roman"/>
          <w:color w:val="000000" w:themeColor="text1"/>
          <w:sz w:val="24"/>
          <w:szCs w:val="24"/>
          <w:u w:val="single"/>
        </w:rPr>
        <w:lastRenderedPageBreak/>
        <w:t>Predicted Probabilities</w:t>
      </w:r>
    </w:p>
    <w:p w14:paraId="5ED53A35" w14:textId="77777777" w:rsidR="00A73C63" w:rsidRPr="00347697" w:rsidRDefault="00A73C63" w:rsidP="00A73C63">
      <w:pPr>
        <w:spacing w:after="0" w:line="240" w:lineRule="auto"/>
        <w:ind w:left="360"/>
        <w:rPr>
          <w:rFonts w:ascii="Times New Roman" w:hAnsi="Times New Roman" w:cs="Times New Roman"/>
          <w:color w:val="000000" w:themeColor="text1"/>
          <w:sz w:val="24"/>
          <w:szCs w:val="24"/>
        </w:rPr>
      </w:pPr>
    </w:p>
    <w:p w14:paraId="3C5C2393" w14:textId="6BBC67DF" w:rsidR="007B7EDB" w:rsidRDefault="00567E6A" w:rsidP="00A73C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Paralleling the regression analysis for developmental math, </w:t>
      </w:r>
      <w:r w:rsidR="00A73C63" w:rsidRPr="00347697">
        <w:rPr>
          <w:rFonts w:ascii="Times New Roman" w:hAnsi="Times New Roman" w:cs="Times New Roman"/>
          <w:color w:val="000000" w:themeColor="text1"/>
          <w:sz w:val="24"/>
          <w:szCs w:val="24"/>
        </w:rPr>
        <w:t xml:space="preserve">Table </w:t>
      </w:r>
      <w:r w:rsidRPr="0034769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4 provides </w:t>
      </w:r>
      <w:r w:rsidR="00A73C63" w:rsidRPr="00347697">
        <w:rPr>
          <w:rFonts w:ascii="Times New Roman" w:hAnsi="Times New Roman" w:cs="Times New Roman"/>
          <w:color w:val="000000" w:themeColor="text1"/>
          <w:sz w:val="24"/>
          <w:szCs w:val="24"/>
        </w:rPr>
        <w:t xml:space="preserve">predicted probabilities of achieving transfer-level </w:t>
      </w:r>
      <w:r w:rsidR="00E677A7" w:rsidRPr="00347697">
        <w:rPr>
          <w:rFonts w:ascii="Times New Roman" w:hAnsi="Times New Roman" w:cs="Times New Roman"/>
          <w:color w:val="000000" w:themeColor="text1"/>
          <w:sz w:val="24"/>
          <w:szCs w:val="24"/>
        </w:rPr>
        <w:t xml:space="preserve">English </w:t>
      </w:r>
      <w:r w:rsidR="00A73C63" w:rsidRPr="00347697">
        <w:rPr>
          <w:rFonts w:ascii="Times New Roman" w:hAnsi="Times New Roman" w:cs="Times New Roman"/>
          <w:color w:val="000000" w:themeColor="text1"/>
          <w:sz w:val="24"/>
          <w:szCs w:val="24"/>
        </w:rPr>
        <w:t xml:space="preserve">competency for students </w:t>
      </w:r>
      <w:r>
        <w:rPr>
          <w:rFonts w:ascii="Times New Roman" w:hAnsi="Times New Roman" w:cs="Times New Roman"/>
          <w:color w:val="000000" w:themeColor="text1"/>
          <w:sz w:val="24"/>
          <w:szCs w:val="24"/>
        </w:rPr>
        <w:t>in each of the three subsamples.  These predictions were derived from the results</w:t>
      </w:r>
      <w:r w:rsidR="00401203">
        <w:rPr>
          <w:rFonts w:ascii="Times New Roman" w:hAnsi="Times New Roman" w:cs="Times New Roman"/>
          <w:color w:val="000000" w:themeColor="text1"/>
          <w:sz w:val="24"/>
          <w:szCs w:val="24"/>
        </w:rPr>
        <w:t xml:space="preserve"> of the</w:t>
      </w:r>
      <w:r>
        <w:rPr>
          <w:rFonts w:ascii="Times New Roman" w:hAnsi="Times New Roman" w:cs="Times New Roman"/>
          <w:color w:val="000000" w:themeColor="text1"/>
          <w:sz w:val="24"/>
          <w:szCs w:val="24"/>
        </w:rPr>
        <w:t xml:space="preserve"> logistic regression analyses and therefore account for differences in the distribution</w:t>
      </w:r>
      <w:r w:rsidR="00BA6C5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of student characteristics across entry points.  </w:t>
      </w:r>
    </w:p>
    <w:p w14:paraId="264AEBBF" w14:textId="77777777" w:rsidR="007B7EDB" w:rsidRDefault="007B7EDB" w:rsidP="00A73C63">
      <w:pPr>
        <w:spacing w:after="0" w:line="240" w:lineRule="auto"/>
        <w:rPr>
          <w:rFonts w:ascii="Times New Roman" w:hAnsi="Times New Roman" w:cs="Times New Roman"/>
          <w:color w:val="000000" w:themeColor="text1"/>
          <w:sz w:val="24"/>
          <w:szCs w:val="24"/>
        </w:rPr>
      </w:pPr>
    </w:p>
    <w:p w14:paraId="77802973" w14:textId="624561C5" w:rsidR="00567E6A" w:rsidRDefault="00567E6A" w:rsidP="00A73C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calculate the predicted probabilities, other </w:t>
      </w:r>
      <w:r w:rsidR="00401203">
        <w:rPr>
          <w:rFonts w:ascii="Times New Roman" w:hAnsi="Times New Roman" w:cs="Times New Roman"/>
          <w:sz w:val="24"/>
          <w:szCs w:val="24"/>
        </w:rPr>
        <w:t>variables included</w:t>
      </w:r>
      <w:r>
        <w:rPr>
          <w:rFonts w:ascii="Times New Roman" w:hAnsi="Times New Roman" w:cs="Times New Roman"/>
          <w:sz w:val="24"/>
          <w:szCs w:val="24"/>
        </w:rPr>
        <w:t xml:space="preserve"> in the model must be </w:t>
      </w:r>
      <w:r w:rsidR="00401203">
        <w:rPr>
          <w:rFonts w:ascii="Times New Roman" w:hAnsi="Times New Roman" w:cs="Times New Roman"/>
          <w:sz w:val="24"/>
          <w:szCs w:val="24"/>
        </w:rPr>
        <w:t xml:space="preserve">fixed </w:t>
      </w:r>
      <w:r>
        <w:rPr>
          <w:rFonts w:ascii="Times New Roman" w:hAnsi="Times New Roman" w:cs="Times New Roman"/>
          <w:sz w:val="24"/>
          <w:szCs w:val="24"/>
        </w:rPr>
        <w:t xml:space="preserve">at selected values.  Changing the values at which covariates are </w:t>
      </w:r>
      <w:r w:rsidR="00401203">
        <w:rPr>
          <w:rFonts w:ascii="Times New Roman" w:hAnsi="Times New Roman" w:cs="Times New Roman"/>
          <w:sz w:val="24"/>
          <w:szCs w:val="24"/>
        </w:rPr>
        <w:t xml:space="preserve">fixed changes </w:t>
      </w:r>
      <w:r>
        <w:rPr>
          <w:rFonts w:ascii="Times New Roman" w:hAnsi="Times New Roman" w:cs="Times New Roman"/>
          <w:sz w:val="24"/>
          <w:szCs w:val="24"/>
        </w:rPr>
        <w:t xml:space="preserve">the absolute differences </w:t>
      </w:r>
      <w:r w:rsidR="00401203">
        <w:rPr>
          <w:rFonts w:ascii="Times New Roman" w:hAnsi="Times New Roman" w:cs="Times New Roman"/>
          <w:sz w:val="24"/>
          <w:szCs w:val="24"/>
        </w:rPr>
        <w:t xml:space="preserve">in predicted probabilities </w:t>
      </w:r>
      <w:r>
        <w:rPr>
          <w:rFonts w:ascii="Times New Roman" w:hAnsi="Times New Roman" w:cs="Times New Roman"/>
          <w:sz w:val="24"/>
          <w:szCs w:val="24"/>
        </w:rPr>
        <w:t xml:space="preserve">between entry points, but it does not affect the order of entry points with respect to the probability of achieving </w:t>
      </w:r>
      <w:r w:rsidR="00401203">
        <w:rPr>
          <w:rFonts w:ascii="Times New Roman" w:hAnsi="Times New Roman" w:cs="Times New Roman"/>
          <w:sz w:val="24"/>
          <w:szCs w:val="24"/>
        </w:rPr>
        <w:t>transfer-level English competency</w:t>
      </w:r>
      <w:r>
        <w:rPr>
          <w:rFonts w:ascii="Times New Roman" w:hAnsi="Times New Roman" w:cs="Times New Roman"/>
          <w:sz w:val="24"/>
          <w:szCs w:val="24"/>
        </w:rPr>
        <w:t xml:space="preserve">.  Thus, the entry point associated with the highest probability of </w:t>
      </w:r>
      <w:r w:rsidR="007476B7">
        <w:rPr>
          <w:rFonts w:ascii="Times New Roman" w:hAnsi="Times New Roman" w:cs="Times New Roman"/>
          <w:sz w:val="24"/>
          <w:szCs w:val="24"/>
        </w:rPr>
        <w:t xml:space="preserve">achieving transfer-level </w:t>
      </w:r>
      <w:r w:rsidR="00687EF9">
        <w:rPr>
          <w:rFonts w:ascii="Times New Roman" w:hAnsi="Times New Roman" w:cs="Times New Roman"/>
          <w:sz w:val="24"/>
          <w:szCs w:val="24"/>
        </w:rPr>
        <w:t xml:space="preserve">competency </w:t>
      </w:r>
      <w:r>
        <w:rPr>
          <w:rFonts w:ascii="Times New Roman" w:hAnsi="Times New Roman" w:cs="Times New Roman"/>
          <w:sz w:val="24"/>
          <w:szCs w:val="24"/>
        </w:rPr>
        <w:t xml:space="preserve">will remain the highest regardless of the values at which </w:t>
      </w:r>
      <w:r w:rsidR="00687EF9">
        <w:rPr>
          <w:rFonts w:ascii="Times New Roman" w:hAnsi="Times New Roman" w:cs="Times New Roman"/>
          <w:sz w:val="24"/>
          <w:szCs w:val="24"/>
        </w:rPr>
        <w:t>the</w:t>
      </w:r>
      <w:r>
        <w:rPr>
          <w:rFonts w:ascii="Times New Roman" w:hAnsi="Times New Roman" w:cs="Times New Roman"/>
          <w:sz w:val="24"/>
          <w:szCs w:val="24"/>
        </w:rPr>
        <w:t xml:space="preserve"> covariates are held.  In this case, predictions were calculated for </w:t>
      </w:r>
      <w:r w:rsidRPr="00347697">
        <w:rPr>
          <w:rFonts w:ascii="Times New Roman" w:hAnsi="Times New Roman" w:cs="Times New Roman"/>
          <w:sz w:val="24"/>
          <w:szCs w:val="24"/>
        </w:rPr>
        <w:t xml:space="preserve">a </w:t>
      </w:r>
      <w:r w:rsidR="007476B7">
        <w:rPr>
          <w:rFonts w:ascii="Times New Roman" w:hAnsi="Times New Roman" w:cs="Times New Roman"/>
          <w:sz w:val="24"/>
          <w:szCs w:val="24"/>
        </w:rPr>
        <w:t xml:space="preserve">transfer-seeking </w:t>
      </w:r>
      <w:r w:rsidRPr="00347697">
        <w:rPr>
          <w:rFonts w:ascii="Times New Roman" w:hAnsi="Times New Roman" w:cs="Times New Roman"/>
          <w:sz w:val="24"/>
          <w:szCs w:val="24"/>
        </w:rPr>
        <w:t>male student under the age of 20 years at entry to BC who is not of a historically disadvantaged racial/ethnic group, who enrolled in BC for the first time in Fall 2016, who enrolled full-time in his first term</w:t>
      </w:r>
      <w:r>
        <w:rPr>
          <w:rFonts w:ascii="Times New Roman" w:hAnsi="Times New Roman" w:cs="Times New Roman"/>
          <w:sz w:val="24"/>
          <w:szCs w:val="24"/>
        </w:rPr>
        <w:t xml:space="preserve">, and who was assessed for placement into the </w:t>
      </w:r>
      <w:r w:rsidR="007476B7">
        <w:rPr>
          <w:rFonts w:ascii="Times New Roman" w:hAnsi="Times New Roman" w:cs="Times New Roman"/>
          <w:sz w:val="24"/>
          <w:szCs w:val="24"/>
        </w:rPr>
        <w:t>English</w:t>
      </w:r>
      <w:r>
        <w:rPr>
          <w:rFonts w:ascii="Times New Roman" w:hAnsi="Times New Roman" w:cs="Times New Roman"/>
          <w:sz w:val="24"/>
          <w:szCs w:val="24"/>
        </w:rPr>
        <w:t xml:space="preserve"> curriculum with multiple measures</w:t>
      </w:r>
      <w:r w:rsidRPr="00347697">
        <w:rPr>
          <w:rFonts w:ascii="Times New Roman" w:hAnsi="Times New Roman" w:cs="Times New Roman"/>
          <w:sz w:val="24"/>
          <w:szCs w:val="24"/>
        </w:rPr>
        <w:t>.</w:t>
      </w:r>
    </w:p>
    <w:p w14:paraId="41C66405" w14:textId="77777777" w:rsidR="00A73C63" w:rsidRPr="00347697" w:rsidRDefault="00A73C63" w:rsidP="00A73C63">
      <w:pPr>
        <w:spacing w:after="0" w:line="240" w:lineRule="auto"/>
        <w:rPr>
          <w:rFonts w:ascii="Times New Roman" w:hAnsi="Times New Roman" w:cs="Times New Roman"/>
          <w:color w:val="CC00CC"/>
          <w:sz w:val="24"/>
          <w:szCs w:val="24"/>
        </w:rPr>
      </w:pPr>
    </w:p>
    <w:p w14:paraId="72F7EB7B" w14:textId="64CFF7D0" w:rsidR="00A73C63" w:rsidRPr="00347697" w:rsidRDefault="00A73C63" w:rsidP="00A73C63">
      <w:pPr>
        <w:spacing w:after="0" w:line="240" w:lineRule="auto"/>
        <w:rPr>
          <w:rFonts w:ascii="Times New Roman" w:hAnsi="Times New Roman" w:cs="Times New Roman"/>
          <w:color w:val="000000" w:themeColor="text1"/>
          <w:sz w:val="24"/>
          <w:szCs w:val="24"/>
          <w:u w:val="single"/>
        </w:rPr>
      </w:pPr>
      <w:r w:rsidRPr="00347697">
        <w:rPr>
          <w:rFonts w:ascii="Times New Roman" w:hAnsi="Times New Roman" w:cs="Times New Roman"/>
          <w:color w:val="000000" w:themeColor="text1"/>
          <w:sz w:val="24"/>
          <w:szCs w:val="24"/>
          <w:u w:val="single"/>
        </w:rPr>
        <w:t xml:space="preserve">Comparing </w:t>
      </w:r>
      <w:r w:rsidR="00631DD4" w:rsidRPr="00347697">
        <w:rPr>
          <w:rFonts w:ascii="Times New Roman" w:hAnsi="Times New Roman" w:cs="Times New Roman"/>
          <w:color w:val="000000" w:themeColor="text1"/>
          <w:sz w:val="24"/>
          <w:szCs w:val="24"/>
          <w:u w:val="single"/>
        </w:rPr>
        <w:t>Engl B53</w:t>
      </w:r>
      <w:r w:rsidRPr="00347697">
        <w:rPr>
          <w:rFonts w:ascii="Times New Roman" w:hAnsi="Times New Roman" w:cs="Times New Roman"/>
          <w:color w:val="000000" w:themeColor="text1"/>
          <w:sz w:val="24"/>
          <w:szCs w:val="24"/>
          <w:u w:val="single"/>
        </w:rPr>
        <w:t xml:space="preserve"> with </w:t>
      </w:r>
      <w:r w:rsidR="00631DD4" w:rsidRPr="00347697">
        <w:rPr>
          <w:rFonts w:ascii="Times New Roman" w:hAnsi="Times New Roman" w:cs="Times New Roman"/>
          <w:color w:val="000000" w:themeColor="text1"/>
          <w:sz w:val="24"/>
          <w:szCs w:val="24"/>
          <w:u w:val="single"/>
        </w:rPr>
        <w:t xml:space="preserve">Engl </w:t>
      </w:r>
      <w:r w:rsidRPr="00347697">
        <w:rPr>
          <w:rFonts w:ascii="Times New Roman" w:hAnsi="Times New Roman" w:cs="Times New Roman"/>
          <w:color w:val="000000" w:themeColor="text1"/>
          <w:sz w:val="24"/>
          <w:szCs w:val="24"/>
          <w:u w:val="single"/>
        </w:rPr>
        <w:t>B60</w:t>
      </w:r>
    </w:p>
    <w:p w14:paraId="2C11BB75" w14:textId="77777777" w:rsidR="00A73C63" w:rsidRPr="00347697" w:rsidRDefault="00A73C63" w:rsidP="00A73C63">
      <w:pPr>
        <w:spacing w:after="0" w:line="240" w:lineRule="auto"/>
        <w:rPr>
          <w:rFonts w:ascii="Times New Roman" w:hAnsi="Times New Roman" w:cs="Times New Roman"/>
          <w:color w:val="000000" w:themeColor="text1"/>
          <w:sz w:val="24"/>
          <w:szCs w:val="24"/>
        </w:rPr>
      </w:pPr>
    </w:p>
    <w:p w14:paraId="3F512F07" w14:textId="0E887768" w:rsidR="00A73C63" w:rsidRPr="00347697" w:rsidRDefault="005540E3" w:rsidP="00A73C63">
      <w:pPr>
        <w:spacing w:after="0" w:line="240" w:lineRule="auto"/>
        <w:rPr>
          <w:rFonts w:ascii="Times New Roman" w:hAnsi="Times New Roman" w:cs="Times New Roman"/>
          <w:color w:val="000000" w:themeColor="text1"/>
          <w:sz w:val="24"/>
          <w:szCs w:val="24"/>
        </w:rPr>
      </w:pPr>
      <w:r w:rsidRPr="00347697">
        <w:rPr>
          <w:rFonts w:ascii="Times New Roman" w:hAnsi="Times New Roman" w:cs="Times New Roman"/>
          <w:color w:val="000000" w:themeColor="text1"/>
          <w:sz w:val="24"/>
          <w:szCs w:val="24"/>
        </w:rPr>
        <w:t xml:space="preserve">Taking into account differences in the distributions of student characteristics across </w:t>
      </w:r>
      <w:r w:rsidR="003B08B2">
        <w:rPr>
          <w:rFonts w:ascii="Times New Roman" w:hAnsi="Times New Roman" w:cs="Times New Roman"/>
          <w:color w:val="000000" w:themeColor="text1"/>
          <w:sz w:val="24"/>
          <w:szCs w:val="24"/>
        </w:rPr>
        <w:t xml:space="preserve">entry points to the </w:t>
      </w:r>
      <w:r w:rsidR="006144EB">
        <w:rPr>
          <w:rFonts w:ascii="Times New Roman" w:hAnsi="Times New Roman" w:cs="Times New Roman"/>
          <w:color w:val="000000" w:themeColor="text1"/>
          <w:sz w:val="24"/>
          <w:szCs w:val="24"/>
        </w:rPr>
        <w:t xml:space="preserve">developmental </w:t>
      </w:r>
      <w:r w:rsidR="006144EB" w:rsidRPr="00347697">
        <w:rPr>
          <w:rFonts w:ascii="Times New Roman" w:hAnsi="Times New Roman" w:cs="Times New Roman"/>
          <w:color w:val="000000" w:themeColor="text1"/>
          <w:sz w:val="24"/>
          <w:szCs w:val="24"/>
        </w:rPr>
        <w:t xml:space="preserve">English </w:t>
      </w:r>
      <w:r w:rsidR="003B08B2">
        <w:rPr>
          <w:rFonts w:ascii="Times New Roman" w:hAnsi="Times New Roman" w:cs="Times New Roman"/>
          <w:color w:val="000000" w:themeColor="text1"/>
          <w:sz w:val="24"/>
          <w:szCs w:val="24"/>
        </w:rPr>
        <w:t xml:space="preserve">curriculum (and, in the case of subsample #3, across </w:t>
      </w:r>
      <w:r w:rsidR="006144EB">
        <w:rPr>
          <w:rFonts w:ascii="Times New Roman" w:hAnsi="Times New Roman" w:cs="Times New Roman"/>
          <w:color w:val="000000" w:themeColor="text1"/>
          <w:sz w:val="24"/>
          <w:szCs w:val="24"/>
        </w:rPr>
        <w:t xml:space="preserve">common developmental English </w:t>
      </w:r>
      <w:r w:rsidR="003B08B2">
        <w:rPr>
          <w:rFonts w:ascii="Times New Roman" w:hAnsi="Times New Roman" w:cs="Times New Roman"/>
          <w:color w:val="000000" w:themeColor="text1"/>
          <w:sz w:val="24"/>
          <w:szCs w:val="24"/>
        </w:rPr>
        <w:t>pathways)</w:t>
      </w:r>
      <w:r w:rsidRPr="00347697">
        <w:rPr>
          <w:rFonts w:ascii="Times New Roman" w:hAnsi="Times New Roman" w:cs="Times New Roman"/>
          <w:color w:val="000000" w:themeColor="text1"/>
          <w:sz w:val="24"/>
          <w:szCs w:val="24"/>
        </w:rPr>
        <w:t xml:space="preserve">, </w:t>
      </w:r>
      <w:r w:rsidR="00631DD4" w:rsidRPr="00347697">
        <w:rPr>
          <w:rFonts w:ascii="Times New Roman" w:hAnsi="Times New Roman" w:cs="Times New Roman"/>
          <w:color w:val="000000" w:themeColor="text1"/>
          <w:sz w:val="24"/>
          <w:szCs w:val="24"/>
        </w:rPr>
        <w:t>students who enter the curriculum through Engl B53</w:t>
      </w:r>
      <w:r w:rsidR="00D16899">
        <w:rPr>
          <w:rFonts w:ascii="Times New Roman" w:hAnsi="Times New Roman" w:cs="Times New Roman"/>
          <w:color w:val="000000" w:themeColor="text1"/>
          <w:sz w:val="24"/>
          <w:szCs w:val="24"/>
        </w:rPr>
        <w:t xml:space="preserve"> are consistently more likely to achieve transfer-level English competency than are </w:t>
      </w:r>
      <w:r w:rsidR="00B23DEF">
        <w:rPr>
          <w:rFonts w:ascii="Times New Roman" w:hAnsi="Times New Roman" w:cs="Times New Roman"/>
          <w:color w:val="000000" w:themeColor="text1"/>
          <w:sz w:val="24"/>
          <w:szCs w:val="24"/>
        </w:rPr>
        <w:t>students who enter the curriculum through the parallel Engl B60 course.  This advantage holds true</w:t>
      </w:r>
      <w:r w:rsidR="00D960FD">
        <w:rPr>
          <w:rFonts w:ascii="Times New Roman" w:hAnsi="Times New Roman" w:cs="Times New Roman"/>
          <w:color w:val="000000" w:themeColor="text1"/>
          <w:sz w:val="24"/>
          <w:szCs w:val="24"/>
        </w:rPr>
        <w:t xml:space="preserve"> without exception</w:t>
      </w:r>
      <w:r w:rsidR="00B23DEF">
        <w:rPr>
          <w:rFonts w:ascii="Times New Roman" w:hAnsi="Times New Roman" w:cs="Times New Roman"/>
          <w:color w:val="000000" w:themeColor="text1"/>
          <w:sz w:val="24"/>
          <w:szCs w:val="24"/>
        </w:rPr>
        <w:t xml:space="preserve"> across all three subsamples</w:t>
      </w:r>
      <w:r w:rsidR="00F8312B">
        <w:rPr>
          <w:rFonts w:ascii="Times New Roman" w:hAnsi="Times New Roman" w:cs="Times New Roman"/>
          <w:color w:val="000000" w:themeColor="text1"/>
          <w:sz w:val="24"/>
          <w:szCs w:val="24"/>
        </w:rPr>
        <w:t xml:space="preserve"> considered here.  </w:t>
      </w:r>
    </w:p>
    <w:p w14:paraId="2885E9E0" w14:textId="77777777" w:rsidR="00A73C63" w:rsidRPr="00347697" w:rsidRDefault="00A73C63" w:rsidP="00A73C63">
      <w:pPr>
        <w:spacing w:after="0" w:line="240" w:lineRule="auto"/>
        <w:rPr>
          <w:rFonts w:ascii="Times New Roman" w:hAnsi="Times New Roman" w:cs="Times New Roman"/>
          <w:color w:val="000000" w:themeColor="text1"/>
          <w:sz w:val="24"/>
          <w:szCs w:val="24"/>
        </w:rPr>
      </w:pPr>
    </w:p>
    <w:p w14:paraId="3469F10B" w14:textId="488AB7EA" w:rsidR="00A73C63" w:rsidRPr="00347697" w:rsidRDefault="00A73C63" w:rsidP="00A73C63">
      <w:pPr>
        <w:spacing w:after="0" w:line="240" w:lineRule="auto"/>
        <w:rPr>
          <w:rFonts w:ascii="Times New Roman" w:hAnsi="Times New Roman" w:cs="Times New Roman"/>
          <w:color w:val="000000" w:themeColor="text1"/>
          <w:sz w:val="24"/>
          <w:szCs w:val="24"/>
          <w:u w:val="single"/>
        </w:rPr>
      </w:pPr>
      <w:r w:rsidRPr="00687EF9">
        <w:rPr>
          <w:rFonts w:ascii="Times New Roman" w:hAnsi="Times New Roman" w:cs="Times New Roman"/>
          <w:color w:val="000000" w:themeColor="text1"/>
          <w:sz w:val="24"/>
          <w:szCs w:val="24"/>
          <w:u w:val="single"/>
        </w:rPr>
        <w:t xml:space="preserve">Comparing </w:t>
      </w:r>
      <w:r w:rsidR="00631DD4" w:rsidRPr="00687EF9">
        <w:rPr>
          <w:rFonts w:ascii="Times New Roman" w:hAnsi="Times New Roman" w:cs="Times New Roman"/>
          <w:color w:val="000000" w:themeColor="text1"/>
          <w:sz w:val="24"/>
          <w:szCs w:val="24"/>
          <w:u w:val="single"/>
        </w:rPr>
        <w:t>LRNC B510</w:t>
      </w:r>
      <w:r w:rsidRPr="00687EF9">
        <w:rPr>
          <w:rFonts w:ascii="Times New Roman" w:hAnsi="Times New Roman" w:cs="Times New Roman"/>
          <w:color w:val="000000" w:themeColor="text1"/>
          <w:sz w:val="24"/>
          <w:szCs w:val="24"/>
          <w:u w:val="single"/>
        </w:rPr>
        <w:t xml:space="preserve"> with </w:t>
      </w:r>
      <w:r w:rsidR="001C5187" w:rsidRPr="00687EF9">
        <w:rPr>
          <w:rFonts w:ascii="Times New Roman" w:hAnsi="Times New Roman" w:cs="Times New Roman"/>
          <w:color w:val="000000" w:themeColor="text1"/>
          <w:sz w:val="24"/>
          <w:szCs w:val="24"/>
          <w:u w:val="single"/>
        </w:rPr>
        <w:t>Engl</w:t>
      </w:r>
      <w:r w:rsidRPr="00687EF9">
        <w:rPr>
          <w:rFonts w:ascii="Times New Roman" w:hAnsi="Times New Roman" w:cs="Times New Roman"/>
          <w:color w:val="000000" w:themeColor="text1"/>
          <w:sz w:val="24"/>
          <w:szCs w:val="24"/>
          <w:u w:val="single"/>
        </w:rPr>
        <w:t xml:space="preserve"> B</w:t>
      </w:r>
      <w:r w:rsidR="00631DD4" w:rsidRPr="00687EF9">
        <w:rPr>
          <w:rFonts w:ascii="Times New Roman" w:hAnsi="Times New Roman" w:cs="Times New Roman"/>
          <w:color w:val="000000" w:themeColor="text1"/>
          <w:sz w:val="24"/>
          <w:szCs w:val="24"/>
          <w:u w:val="single"/>
        </w:rPr>
        <w:t>5</w:t>
      </w:r>
      <w:r w:rsidRPr="00687EF9">
        <w:rPr>
          <w:rFonts w:ascii="Times New Roman" w:hAnsi="Times New Roman" w:cs="Times New Roman"/>
          <w:color w:val="000000" w:themeColor="text1"/>
          <w:sz w:val="24"/>
          <w:szCs w:val="24"/>
          <w:u w:val="single"/>
        </w:rPr>
        <w:t>0</w:t>
      </w:r>
    </w:p>
    <w:p w14:paraId="5F511573" w14:textId="77777777" w:rsidR="00A73C63" w:rsidRPr="00347697" w:rsidRDefault="00A73C63" w:rsidP="00A73C63">
      <w:pPr>
        <w:spacing w:after="0" w:line="240" w:lineRule="auto"/>
        <w:rPr>
          <w:rFonts w:ascii="Times New Roman" w:hAnsi="Times New Roman" w:cs="Times New Roman"/>
          <w:color w:val="000000" w:themeColor="text1"/>
          <w:sz w:val="24"/>
          <w:szCs w:val="24"/>
        </w:rPr>
      </w:pPr>
    </w:p>
    <w:p w14:paraId="5D131AFE" w14:textId="48791A24" w:rsidR="00687EF9" w:rsidRDefault="00656908" w:rsidP="00A73C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Once other factors are controlled, s</w:t>
      </w:r>
      <w:r w:rsidR="009A0B9B" w:rsidRPr="00436AB9">
        <w:rPr>
          <w:rFonts w:ascii="Times New Roman" w:hAnsi="Times New Roman" w:cs="Times New Roman"/>
          <w:color w:val="000000" w:themeColor="text1"/>
          <w:sz w:val="24"/>
          <w:szCs w:val="24"/>
        </w:rPr>
        <w:t xml:space="preserve">tudents who enter the </w:t>
      </w:r>
      <w:r w:rsidR="00B42F6A">
        <w:rPr>
          <w:rFonts w:ascii="Times New Roman" w:hAnsi="Times New Roman" w:cs="Times New Roman"/>
          <w:color w:val="000000" w:themeColor="text1"/>
          <w:sz w:val="24"/>
          <w:szCs w:val="24"/>
        </w:rPr>
        <w:t xml:space="preserve">developmental English </w:t>
      </w:r>
      <w:r w:rsidR="009A0B9B" w:rsidRPr="00436AB9">
        <w:rPr>
          <w:rFonts w:ascii="Times New Roman" w:hAnsi="Times New Roman" w:cs="Times New Roman"/>
          <w:color w:val="000000" w:themeColor="text1"/>
          <w:sz w:val="24"/>
          <w:szCs w:val="24"/>
        </w:rPr>
        <w:t xml:space="preserve">curriculum through the first half of </w:t>
      </w:r>
      <w:r w:rsidR="00436AB9" w:rsidRPr="00436AB9">
        <w:rPr>
          <w:rFonts w:ascii="Times New Roman" w:hAnsi="Times New Roman" w:cs="Times New Roman"/>
          <w:color w:val="000000" w:themeColor="text1"/>
          <w:sz w:val="24"/>
          <w:szCs w:val="24"/>
        </w:rPr>
        <w:t>LRN</w:t>
      </w:r>
      <w:r w:rsidR="00436AB9">
        <w:rPr>
          <w:rFonts w:ascii="Times New Roman" w:hAnsi="Times New Roman" w:cs="Times New Roman"/>
          <w:color w:val="000000" w:themeColor="text1"/>
          <w:sz w:val="24"/>
          <w:szCs w:val="24"/>
        </w:rPr>
        <w:t>C</w:t>
      </w:r>
      <w:r w:rsidR="00436AB9" w:rsidRPr="00436AB9">
        <w:rPr>
          <w:rFonts w:ascii="Times New Roman" w:hAnsi="Times New Roman" w:cs="Times New Roman"/>
          <w:color w:val="000000" w:themeColor="text1"/>
          <w:sz w:val="24"/>
          <w:szCs w:val="24"/>
        </w:rPr>
        <w:t xml:space="preserve"> B510 </w:t>
      </w:r>
      <w:r w:rsidR="009A0B9B" w:rsidRPr="00436AB9">
        <w:rPr>
          <w:rFonts w:ascii="Times New Roman" w:hAnsi="Times New Roman" w:cs="Times New Roman"/>
          <w:color w:val="000000" w:themeColor="text1"/>
          <w:sz w:val="24"/>
          <w:szCs w:val="24"/>
        </w:rPr>
        <w:t>(LRN</w:t>
      </w:r>
      <w:r w:rsidR="00436AB9">
        <w:rPr>
          <w:rFonts w:ascii="Times New Roman" w:hAnsi="Times New Roman" w:cs="Times New Roman"/>
          <w:color w:val="000000" w:themeColor="text1"/>
          <w:sz w:val="24"/>
          <w:szCs w:val="24"/>
        </w:rPr>
        <w:t>C</w:t>
      </w:r>
      <w:r w:rsidR="009A0B9B" w:rsidRPr="00436AB9">
        <w:rPr>
          <w:rFonts w:ascii="Times New Roman" w:hAnsi="Times New Roman" w:cs="Times New Roman"/>
          <w:color w:val="000000" w:themeColor="text1"/>
          <w:sz w:val="24"/>
          <w:szCs w:val="24"/>
        </w:rPr>
        <w:t xml:space="preserve"> B510</w:t>
      </w:r>
      <w:r w:rsidR="009A0B9B" w:rsidRPr="0072729B">
        <w:rPr>
          <w:rFonts w:ascii="Times New Roman" w:hAnsi="Times New Roman" w:cs="Times New Roman"/>
          <w:i/>
          <w:color w:val="000000" w:themeColor="text1"/>
          <w:sz w:val="24"/>
          <w:szCs w:val="24"/>
        </w:rPr>
        <w:t>f</w:t>
      </w:r>
      <w:r w:rsidR="009A0B9B" w:rsidRPr="00436AB9">
        <w:rPr>
          <w:rFonts w:ascii="Times New Roman" w:hAnsi="Times New Roman" w:cs="Times New Roman"/>
          <w:color w:val="000000" w:themeColor="text1"/>
          <w:sz w:val="24"/>
          <w:szCs w:val="24"/>
        </w:rPr>
        <w:t>)</w:t>
      </w:r>
      <w:r w:rsidR="009A0B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generally are more likely to achieve transfer-level competency than are students who enter through Engl B50.  This holds true across the first two subsamples.  </w:t>
      </w:r>
    </w:p>
    <w:p w14:paraId="35504C93" w14:textId="77777777" w:rsidR="00687EF9" w:rsidRDefault="00687EF9" w:rsidP="00A73C63">
      <w:pPr>
        <w:spacing w:after="0" w:line="240" w:lineRule="auto"/>
        <w:rPr>
          <w:rFonts w:ascii="Times New Roman" w:hAnsi="Times New Roman" w:cs="Times New Roman"/>
          <w:color w:val="000000" w:themeColor="text1"/>
          <w:sz w:val="24"/>
          <w:szCs w:val="24"/>
        </w:rPr>
      </w:pPr>
    </w:p>
    <w:p w14:paraId="66E826A3" w14:textId="0CBE6879" w:rsidR="00137E66" w:rsidRDefault="00656908" w:rsidP="00A73C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exception is the third subsample</w:t>
      </w:r>
      <w:r w:rsidR="00810753">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compares</w:t>
      </w:r>
      <w:r w:rsidR="00687EF9">
        <w:rPr>
          <w:rFonts w:ascii="Times New Roman" w:hAnsi="Times New Roman" w:cs="Times New Roman"/>
          <w:color w:val="000000" w:themeColor="text1"/>
          <w:sz w:val="24"/>
          <w:szCs w:val="24"/>
        </w:rPr>
        <w:t xml:space="preserve"> the following two groups</w:t>
      </w:r>
      <w:r w:rsidR="00137E66">
        <w:rPr>
          <w:rFonts w:ascii="Times New Roman" w:hAnsi="Times New Roman" w:cs="Times New Roman"/>
          <w:color w:val="000000" w:themeColor="text1"/>
          <w:sz w:val="24"/>
          <w:szCs w:val="24"/>
        </w:rPr>
        <w:t>:</w:t>
      </w:r>
    </w:p>
    <w:p w14:paraId="2943260B" w14:textId="271C88B8" w:rsidR="009A0B9B" w:rsidRDefault="00656908" w:rsidP="00EF6CD7">
      <w:pPr>
        <w:pStyle w:val="ListParagraph"/>
        <w:numPr>
          <w:ilvl w:val="3"/>
          <w:numId w:val="2"/>
        </w:numPr>
        <w:spacing w:after="0" w:line="240" w:lineRule="auto"/>
        <w:ind w:left="720"/>
        <w:rPr>
          <w:rFonts w:ascii="Times New Roman" w:hAnsi="Times New Roman" w:cs="Times New Roman"/>
          <w:color w:val="000000" w:themeColor="text1"/>
          <w:sz w:val="24"/>
          <w:szCs w:val="24"/>
        </w:rPr>
      </w:pPr>
      <w:r w:rsidRPr="0072729B">
        <w:rPr>
          <w:rFonts w:ascii="Times New Roman" w:hAnsi="Times New Roman" w:cs="Times New Roman"/>
          <w:color w:val="000000" w:themeColor="text1"/>
          <w:sz w:val="24"/>
          <w:szCs w:val="24"/>
        </w:rPr>
        <w:t>students who entered</w:t>
      </w:r>
      <w:r w:rsidR="00687EF9">
        <w:rPr>
          <w:rFonts w:ascii="Times New Roman" w:hAnsi="Times New Roman" w:cs="Times New Roman"/>
          <w:color w:val="000000" w:themeColor="text1"/>
          <w:sz w:val="24"/>
          <w:szCs w:val="24"/>
        </w:rPr>
        <w:t xml:space="preserve"> the curriculum</w:t>
      </w:r>
      <w:r w:rsidRPr="0072729B">
        <w:rPr>
          <w:rFonts w:ascii="Times New Roman" w:hAnsi="Times New Roman" w:cs="Times New Roman"/>
          <w:color w:val="000000" w:themeColor="text1"/>
          <w:sz w:val="24"/>
          <w:szCs w:val="24"/>
        </w:rPr>
        <w:t xml:space="preserve"> through LRNC B510</w:t>
      </w:r>
      <w:r w:rsidRPr="0072729B">
        <w:rPr>
          <w:rFonts w:ascii="Times New Roman" w:hAnsi="Times New Roman" w:cs="Times New Roman"/>
          <w:i/>
          <w:color w:val="000000" w:themeColor="text1"/>
          <w:sz w:val="24"/>
          <w:szCs w:val="24"/>
        </w:rPr>
        <w:t>f</w:t>
      </w:r>
      <w:r w:rsidRPr="0072729B">
        <w:rPr>
          <w:rFonts w:ascii="Times New Roman" w:hAnsi="Times New Roman" w:cs="Times New Roman"/>
          <w:color w:val="000000" w:themeColor="text1"/>
          <w:sz w:val="24"/>
          <w:szCs w:val="24"/>
        </w:rPr>
        <w:t>, completed it successfully on the first attempt, and then attempted LRNC B510</w:t>
      </w:r>
      <w:r w:rsidRPr="0072729B">
        <w:rPr>
          <w:rFonts w:ascii="Times New Roman" w:hAnsi="Times New Roman" w:cs="Times New Roman"/>
          <w:i/>
          <w:color w:val="000000" w:themeColor="text1"/>
          <w:sz w:val="24"/>
          <w:szCs w:val="24"/>
        </w:rPr>
        <w:t>s</w:t>
      </w:r>
      <w:r w:rsidR="00137E66">
        <w:rPr>
          <w:rFonts w:ascii="Times New Roman" w:hAnsi="Times New Roman" w:cs="Times New Roman"/>
          <w:color w:val="000000" w:themeColor="text1"/>
          <w:sz w:val="24"/>
          <w:szCs w:val="24"/>
        </w:rPr>
        <w:t>,</w:t>
      </w:r>
    </w:p>
    <w:p w14:paraId="5FB26D36" w14:textId="0F0382E2" w:rsidR="00137E66" w:rsidRDefault="00137E66" w:rsidP="00EF6CD7">
      <w:pPr>
        <w:pStyle w:val="ListParagraph"/>
        <w:numPr>
          <w:ilvl w:val="3"/>
          <w:numId w:val="2"/>
        </w:num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who entered through Engl B50, completed it successfully on the first attempt, and then attempted Engl B1A.  </w:t>
      </w:r>
    </w:p>
    <w:p w14:paraId="1FEE2B65" w14:textId="46BE8FD8" w:rsidR="00137E66" w:rsidRPr="0072729B" w:rsidRDefault="00687EF9" w:rsidP="00137E6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Subsample #3 excludes </w:t>
      </w:r>
      <w:r w:rsidR="00810753">
        <w:rPr>
          <w:rFonts w:ascii="Times New Roman" w:hAnsi="Times New Roman" w:cs="Times New Roman"/>
          <w:color w:val="000000" w:themeColor="text1"/>
          <w:sz w:val="24"/>
          <w:szCs w:val="24"/>
        </w:rPr>
        <w:t xml:space="preserve">students who </w:t>
      </w:r>
      <w:r w:rsidR="007B7EDB">
        <w:rPr>
          <w:rFonts w:ascii="Times New Roman" w:hAnsi="Times New Roman" w:cs="Times New Roman"/>
          <w:color w:val="000000" w:themeColor="text1"/>
          <w:sz w:val="24"/>
          <w:szCs w:val="24"/>
        </w:rPr>
        <w:t>did</w:t>
      </w:r>
      <w:r w:rsidR="00810753">
        <w:rPr>
          <w:rFonts w:ascii="Times New Roman" w:hAnsi="Times New Roman" w:cs="Times New Roman"/>
          <w:color w:val="000000" w:themeColor="text1"/>
          <w:sz w:val="24"/>
          <w:szCs w:val="24"/>
        </w:rPr>
        <w:t xml:space="preserve"> not pass their first English course on the first attempt or who pass</w:t>
      </w:r>
      <w:r w:rsidR="007B7EDB">
        <w:rPr>
          <w:rFonts w:ascii="Times New Roman" w:hAnsi="Times New Roman" w:cs="Times New Roman"/>
          <w:color w:val="000000" w:themeColor="text1"/>
          <w:sz w:val="24"/>
          <w:szCs w:val="24"/>
        </w:rPr>
        <w:t>ed</w:t>
      </w:r>
      <w:r w:rsidR="00810753">
        <w:rPr>
          <w:rFonts w:ascii="Times New Roman" w:hAnsi="Times New Roman" w:cs="Times New Roman"/>
          <w:color w:val="000000" w:themeColor="text1"/>
          <w:sz w:val="24"/>
          <w:szCs w:val="24"/>
        </w:rPr>
        <w:t xml:space="preserve"> it and then elect</w:t>
      </w:r>
      <w:r w:rsidR="007B7EDB">
        <w:rPr>
          <w:rFonts w:ascii="Times New Roman" w:hAnsi="Times New Roman" w:cs="Times New Roman"/>
          <w:color w:val="000000" w:themeColor="text1"/>
          <w:sz w:val="24"/>
          <w:szCs w:val="24"/>
        </w:rPr>
        <w:t>ed</w:t>
      </w:r>
      <w:r w:rsidR="00810753">
        <w:rPr>
          <w:rFonts w:ascii="Times New Roman" w:hAnsi="Times New Roman" w:cs="Times New Roman"/>
          <w:color w:val="000000" w:themeColor="text1"/>
          <w:sz w:val="24"/>
          <w:szCs w:val="24"/>
        </w:rPr>
        <w:t xml:space="preserve"> an alternative (off-path) second English course</w:t>
      </w:r>
      <w:r>
        <w:rPr>
          <w:rFonts w:ascii="Times New Roman" w:hAnsi="Times New Roman" w:cs="Times New Roman"/>
          <w:color w:val="000000" w:themeColor="text1"/>
          <w:sz w:val="24"/>
          <w:szCs w:val="24"/>
        </w:rPr>
        <w:t>.  Once these exclusions are implemented</w:t>
      </w:r>
      <w:r w:rsidR="00810753">
        <w:rPr>
          <w:rFonts w:ascii="Times New Roman" w:hAnsi="Times New Roman" w:cs="Times New Roman"/>
          <w:color w:val="000000" w:themeColor="text1"/>
          <w:sz w:val="24"/>
          <w:szCs w:val="24"/>
        </w:rPr>
        <w:t>, one observes no meaningful difference in the achievement of transfer-level English competency</w:t>
      </w:r>
      <w:r>
        <w:rPr>
          <w:rFonts w:ascii="Times New Roman" w:hAnsi="Times New Roman" w:cs="Times New Roman"/>
          <w:color w:val="000000" w:themeColor="text1"/>
          <w:sz w:val="24"/>
          <w:szCs w:val="24"/>
        </w:rPr>
        <w:t xml:space="preserve"> between students on the </w:t>
      </w:r>
      <w:r w:rsidRPr="00EF4FE2">
        <w:rPr>
          <w:rFonts w:ascii="Times New Roman" w:hAnsi="Times New Roman" w:cs="Times New Roman"/>
          <w:color w:val="000000" w:themeColor="text1"/>
          <w:sz w:val="24"/>
          <w:szCs w:val="24"/>
        </w:rPr>
        <w:t>LRNC B510</w:t>
      </w:r>
      <w:r w:rsidRPr="00EF4FE2">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w:t>
      </w:r>
      <w:r w:rsidRPr="00EF4FE2">
        <w:rPr>
          <w:rFonts w:ascii="Times New Roman" w:hAnsi="Times New Roman" w:cs="Times New Roman"/>
          <w:color w:val="000000" w:themeColor="text1"/>
          <w:sz w:val="24"/>
          <w:szCs w:val="24"/>
        </w:rPr>
        <w:t>B510</w:t>
      </w:r>
      <w:r w:rsidRPr="00EF4FE2">
        <w:rPr>
          <w:rFonts w:ascii="Times New Roman" w:hAnsi="Times New Roman" w:cs="Times New Roman"/>
          <w:i/>
          <w:color w:val="000000" w:themeColor="text1"/>
          <w:sz w:val="24"/>
          <w:szCs w:val="24"/>
        </w:rPr>
        <w:t>s</w:t>
      </w:r>
      <w:r w:rsidRPr="0072729B">
        <w:rPr>
          <w:rFonts w:ascii="Times New Roman" w:hAnsi="Times New Roman" w:cs="Times New Roman"/>
          <w:color w:val="000000" w:themeColor="text1"/>
          <w:sz w:val="24"/>
          <w:szCs w:val="24"/>
        </w:rPr>
        <w:t xml:space="preserve"> pathway</w:t>
      </w:r>
      <w:r>
        <w:rPr>
          <w:rFonts w:ascii="Times New Roman" w:hAnsi="Times New Roman" w:cs="Times New Roman"/>
          <w:color w:val="000000" w:themeColor="text1"/>
          <w:sz w:val="24"/>
          <w:szCs w:val="24"/>
        </w:rPr>
        <w:t xml:space="preserve"> and the Engl B50-B1A pathway</w:t>
      </w:r>
      <w:r w:rsidR="00810753">
        <w:rPr>
          <w:rFonts w:ascii="Times New Roman" w:hAnsi="Times New Roman" w:cs="Times New Roman"/>
          <w:color w:val="000000" w:themeColor="text1"/>
          <w:sz w:val="24"/>
          <w:szCs w:val="24"/>
        </w:rPr>
        <w:t>.  This suggests that the higher rate of achievement of transfer-level English competency</w:t>
      </w:r>
      <w:r w:rsidR="002A167B">
        <w:rPr>
          <w:rFonts w:ascii="Times New Roman" w:hAnsi="Times New Roman" w:cs="Times New Roman"/>
          <w:color w:val="000000" w:themeColor="text1"/>
          <w:sz w:val="24"/>
          <w:szCs w:val="24"/>
        </w:rPr>
        <w:t xml:space="preserve"> among LRNC B510 </w:t>
      </w:r>
      <w:r w:rsidR="00BF574A">
        <w:rPr>
          <w:rFonts w:ascii="Times New Roman" w:hAnsi="Times New Roman" w:cs="Times New Roman"/>
          <w:color w:val="000000" w:themeColor="text1"/>
          <w:sz w:val="24"/>
          <w:szCs w:val="24"/>
        </w:rPr>
        <w:t xml:space="preserve">students in subsamples #1 and #2 </w:t>
      </w:r>
      <w:r w:rsidR="002A167B">
        <w:rPr>
          <w:rFonts w:ascii="Times New Roman" w:hAnsi="Times New Roman" w:cs="Times New Roman"/>
          <w:color w:val="000000" w:themeColor="text1"/>
          <w:sz w:val="24"/>
          <w:szCs w:val="24"/>
        </w:rPr>
        <w:t xml:space="preserve">is driven </w:t>
      </w:r>
      <w:r w:rsidR="00BF574A">
        <w:rPr>
          <w:rFonts w:ascii="Times New Roman" w:hAnsi="Times New Roman" w:cs="Times New Roman"/>
          <w:color w:val="000000" w:themeColor="text1"/>
          <w:sz w:val="24"/>
          <w:szCs w:val="24"/>
        </w:rPr>
        <w:t>largely</w:t>
      </w:r>
      <w:r w:rsidR="002A167B">
        <w:rPr>
          <w:rFonts w:ascii="Times New Roman" w:hAnsi="Times New Roman" w:cs="Times New Roman"/>
          <w:color w:val="000000" w:themeColor="text1"/>
          <w:sz w:val="24"/>
          <w:szCs w:val="24"/>
        </w:rPr>
        <w:t xml:space="preserve"> by </w:t>
      </w:r>
      <w:r w:rsidR="002A167B">
        <w:rPr>
          <w:rFonts w:ascii="Times New Roman" w:hAnsi="Times New Roman" w:cs="Times New Roman"/>
          <w:color w:val="000000" w:themeColor="text1"/>
          <w:sz w:val="24"/>
          <w:szCs w:val="24"/>
        </w:rPr>
        <w:lastRenderedPageBreak/>
        <w:t>the comparatively high rate of first-attempt success observed among students in the first half of LRNC B510</w:t>
      </w:r>
      <w:r w:rsidR="00BF574A">
        <w:rPr>
          <w:rFonts w:ascii="Times New Roman" w:hAnsi="Times New Roman" w:cs="Times New Roman"/>
          <w:color w:val="000000" w:themeColor="text1"/>
          <w:sz w:val="24"/>
          <w:szCs w:val="24"/>
        </w:rPr>
        <w:t xml:space="preserve"> and the comparatively high rate at which students who are successful in the first half of LRNC B510 continue on to a second course</w:t>
      </w:r>
      <w:r w:rsidR="002A167B">
        <w:rPr>
          <w:rFonts w:ascii="Times New Roman" w:hAnsi="Times New Roman" w:cs="Times New Roman"/>
          <w:color w:val="000000" w:themeColor="text1"/>
          <w:sz w:val="24"/>
          <w:szCs w:val="24"/>
        </w:rPr>
        <w:t>.</w:t>
      </w:r>
    </w:p>
    <w:p w14:paraId="64BF2E34" w14:textId="77777777" w:rsidR="009A0B9B" w:rsidRDefault="009A0B9B" w:rsidP="00A73C63">
      <w:pPr>
        <w:spacing w:after="0" w:line="240" w:lineRule="auto"/>
        <w:rPr>
          <w:rFonts w:ascii="Times New Roman" w:hAnsi="Times New Roman" w:cs="Times New Roman"/>
          <w:color w:val="000000" w:themeColor="text1"/>
          <w:sz w:val="24"/>
          <w:szCs w:val="24"/>
        </w:rPr>
      </w:pPr>
    </w:p>
    <w:p w14:paraId="5002BB33" w14:textId="2492BA99" w:rsidR="003F5F4C" w:rsidRPr="0072729B" w:rsidRDefault="003F5F4C">
      <w:pPr>
        <w:spacing w:after="0" w:line="240" w:lineRule="auto"/>
        <w:rPr>
          <w:rFonts w:ascii="Times New Roman" w:hAnsi="Times New Roman" w:cs="Times New Roman"/>
          <w:b/>
          <w:color w:val="000000" w:themeColor="text1"/>
          <w:sz w:val="24"/>
          <w:szCs w:val="24"/>
        </w:rPr>
      </w:pPr>
      <w:r w:rsidRPr="0072729B">
        <w:rPr>
          <w:rFonts w:ascii="Times New Roman" w:hAnsi="Times New Roman" w:cs="Times New Roman"/>
          <w:b/>
          <w:color w:val="000000" w:themeColor="text1"/>
          <w:sz w:val="24"/>
          <w:szCs w:val="24"/>
        </w:rPr>
        <w:t xml:space="preserve">SECTION </w:t>
      </w:r>
      <w:r w:rsidR="00641DBB" w:rsidRPr="00483A16">
        <w:rPr>
          <w:rFonts w:ascii="Times New Roman" w:hAnsi="Times New Roman" w:cs="Times New Roman"/>
          <w:b/>
          <w:color w:val="000000" w:themeColor="text1"/>
          <w:sz w:val="24"/>
          <w:szCs w:val="24"/>
        </w:rPr>
        <w:t>7</w:t>
      </w:r>
      <w:r w:rsidRPr="0072729B">
        <w:rPr>
          <w:rFonts w:ascii="Times New Roman" w:hAnsi="Times New Roman" w:cs="Times New Roman"/>
          <w:b/>
          <w:color w:val="000000" w:themeColor="text1"/>
          <w:sz w:val="24"/>
          <w:szCs w:val="24"/>
        </w:rPr>
        <w:t xml:space="preserve">:  </w:t>
      </w:r>
      <w:r w:rsidR="001C00B5" w:rsidRPr="00483A16">
        <w:rPr>
          <w:rFonts w:ascii="Times New Roman" w:hAnsi="Times New Roman" w:cs="Times New Roman"/>
          <w:b/>
          <w:color w:val="000000" w:themeColor="text1"/>
          <w:sz w:val="24"/>
          <w:szCs w:val="24"/>
        </w:rPr>
        <w:t>DEVELOPMENTAL VERSUS TRANSFER-LEVEL ENTRY POINTS</w:t>
      </w:r>
    </w:p>
    <w:p w14:paraId="7261AC61" w14:textId="77777777" w:rsidR="003F5F4C" w:rsidRDefault="003F5F4C">
      <w:pPr>
        <w:spacing w:after="0" w:line="240" w:lineRule="auto"/>
        <w:rPr>
          <w:rFonts w:ascii="Times New Roman" w:hAnsi="Times New Roman" w:cs="Times New Roman"/>
          <w:color w:val="000000" w:themeColor="text1"/>
          <w:sz w:val="24"/>
          <w:szCs w:val="24"/>
        </w:rPr>
      </w:pPr>
    </w:p>
    <w:p w14:paraId="2123A793" w14:textId="77777777" w:rsidR="00F13CBA" w:rsidRPr="0072729B" w:rsidRDefault="00F13CBA" w:rsidP="00F13CBA">
      <w:pPr>
        <w:spacing w:after="0" w:line="240" w:lineRule="auto"/>
        <w:rPr>
          <w:rFonts w:ascii="Times New Roman" w:hAnsi="Times New Roman" w:cs="Times New Roman"/>
          <w:sz w:val="24"/>
          <w:szCs w:val="24"/>
        </w:rPr>
      </w:pPr>
      <w:r w:rsidRPr="0072729B">
        <w:rPr>
          <w:rFonts w:ascii="Times New Roman" w:hAnsi="Times New Roman" w:cs="Times New Roman"/>
          <w:sz w:val="24"/>
          <w:szCs w:val="24"/>
          <w:u w:val="single"/>
        </w:rPr>
        <w:t>Question</w:t>
      </w:r>
    </w:p>
    <w:p w14:paraId="6FE081AD" w14:textId="77777777" w:rsidR="00F13CBA" w:rsidRPr="0072729B" w:rsidRDefault="00F13CBA" w:rsidP="00F13CBA">
      <w:pPr>
        <w:spacing w:after="0" w:line="240" w:lineRule="auto"/>
        <w:rPr>
          <w:rFonts w:ascii="Times New Roman" w:hAnsi="Times New Roman" w:cs="Times New Roman"/>
          <w:sz w:val="24"/>
          <w:szCs w:val="24"/>
        </w:rPr>
      </w:pPr>
    </w:p>
    <w:p w14:paraId="1F678AFB" w14:textId="607078C5" w:rsidR="00247061" w:rsidRPr="0072729B" w:rsidRDefault="00F13CBA" w:rsidP="00F13CBA">
      <w:pPr>
        <w:spacing w:after="0" w:line="240" w:lineRule="auto"/>
        <w:rPr>
          <w:rFonts w:ascii="Times New Roman" w:hAnsi="Times New Roman" w:cs="Times New Roman"/>
          <w:sz w:val="24"/>
          <w:szCs w:val="24"/>
        </w:rPr>
      </w:pPr>
      <w:r w:rsidRPr="0072729B">
        <w:rPr>
          <w:rFonts w:ascii="Times New Roman" w:hAnsi="Times New Roman" w:cs="Times New Roman"/>
          <w:sz w:val="24"/>
          <w:szCs w:val="24"/>
        </w:rPr>
        <w:t>The results of the Multiple Measures Assessment and Placement (MMAP) research and AB705 have focused attention on the important role of high school achievement in assessing students’ readiness for math and English coursework</w:t>
      </w:r>
      <w:r w:rsidR="00403016" w:rsidRPr="0072729B">
        <w:rPr>
          <w:rFonts w:ascii="Times New Roman" w:hAnsi="Times New Roman" w:cs="Times New Roman"/>
          <w:sz w:val="24"/>
          <w:szCs w:val="24"/>
        </w:rPr>
        <w:t xml:space="preserve">.  </w:t>
      </w:r>
      <w:r w:rsidRPr="0072729B">
        <w:rPr>
          <w:rFonts w:ascii="Times New Roman" w:hAnsi="Times New Roman" w:cs="Times New Roman"/>
          <w:sz w:val="24"/>
          <w:szCs w:val="24"/>
        </w:rPr>
        <w:t xml:space="preserve">In turn, it is important to consider how students of similar levels of high school achievement fair when they enter the math or English curriculum </w:t>
      </w:r>
      <w:r w:rsidR="00175642">
        <w:rPr>
          <w:rFonts w:ascii="Times New Roman" w:hAnsi="Times New Roman" w:cs="Times New Roman"/>
          <w:sz w:val="24"/>
          <w:szCs w:val="24"/>
        </w:rPr>
        <w:t xml:space="preserve">at </w:t>
      </w:r>
      <w:r w:rsidRPr="0072729B">
        <w:rPr>
          <w:rFonts w:ascii="Times New Roman" w:hAnsi="Times New Roman" w:cs="Times New Roman"/>
          <w:sz w:val="24"/>
          <w:szCs w:val="24"/>
        </w:rPr>
        <w:t xml:space="preserve">different </w:t>
      </w:r>
      <w:r w:rsidR="00175642">
        <w:rPr>
          <w:rFonts w:ascii="Times New Roman" w:hAnsi="Times New Roman" w:cs="Times New Roman"/>
          <w:sz w:val="24"/>
          <w:szCs w:val="24"/>
        </w:rPr>
        <w:t>levels of coursework</w:t>
      </w:r>
      <w:r w:rsidRPr="0072729B">
        <w:rPr>
          <w:rFonts w:ascii="Times New Roman" w:hAnsi="Times New Roman" w:cs="Times New Roman"/>
          <w:sz w:val="24"/>
          <w:szCs w:val="24"/>
        </w:rPr>
        <w:t xml:space="preserve">, whether developmental or </w:t>
      </w:r>
      <w:r w:rsidR="001C00B5">
        <w:rPr>
          <w:rFonts w:ascii="Times New Roman" w:hAnsi="Times New Roman" w:cs="Times New Roman"/>
          <w:sz w:val="24"/>
          <w:szCs w:val="24"/>
        </w:rPr>
        <w:t>transfer</w:t>
      </w:r>
      <w:r w:rsidRPr="0072729B">
        <w:rPr>
          <w:rFonts w:ascii="Times New Roman" w:hAnsi="Times New Roman" w:cs="Times New Roman"/>
          <w:sz w:val="24"/>
          <w:szCs w:val="24"/>
        </w:rPr>
        <w:t xml:space="preserve">-level. </w:t>
      </w:r>
      <w:r w:rsidR="001C00B5">
        <w:rPr>
          <w:rFonts w:ascii="Times New Roman" w:hAnsi="Times New Roman" w:cs="Times New Roman"/>
          <w:sz w:val="24"/>
          <w:szCs w:val="24"/>
        </w:rPr>
        <w:t xml:space="preserve"> In the two sections that follow, I compare selected outcomes of students who entered the math or English curriculum through developmental versus transfer-level entry points, while controlling for differences in high school achievement.</w:t>
      </w:r>
    </w:p>
    <w:p w14:paraId="049A0223" w14:textId="31425174" w:rsidR="00247061" w:rsidRDefault="00247061" w:rsidP="00F13CBA">
      <w:pPr>
        <w:spacing w:after="0" w:line="240" w:lineRule="auto"/>
        <w:rPr>
          <w:rFonts w:ascii="Times New Roman" w:hAnsi="Times New Roman" w:cs="Times New Roman"/>
          <w:sz w:val="24"/>
          <w:szCs w:val="24"/>
        </w:rPr>
      </w:pPr>
    </w:p>
    <w:p w14:paraId="0507D6D7" w14:textId="67D33BBF" w:rsidR="001C00B5" w:rsidRPr="00347697" w:rsidRDefault="001C00B5" w:rsidP="001C00B5">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7.1</w:t>
      </w:r>
      <w:r w:rsidRPr="00C92B8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Mathematics</w:t>
      </w:r>
    </w:p>
    <w:p w14:paraId="1746EC36" w14:textId="59EE37BE" w:rsidR="001C00B5" w:rsidRDefault="001C00B5" w:rsidP="00F13CBA">
      <w:pPr>
        <w:spacing w:after="0" w:line="240" w:lineRule="auto"/>
        <w:rPr>
          <w:rFonts w:ascii="Times New Roman" w:hAnsi="Times New Roman" w:cs="Times New Roman"/>
          <w:sz w:val="24"/>
          <w:szCs w:val="24"/>
        </w:rPr>
      </w:pPr>
    </w:p>
    <w:p w14:paraId="22DD4CBE" w14:textId="1AC156FA" w:rsidR="001C00B5" w:rsidRPr="0072729B" w:rsidRDefault="001C00B5" w:rsidP="00F13CBA">
      <w:pPr>
        <w:spacing w:after="0" w:line="240" w:lineRule="auto"/>
        <w:rPr>
          <w:rFonts w:ascii="Times New Roman" w:hAnsi="Times New Roman" w:cs="Times New Roman"/>
          <w:sz w:val="24"/>
          <w:szCs w:val="24"/>
          <w:u w:val="single"/>
        </w:rPr>
      </w:pPr>
      <w:r w:rsidRPr="0072729B">
        <w:rPr>
          <w:rFonts w:ascii="Times New Roman" w:hAnsi="Times New Roman" w:cs="Times New Roman"/>
          <w:sz w:val="24"/>
          <w:szCs w:val="24"/>
          <w:u w:val="single"/>
        </w:rPr>
        <w:t>Questions</w:t>
      </w:r>
    </w:p>
    <w:p w14:paraId="06328645" w14:textId="77777777" w:rsidR="001C00B5" w:rsidRPr="0072729B" w:rsidRDefault="001C00B5" w:rsidP="00F13CBA">
      <w:pPr>
        <w:spacing w:after="0" w:line="240" w:lineRule="auto"/>
        <w:rPr>
          <w:rFonts w:ascii="Times New Roman" w:hAnsi="Times New Roman" w:cs="Times New Roman"/>
          <w:sz w:val="24"/>
          <w:szCs w:val="24"/>
        </w:rPr>
      </w:pPr>
    </w:p>
    <w:p w14:paraId="2350B5A2" w14:textId="77777777" w:rsidR="00247061" w:rsidRPr="0072729B" w:rsidRDefault="00247061" w:rsidP="00247061">
      <w:pPr>
        <w:spacing w:after="0" w:line="240" w:lineRule="auto"/>
        <w:rPr>
          <w:rFonts w:ascii="Times New Roman" w:hAnsi="Times New Roman" w:cs="Times New Roman"/>
          <w:color w:val="000000" w:themeColor="text1"/>
          <w:sz w:val="24"/>
          <w:szCs w:val="24"/>
        </w:rPr>
      </w:pPr>
      <w:r w:rsidRPr="0072729B">
        <w:rPr>
          <w:rFonts w:ascii="Times New Roman" w:hAnsi="Times New Roman" w:cs="Times New Roman"/>
          <w:color w:val="000000" w:themeColor="text1"/>
          <w:sz w:val="24"/>
          <w:szCs w:val="24"/>
        </w:rPr>
        <w:t>This section poses the following questions:</w:t>
      </w:r>
    </w:p>
    <w:p w14:paraId="6A54D52D" w14:textId="55D605CA" w:rsidR="00247061" w:rsidRPr="0072729B" w:rsidRDefault="00247061" w:rsidP="00EF6CD7">
      <w:pPr>
        <w:pStyle w:val="ListParagraph"/>
        <w:numPr>
          <w:ilvl w:val="0"/>
          <w:numId w:val="16"/>
        </w:numPr>
        <w:spacing w:after="0" w:line="240" w:lineRule="auto"/>
        <w:rPr>
          <w:rFonts w:ascii="Times New Roman" w:hAnsi="Times New Roman" w:cs="Times New Roman"/>
          <w:color w:val="000000" w:themeColor="text1"/>
          <w:sz w:val="24"/>
          <w:szCs w:val="24"/>
        </w:rPr>
      </w:pPr>
      <w:r w:rsidRPr="0072729B">
        <w:rPr>
          <w:rFonts w:ascii="Times New Roman" w:hAnsi="Times New Roman" w:cs="Times New Roman"/>
          <w:color w:val="000000" w:themeColor="text1"/>
          <w:sz w:val="24"/>
          <w:szCs w:val="24"/>
        </w:rPr>
        <w:t xml:space="preserve">How is high school </w:t>
      </w:r>
      <w:r w:rsidRPr="0072729B">
        <w:rPr>
          <w:rFonts w:ascii="Times New Roman" w:hAnsi="Times New Roman" w:cs="Times New Roman"/>
          <w:sz w:val="24"/>
          <w:szCs w:val="24"/>
        </w:rPr>
        <w:t>achievement</w:t>
      </w:r>
      <w:r w:rsidR="001C00B5">
        <w:rPr>
          <w:rFonts w:ascii="Times New Roman" w:hAnsi="Times New Roman" w:cs="Times New Roman"/>
          <w:sz w:val="24"/>
          <w:szCs w:val="24"/>
        </w:rPr>
        <w:t xml:space="preserve"> </w:t>
      </w:r>
      <w:r w:rsidR="001C00B5" w:rsidRPr="006C04FB">
        <w:rPr>
          <w:rFonts w:ascii="Times New Roman" w:hAnsi="Times New Roman" w:cs="Times New Roman"/>
          <w:color w:val="000000" w:themeColor="text1"/>
          <w:sz w:val="24"/>
          <w:szCs w:val="24"/>
        </w:rPr>
        <w:t>associated with entry point to the math curriculum</w:t>
      </w:r>
      <w:r w:rsidRPr="0072729B">
        <w:rPr>
          <w:rFonts w:ascii="Times New Roman" w:hAnsi="Times New Roman" w:cs="Times New Roman"/>
          <w:sz w:val="24"/>
          <w:szCs w:val="24"/>
        </w:rPr>
        <w:t>,</w:t>
      </w:r>
      <w:r w:rsidR="001C00B5">
        <w:rPr>
          <w:rFonts w:ascii="Times New Roman" w:hAnsi="Times New Roman" w:cs="Times New Roman"/>
          <w:sz w:val="24"/>
          <w:szCs w:val="24"/>
        </w:rPr>
        <w:t xml:space="preserve"> focusing </w:t>
      </w:r>
      <w:r w:rsidR="00423143">
        <w:rPr>
          <w:rFonts w:ascii="Times New Roman" w:hAnsi="Times New Roman" w:cs="Times New Roman"/>
          <w:sz w:val="24"/>
          <w:szCs w:val="24"/>
        </w:rPr>
        <w:t xml:space="preserve">specifically on </w:t>
      </w:r>
      <w:r w:rsidRPr="0072729B">
        <w:rPr>
          <w:rFonts w:ascii="Times New Roman" w:hAnsi="Times New Roman" w:cs="Times New Roman"/>
          <w:sz w:val="24"/>
          <w:szCs w:val="24"/>
        </w:rPr>
        <w:t>cumulative high</w:t>
      </w:r>
      <w:r w:rsidR="00B029E6" w:rsidRPr="00DB3192">
        <w:rPr>
          <w:rFonts w:ascii="Times New Roman" w:hAnsi="Times New Roman" w:cs="Times New Roman"/>
          <w:sz w:val="24"/>
          <w:szCs w:val="24"/>
        </w:rPr>
        <w:t xml:space="preserve"> school grade point average (</w:t>
      </w:r>
      <w:r w:rsidRPr="0072729B">
        <w:rPr>
          <w:rFonts w:ascii="Times New Roman" w:hAnsi="Times New Roman" w:cs="Times New Roman"/>
          <w:sz w:val="24"/>
          <w:szCs w:val="24"/>
        </w:rPr>
        <w:t>GPA)</w:t>
      </w:r>
      <w:r w:rsidR="001C00B5">
        <w:rPr>
          <w:rFonts w:ascii="Times New Roman" w:hAnsi="Times New Roman" w:cs="Times New Roman"/>
          <w:sz w:val="24"/>
          <w:szCs w:val="24"/>
        </w:rPr>
        <w:t xml:space="preserve"> as the measure of high school achievement</w:t>
      </w:r>
      <w:r w:rsidRPr="0072729B">
        <w:rPr>
          <w:rFonts w:ascii="Times New Roman" w:hAnsi="Times New Roman" w:cs="Times New Roman"/>
          <w:color w:val="000000" w:themeColor="text1"/>
          <w:sz w:val="24"/>
          <w:szCs w:val="24"/>
        </w:rPr>
        <w:t>?</w:t>
      </w:r>
    </w:p>
    <w:p w14:paraId="53830A92" w14:textId="60A7061F" w:rsidR="00247061" w:rsidRPr="0072729B" w:rsidRDefault="00175642" w:rsidP="00EF6CD7">
      <w:pPr>
        <w:pStyle w:val="ListParagraph"/>
        <w:numPr>
          <w:ilvl w:val="0"/>
          <w:numId w:val="1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does the </w:t>
      </w:r>
      <w:r w:rsidR="00247061" w:rsidRPr="0072729B">
        <w:rPr>
          <w:rFonts w:ascii="Times New Roman" w:hAnsi="Times New Roman" w:cs="Times New Roman"/>
          <w:color w:val="000000" w:themeColor="text1"/>
          <w:sz w:val="24"/>
          <w:szCs w:val="24"/>
        </w:rPr>
        <w:t>one-year throughput</w:t>
      </w:r>
      <w:r w:rsidR="00247061" w:rsidRPr="0072729B">
        <w:rPr>
          <w:rStyle w:val="FootnoteReference"/>
          <w:rFonts w:ascii="Times New Roman" w:hAnsi="Times New Roman" w:cs="Times New Roman"/>
          <w:color w:val="000000" w:themeColor="text1"/>
          <w:sz w:val="24"/>
          <w:szCs w:val="24"/>
        </w:rPr>
        <w:footnoteReference w:id="6"/>
      </w:r>
      <w:r w:rsidR="00247061" w:rsidRPr="0072729B">
        <w:rPr>
          <w:rFonts w:ascii="Times New Roman" w:hAnsi="Times New Roman" w:cs="Times New Roman"/>
          <w:color w:val="000000" w:themeColor="text1"/>
          <w:sz w:val="24"/>
          <w:szCs w:val="24"/>
        </w:rPr>
        <w:t xml:space="preserve"> rate </w:t>
      </w:r>
      <w:r w:rsidRPr="0082328E">
        <w:rPr>
          <w:rFonts w:ascii="Times New Roman" w:hAnsi="Times New Roman" w:cs="Times New Roman"/>
          <w:color w:val="000000" w:themeColor="text1"/>
          <w:sz w:val="24"/>
          <w:szCs w:val="24"/>
        </w:rPr>
        <w:t>to associate- or transfer-level quantitative competency (combining associate- and transfer-level into a single outcome)</w:t>
      </w:r>
      <w:r>
        <w:rPr>
          <w:rFonts w:ascii="Times New Roman" w:hAnsi="Times New Roman" w:cs="Times New Roman"/>
          <w:color w:val="000000" w:themeColor="text1"/>
          <w:sz w:val="24"/>
          <w:szCs w:val="24"/>
        </w:rPr>
        <w:t xml:space="preserve"> vary across entry points to the curriculum when </w:t>
      </w:r>
      <w:r w:rsidR="00247061" w:rsidRPr="0072729B">
        <w:rPr>
          <w:rFonts w:ascii="Times New Roman" w:hAnsi="Times New Roman" w:cs="Times New Roman"/>
          <w:color w:val="000000" w:themeColor="text1"/>
          <w:sz w:val="24"/>
          <w:szCs w:val="24"/>
        </w:rPr>
        <w:t>students</w:t>
      </w:r>
      <w:r>
        <w:rPr>
          <w:rFonts w:ascii="Times New Roman" w:hAnsi="Times New Roman" w:cs="Times New Roman"/>
          <w:color w:val="000000" w:themeColor="text1"/>
          <w:sz w:val="24"/>
          <w:szCs w:val="24"/>
        </w:rPr>
        <w:t xml:space="preserve">’ </w:t>
      </w:r>
      <w:r w:rsidR="00247061" w:rsidRPr="0072729B">
        <w:rPr>
          <w:rFonts w:ascii="Times New Roman" w:hAnsi="Times New Roman" w:cs="Times New Roman"/>
          <w:color w:val="000000" w:themeColor="text1"/>
          <w:sz w:val="24"/>
          <w:szCs w:val="24"/>
        </w:rPr>
        <w:t>high school achievement</w:t>
      </w:r>
      <w:r>
        <w:rPr>
          <w:rFonts w:ascii="Times New Roman" w:hAnsi="Times New Roman" w:cs="Times New Roman"/>
          <w:color w:val="000000" w:themeColor="text1"/>
          <w:sz w:val="24"/>
          <w:szCs w:val="24"/>
        </w:rPr>
        <w:t xml:space="preserve"> is held constant</w:t>
      </w:r>
      <w:r w:rsidR="00247061" w:rsidRPr="0072729B">
        <w:rPr>
          <w:rFonts w:ascii="Times New Roman" w:hAnsi="Times New Roman" w:cs="Times New Roman"/>
          <w:color w:val="000000" w:themeColor="text1"/>
          <w:sz w:val="24"/>
          <w:szCs w:val="24"/>
        </w:rPr>
        <w:t>?</w:t>
      </w:r>
    </w:p>
    <w:p w14:paraId="65395A1B" w14:textId="69F01B70" w:rsidR="00247061" w:rsidRPr="0072729B" w:rsidRDefault="00175642" w:rsidP="00EF6CD7">
      <w:pPr>
        <w:pStyle w:val="ListParagraph"/>
        <w:numPr>
          <w:ilvl w:val="0"/>
          <w:numId w:val="1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does </w:t>
      </w:r>
      <w:r w:rsidR="00247061" w:rsidRPr="0072729B">
        <w:rPr>
          <w:rFonts w:ascii="Times New Roman" w:hAnsi="Times New Roman" w:cs="Times New Roman"/>
          <w:color w:val="000000" w:themeColor="text1"/>
          <w:sz w:val="24"/>
          <w:szCs w:val="24"/>
        </w:rPr>
        <w:t xml:space="preserve">the one-year throughput rate </w:t>
      </w:r>
      <w:r w:rsidRPr="0082328E">
        <w:rPr>
          <w:rFonts w:ascii="Times New Roman" w:hAnsi="Times New Roman" w:cs="Times New Roman"/>
          <w:color w:val="000000" w:themeColor="text1"/>
          <w:sz w:val="24"/>
          <w:szCs w:val="24"/>
        </w:rPr>
        <w:t>to transfer-level quantitative competency (distinct from associate-level competency)</w:t>
      </w:r>
      <w:r>
        <w:rPr>
          <w:rFonts w:ascii="Times New Roman" w:hAnsi="Times New Roman" w:cs="Times New Roman"/>
          <w:color w:val="000000" w:themeColor="text1"/>
          <w:sz w:val="24"/>
          <w:szCs w:val="24"/>
        </w:rPr>
        <w:t xml:space="preserve"> </w:t>
      </w:r>
      <w:r w:rsidR="006A4559">
        <w:rPr>
          <w:rFonts w:ascii="Times New Roman" w:hAnsi="Times New Roman" w:cs="Times New Roman"/>
          <w:color w:val="000000" w:themeColor="text1"/>
          <w:sz w:val="24"/>
          <w:szCs w:val="24"/>
        </w:rPr>
        <w:t xml:space="preserve">vary across entry points to the curriculum when </w:t>
      </w:r>
      <w:r w:rsidR="006A4559" w:rsidRPr="0082328E">
        <w:rPr>
          <w:rFonts w:ascii="Times New Roman" w:hAnsi="Times New Roman" w:cs="Times New Roman"/>
          <w:color w:val="000000" w:themeColor="text1"/>
          <w:sz w:val="24"/>
          <w:szCs w:val="24"/>
        </w:rPr>
        <w:t>students</w:t>
      </w:r>
      <w:r w:rsidR="006A4559">
        <w:rPr>
          <w:rFonts w:ascii="Times New Roman" w:hAnsi="Times New Roman" w:cs="Times New Roman"/>
          <w:color w:val="000000" w:themeColor="text1"/>
          <w:sz w:val="24"/>
          <w:szCs w:val="24"/>
        </w:rPr>
        <w:t xml:space="preserve">’ </w:t>
      </w:r>
      <w:r w:rsidR="006A4559" w:rsidRPr="0082328E">
        <w:rPr>
          <w:rFonts w:ascii="Times New Roman" w:hAnsi="Times New Roman" w:cs="Times New Roman"/>
          <w:color w:val="000000" w:themeColor="text1"/>
          <w:sz w:val="24"/>
          <w:szCs w:val="24"/>
        </w:rPr>
        <w:t>high school achievement</w:t>
      </w:r>
      <w:r w:rsidR="006A4559">
        <w:rPr>
          <w:rFonts w:ascii="Times New Roman" w:hAnsi="Times New Roman" w:cs="Times New Roman"/>
          <w:color w:val="000000" w:themeColor="text1"/>
          <w:sz w:val="24"/>
          <w:szCs w:val="24"/>
        </w:rPr>
        <w:t xml:space="preserve"> is held constant</w:t>
      </w:r>
      <w:r w:rsidR="00247061" w:rsidRPr="0072729B">
        <w:rPr>
          <w:rFonts w:ascii="Times New Roman" w:hAnsi="Times New Roman" w:cs="Times New Roman"/>
          <w:color w:val="000000" w:themeColor="text1"/>
          <w:sz w:val="24"/>
          <w:szCs w:val="24"/>
        </w:rPr>
        <w:t>?</w:t>
      </w:r>
    </w:p>
    <w:p w14:paraId="12DBAA6F" w14:textId="624B7A27" w:rsidR="00F13CBA" w:rsidRPr="0085342A" w:rsidRDefault="00F13CBA" w:rsidP="00F13CBA">
      <w:pPr>
        <w:spacing w:after="0" w:line="240" w:lineRule="auto"/>
        <w:rPr>
          <w:rFonts w:ascii="Times New Roman" w:hAnsi="Times New Roman" w:cs="Times New Roman"/>
          <w:sz w:val="24"/>
          <w:szCs w:val="24"/>
          <w:highlight w:val="yellow"/>
        </w:rPr>
      </w:pPr>
      <w:r w:rsidRPr="0085342A">
        <w:rPr>
          <w:rFonts w:ascii="Times New Roman" w:hAnsi="Times New Roman" w:cs="Times New Roman"/>
          <w:sz w:val="24"/>
          <w:szCs w:val="24"/>
          <w:highlight w:val="yellow"/>
        </w:rPr>
        <w:t xml:space="preserve"> </w:t>
      </w:r>
    </w:p>
    <w:p w14:paraId="129BA8CE" w14:textId="48F261DA" w:rsidR="001C00B5" w:rsidRPr="006C04FB" w:rsidRDefault="001C00B5" w:rsidP="001C00B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Analytic Strategy</w:t>
      </w:r>
    </w:p>
    <w:p w14:paraId="1AFAA614" w14:textId="0E67DCF4" w:rsidR="001C00B5" w:rsidRPr="0072729B" w:rsidRDefault="001C00B5" w:rsidP="00F13CBA">
      <w:pPr>
        <w:spacing w:after="0" w:line="240" w:lineRule="auto"/>
        <w:rPr>
          <w:rFonts w:ascii="Times New Roman" w:hAnsi="Times New Roman" w:cs="Times New Roman"/>
          <w:sz w:val="24"/>
          <w:szCs w:val="24"/>
        </w:rPr>
      </w:pPr>
    </w:p>
    <w:p w14:paraId="1BB951EB" w14:textId="3279A09B" w:rsidR="00483A16" w:rsidRDefault="001C00B5" w:rsidP="00F13CBA">
      <w:pPr>
        <w:spacing w:after="0" w:line="240" w:lineRule="auto"/>
        <w:rPr>
          <w:rFonts w:ascii="Times New Roman" w:hAnsi="Times New Roman" w:cs="Times New Roman"/>
          <w:sz w:val="24"/>
          <w:szCs w:val="24"/>
        </w:rPr>
      </w:pPr>
      <w:r w:rsidRPr="0072729B">
        <w:rPr>
          <w:rFonts w:ascii="Times New Roman" w:hAnsi="Times New Roman" w:cs="Times New Roman"/>
          <w:sz w:val="24"/>
          <w:szCs w:val="24"/>
        </w:rPr>
        <w:t>I use</w:t>
      </w:r>
      <w:r w:rsidR="00436FD7">
        <w:rPr>
          <w:rFonts w:ascii="Times New Roman" w:hAnsi="Times New Roman" w:cs="Times New Roman"/>
          <w:sz w:val="24"/>
          <w:szCs w:val="24"/>
        </w:rPr>
        <w:t>d</w:t>
      </w:r>
      <w:r>
        <w:rPr>
          <w:rFonts w:ascii="Times New Roman" w:hAnsi="Times New Roman" w:cs="Times New Roman"/>
          <w:sz w:val="24"/>
          <w:szCs w:val="24"/>
        </w:rPr>
        <w:t xml:space="preserve"> logistic regression to analyze the association</w:t>
      </w:r>
      <w:r w:rsidR="006A4559">
        <w:rPr>
          <w:rFonts w:ascii="Times New Roman" w:hAnsi="Times New Roman" w:cs="Times New Roman"/>
          <w:sz w:val="24"/>
          <w:szCs w:val="24"/>
        </w:rPr>
        <w:t>s</w:t>
      </w:r>
      <w:r>
        <w:rPr>
          <w:rFonts w:ascii="Times New Roman" w:hAnsi="Times New Roman" w:cs="Times New Roman"/>
          <w:sz w:val="24"/>
          <w:szCs w:val="24"/>
        </w:rPr>
        <w:t xml:space="preserve"> between entry point to the mathematics curriculum </w:t>
      </w:r>
      <w:r w:rsidR="009F7821">
        <w:rPr>
          <w:rFonts w:ascii="Times New Roman" w:hAnsi="Times New Roman" w:cs="Times New Roman"/>
          <w:sz w:val="24"/>
          <w:szCs w:val="24"/>
        </w:rPr>
        <w:t xml:space="preserve">(i.e., first quantitative course) </w:t>
      </w:r>
      <w:r>
        <w:rPr>
          <w:rFonts w:ascii="Times New Roman" w:hAnsi="Times New Roman" w:cs="Times New Roman"/>
          <w:sz w:val="24"/>
          <w:szCs w:val="24"/>
        </w:rPr>
        <w:t xml:space="preserve">and two </w:t>
      </w:r>
      <w:r w:rsidR="00951AF6">
        <w:rPr>
          <w:rFonts w:ascii="Times New Roman" w:hAnsi="Times New Roman" w:cs="Times New Roman"/>
          <w:sz w:val="24"/>
          <w:szCs w:val="24"/>
        </w:rPr>
        <w:t xml:space="preserve">separate </w:t>
      </w:r>
      <w:r>
        <w:rPr>
          <w:rFonts w:ascii="Times New Roman" w:hAnsi="Times New Roman" w:cs="Times New Roman"/>
          <w:sz w:val="24"/>
          <w:szCs w:val="24"/>
        </w:rPr>
        <w:t>outcomes</w:t>
      </w:r>
      <w:r w:rsidR="00951AF6">
        <w:rPr>
          <w:rFonts w:ascii="Times New Roman" w:hAnsi="Times New Roman" w:cs="Times New Roman"/>
          <w:sz w:val="24"/>
          <w:szCs w:val="24"/>
        </w:rPr>
        <w:t xml:space="preserve">.  The first outcome is </w:t>
      </w:r>
      <w:r>
        <w:rPr>
          <w:rFonts w:ascii="Times New Roman" w:hAnsi="Times New Roman" w:cs="Times New Roman"/>
          <w:sz w:val="24"/>
          <w:szCs w:val="24"/>
        </w:rPr>
        <w:t xml:space="preserve">achieving associate- or transfer-level quantitative competency </w:t>
      </w:r>
      <w:r w:rsidR="00951AF6">
        <w:rPr>
          <w:rFonts w:ascii="Times New Roman" w:hAnsi="Times New Roman" w:cs="Times New Roman"/>
          <w:sz w:val="24"/>
          <w:szCs w:val="24"/>
        </w:rPr>
        <w:t xml:space="preserve">(either or both) </w:t>
      </w:r>
      <w:r>
        <w:rPr>
          <w:rFonts w:ascii="Times New Roman" w:hAnsi="Times New Roman" w:cs="Times New Roman"/>
          <w:sz w:val="24"/>
          <w:szCs w:val="24"/>
        </w:rPr>
        <w:t xml:space="preserve">within one calendar year of </w:t>
      </w:r>
      <w:r w:rsidR="00951AF6">
        <w:rPr>
          <w:rFonts w:ascii="Times New Roman" w:hAnsi="Times New Roman" w:cs="Times New Roman"/>
          <w:sz w:val="24"/>
          <w:szCs w:val="24"/>
        </w:rPr>
        <w:t>when a student began his/her first quantitative course at BC.  The second is achieving transfer-level competency (as distinct from associate-level) within one calendar year of when a student began his/her first quantitative course at BC</w:t>
      </w:r>
      <w:r w:rsidR="00483A16">
        <w:rPr>
          <w:rFonts w:ascii="Times New Roman" w:hAnsi="Times New Roman" w:cs="Times New Roman"/>
          <w:sz w:val="24"/>
          <w:szCs w:val="24"/>
        </w:rPr>
        <w:t xml:space="preserve">.  The sample employed to analyze these two outcomes was described </w:t>
      </w:r>
      <w:r w:rsidR="006A4559">
        <w:rPr>
          <w:rFonts w:ascii="Times New Roman" w:hAnsi="Times New Roman" w:cs="Times New Roman"/>
          <w:sz w:val="24"/>
          <w:szCs w:val="24"/>
        </w:rPr>
        <w:t xml:space="preserve">earlier </w:t>
      </w:r>
      <w:r w:rsidR="00483A16">
        <w:rPr>
          <w:rFonts w:ascii="Times New Roman" w:hAnsi="Times New Roman" w:cs="Times New Roman"/>
          <w:sz w:val="24"/>
          <w:szCs w:val="24"/>
        </w:rPr>
        <w:t xml:space="preserve">in Section 4.4.  </w:t>
      </w:r>
    </w:p>
    <w:p w14:paraId="34AB7AA2" w14:textId="77777777" w:rsidR="00483A16" w:rsidRDefault="00483A16" w:rsidP="00F13CBA">
      <w:pPr>
        <w:spacing w:after="0" w:line="240" w:lineRule="auto"/>
        <w:rPr>
          <w:rFonts w:ascii="Times New Roman" w:hAnsi="Times New Roman" w:cs="Times New Roman"/>
          <w:sz w:val="24"/>
          <w:szCs w:val="24"/>
        </w:rPr>
      </w:pPr>
    </w:p>
    <w:p w14:paraId="41942507" w14:textId="015C9863" w:rsidR="001C00B5" w:rsidRDefault="00483A16" w:rsidP="00F13CBA">
      <w:pPr>
        <w:spacing w:after="0" w:line="240" w:lineRule="auto"/>
        <w:rPr>
          <w:rFonts w:ascii="Times New Roman" w:hAnsi="Times New Roman" w:cs="Times New Roman"/>
          <w:sz w:val="24"/>
          <w:szCs w:val="24"/>
        </w:rPr>
      </w:pPr>
      <w:r>
        <w:rPr>
          <w:rFonts w:ascii="Times New Roman" w:hAnsi="Times New Roman" w:cs="Times New Roman"/>
          <w:sz w:val="24"/>
          <w:szCs w:val="24"/>
        </w:rPr>
        <w:t>The basic model employed in this analysis is presented below.</w:t>
      </w:r>
    </w:p>
    <w:p w14:paraId="77E121EA" w14:textId="1EFB545B" w:rsidR="00483A16" w:rsidRDefault="00483A16" w:rsidP="00F13CBA">
      <w:pPr>
        <w:spacing w:after="0" w:line="240" w:lineRule="auto"/>
        <w:rPr>
          <w:rFonts w:ascii="Times New Roman" w:hAnsi="Times New Roman" w:cs="Times New Roman"/>
          <w:sz w:val="24"/>
          <w:szCs w:val="24"/>
        </w:rPr>
      </w:pPr>
    </w:p>
    <w:p w14:paraId="68C21E06" w14:textId="77777777" w:rsidR="009F7821" w:rsidRPr="0072729B" w:rsidRDefault="0093541A" w:rsidP="00F13CBA">
      <w:pPr>
        <w:spacing w:after="0"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w:lastRenderedPageBreak/>
            <m:t>ln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Outcome</m:t>
                      </m:r>
                    </m:e>
                  </m:d>
                </m:num>
                <m:den>
                  <m:r>
                    <w:rPr>
                      <w:rFonts w:ascii="Cambria Math" w:hAnsi="Cambria Math" w:cs="Times New Roman"/>
                      <w:sz w:val="24"/>
                      <w:szCs w:val="24"/>
                    </w:rPr>
                    <m:t>1-P</m:t>
                  </m:r>
                  <m:d>
                    <m:dPr>
                      <m:ctrlPr>
                        <w:rPr>
                          <w:rFonts w:ascii="Cambria Math" w:hAnsi="Cambria Math" w:cs="Times New Roman"/>
                          <w:i/>
                          <w:sz w:val="24"/>
                          <w:szCs w:val="24"/>
                        </w:rPr>
                      </m:ctrlPr>
                    </m:dPr>
                    <m:e>
                      <m:r>
                        <w:rPr>
                          <w:rFonts w:ascii="Cambria Math" w:hAnsi="Cambria Math" w:cs="Times New Roman"/>
                          <w:sz w:val="24"/>
                          <w:szCs w:val="24"/>
                        </w:rPr>
                        <m:t>Outcome</m:t>
                      </m:r>
                    </m:e>
                  </m:d>
                </m:den>
              </m:f>
            </m:e>
          </m:d>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First Quant Course</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First Quant Course*HSGPA</m:t>
              </m:r>
            </m:e>
          </m:d>
        </m:oMath>
      </m:oMathPara>
    </w:p>
    <w:p w14:paraId="7E98420C" w14:textId="6D8D7ABB" w:rsidR="0093541A" w:rsidRPr="0093541A" w:rsidRDefault="0093541A" w:rsidP="009F7821">
      <w:pPr>
        <w:spacing w:after="0" w:line="240" w:lineRule="auto"/>
        <w:ind w:left="2520"/>
        <w:rPr>
          <w:rFonts w:ascii="Times New Roman" w:hAnsi="Times New Roman" w:cs="Times New Roman"/>
          <w:sz w:val="24"/>
          <w:szCs w:val="24"/>
          <w:highlight w:val="yellow"/>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First Quant Course*Math Scaled Score</m:t>
              </m:r>
            </m:e>
          </m:d>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Controls</m:t>
              </m:r>
            </m:e>
          </m:d>
        </m:oMath>
      </m:oMathPara>
    </w:p>
    <w:p w14:paraId="7CF597F4" w14:textId="66320FBC" w:rsidR="0093541A" w:rsidRDefault="0093541A" w:rsidP="00F13CBA">
      <w:pPr>
        <w:spacing w:after="0" w:line="240" w:lineRule="auto"/>
        <w:rPr>
          <w:rFonts w:ascii="Times New Roman" w:hAnsi="Times New Roman" w:cs="Times New Roman"/>
          <w:sz w:val="24"/>
          <w:szCs w:val="24"/>
          <w:highlight w:val="yellow"/>
        </w:rPr>
      </w:pPr>
    </w:p>
    <w:p w14:paraId="66EC9405" w14:textId="1836DEA6" w:rsidR="00632B82" w:rsidRDefault="00B16DFC" w:rsidP="00F13CBA">
      <w:pPr>
        <w:spacing w:after="0" w:line="240" w:lineRule="auto"/>
        <w:rPr>
          <w:rFonts w:ascii="Times New Roman" w:hAnsi="Times New Roman" w:cs="Times New Roman"/>
          <w:sz w:val="24"/>
          <w:szCs w:val="24"/>
        </w:rPr>
      </w:pPr>
      <w:r>
        <w:rPr>
          <w:rFonts w:ascii="Times New Roman" w:hAnsi="Times New Roman" w:cs="Times New Roman"/>
          <w:sz w:val="24"/>
          <w:szCs w:val="24"/>
        </w:rPr>
        <w:t>The left-hand side of the equation is the logged odds of the probability of the outcome of interest</w:t>
      </w:r>
      <w:r w:rsidR="00483A16">
        <w:rPr>
          <w:rFonts w:ascii="Times New Roman" w:hAnsi="Times New Roman" w:cs="Times New Roman"/>
          <w:sz w:val="24"/>
          <w:szCs w:val="24"/>
        </w:rPr>
        <w:t>, with each of the two outcomes analyzed separately</w:t>
      </w:r>
      <w:r>
        <w:rPr>
          <w:rFonts w:ascii="Times New Roman" w:hAnsi="Times New Roman" w:cs="Times New Roman"/>
          <w:sz w:val="24"/>
          <w:szCs w:val="24"/>
        </w:rPr>
        <w:t xml:space="preserve">.  The likelihood of each outcome is assumed to be, in part, a function of </w:t>
      </w:r>
      <w:r w:rsidR="003F52F5">
        <w:rPr>
          <w:rFonts w:ascii="Times New Roman" w:hAnsi="Times New Roman" w:cs="Times New Roman"/>
          <w:sz w:val="24"/>
          <w:szCs w:val="24"/>
        </w:rPr>
        <w:t xml:space="preserve">students’ </w:t>
      </w:r>
      <w:r>
        <w:rPr>
          <w:rFonts w:ascii="Times New Roman" w:hAnsi="Times New Roman" w:cs="Times New Roman"/>
          <w:sz w:val="24"/>
          <w:szCs w:val="24"/>
        </w:rPr>
        <w:t>first quantitative course</w:t>
      </w:r>
      <w:r w:rsidR="00013A92">
        <w:rPr>
          <w:rFonts w:ascii="Times New Roman" w:hAnsi="Times New Roman" w:cs="Times New Roman"/>
          <w:sz w:val="24"/>
          <w:szCs w:val="24"/>
        </w:rPr>
        <w:t xml:space="preserve"> (</w:t>
      </w:r>
      <w:r w:rsidR="00013A92" w:rsidRPr="0072729B">
        <w:rPr>
          <w:rFonts w:ascii="Times New Roman" w:hAnsi="Times New Roman" w:cs="Times New Roman"/>
          <w:i/>
          <w:sz w:val="24"/>
          <w:szCs w:val="24"/>
        </w:rPr>
        <w:t>k</w:t>
      </w:r>
      <w:r w:rsidR="00013A92">
        <w:rPr>
          <w:rFonts w:ascii="Times New Roman" w:hAnsi="Times New Roman" w:cs="Times New Roman"/>
          <w:sz w:val="24"/>
          <w:szCs w:val="24"/>
        </w:rPr>
        <w:t>).  F</w:t>
      </w:r>
      <w:r w:rsidR="00483A16">
        <w:rPr>
          <w:rFonts w:ascii="Times New Roman" w:hAnsi="Times New Roman" w:cs="Times New Roman"/>
          <w:sz w:val="24"/>
          <w:szCs w:val="24"/>
        </w:rPr>
        <w:t xml:space="preserve">irst </w:t>
      </w:r>
      <w:r w:rsidR="00013A92">
        <w:rPr>
          <w:rFonts w:ascii="Times New Roman" w:hAnsi="Times New Roman" w:cs="Times New Roman"/>
          <w:sz w:val="24"/>
          <w:szCs w:val="24"/>
        </w:rPr>
        <w:t xml:space="preserve">quantitative </w:t>
      </w:r>
      <w:r w:rsidR="00483A16">
        <w:rPr>
          <w:rFonts w:ascii="Times New Roman" w:hAnsi="Times New Roman" w:cs="Times New Roman"/>
          <w:sz w:val="24"/>
          <w:szCs w:val="24"/>
        </w:rPr>
        <w:t>courses considered in the analysis</w:t>
      </w:r>
      <w:r w:rsidR="00632B82">
        <w:rPr>
          <w:rFonts w:ascii="Times New Roman" w:hAnsi="Times New Roman" w:cs="Times New Roman"/>
          <w:sz w:val="24"/>
          <w:szCs w:val="24"/>
        </w:rPr>
        <w:t xml:space="preserve"> includ</w:t>
      </w:r>
      <w:r w:rsidR="00B029E6">
        <w:rPr>
          <w:rFonts w:ascii="Times New Roman" w:hAnsi="Times New Roman" w:cs="Times New Roman"/>
          <w:sz w:val="24"/>
          <w:szCs w:val="24"/>
        </w:rPr>
        <w:t>e</w:t>
      </w:r>
      <w:r w:rsidR="006A4559">
        <w:rPr>
          <w:rFonts w:ascii="Times New Roman" w:hAnsi="Times New Roman" w:cs="Times New Roman"/>
          <w:sz w:val="24"/>
          <w:szCs w:val="24"/>
        </w:rPr>
        <w:t xml:space="preserve"> the following</w:t>
      </w:r>
      <w:r w:rsidR="00483A16">
        <w:rPr>
          <w:rFonts w:ascii="Times New Roman" w:hAnsi="Times New Roman" w:cs="Times New Roman"/>
          <w:sz w:val="24"/>
          <w:szCs w:val="24"/>
        </w:rPr>
        <w:t xml:space="preserve">:  Math B60, Math B65, LRNC B530, Math B70, Math B1A, Math B22, and Psyc B5.  </w:t>
      </w:r>
    </w:p>
    <w:p w14:paraId="0A5DEBEC" w14:textId="77777777" w:rsidR="00632B82" w:rsidRDefault="00632B82" w:rsidP="00F13CBA">
      <w:pPr>
        <w:spacing w:after="0" w:line="240" w:lineRule="auto"/>
        <w:rPr>
          <w:rFonts w:ascii="Times New Roman" w:hAnsi="Times New Roman" w:cs="Times New Roman"/>
          <w:sz w:val="24"/>
          <w:szCs w:val="24"/>
        </w:rPr>
      </w:pPr>
    </w:p>
    <w:p w14:paraId="55D75376" w14:textId="367772F8" w:rsidR="00632B82" w:rsidRDefault="003F52F5" w:rsidP="00F13C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Cumulative high school </w:t>
      </w:r>
      <w:r w:rsidR="00632B82">
        <w:rPr>
          <w:rFonts w:ascii="Times New Roman" w:hAnsi="Times New Roman" w:cs="Times New Roman"/>
          <w:sz w:val="24"/>
          <w:szCs w:val="24"/>
        </w:rPr>
        <w:t>grade point average (HS</w:t>
      </w:r>
      <w:r>
        <w:rPr>
          <w:rFonts w:ascii="Times New Roman" w:hAnsi="Times New Roman" w:cs="Times New Roman"/>
          <w:sz w:val="24"/>
          <w:szCs w:val="24"/>
        </w:rPr>
        <w:t>GPA</w:t>
      </w:r>
      <w:r w:rsidR="00632B82">
        <w:rPr>
          <w:rFonts w:ascii="Times New Roman" w:hAnsi="Times New Roman" w:cs="Times New Roman"/>
          <w:sz w:val="24"/>
          <w:szCs w:val="24"/>
        </w:rPr>
        <w:t>)</w:t>
      </w:r>
      <w:r>
        <w:rPr>
          <w:rFonts w:ascii="Times New Roman" w:hAnsi="Times New Roman" w:cs="Times New Roman"/>
          <w:sz w:val="24"/>
          <w:szCs w:val="24"/>
        </w:rPr>
        <w:t xml:space="preserve"> also is assumed to influence the likelihood of the outcome, and this effect is </w:t>
      </w:r>
      <w:r w:rsidR="00632B82">
        <w:rPr>
          <w:rFonts w:ascii="Times New Roman" w:hAnsi="Times New Roman" w:cs="Times New Roman"/>
          <w:sz w:val="24"/>
          <w:szCs w:val="24"/>
        </w:rPr>
        <w:t>allowed</w:t>
      </w:r>
      <w:r w:rsidR="00483A16">
        <w:rPr>
          <w:rFonts w:ascii="Times New Roman" w:hAnsi="Times New Roman" w:cs="Times New Roman"/>
          <w:sz w:val="24"/>
          <w:szCs w:val="24"/>
        </w:rPr>
        <w:t xml:space="preserve"> </w:t>
      </w:r>
      <w:r>
        <w:rPr>
          <w:rFonts w:ascii="Times New Roman" w:hAnsi="Times New Roman" w:cs="Times New Roman"/>
          <w:sz w:val="24"/>
          <w:szCs w:val="24"/>
        </w:rPr>
        <w:t>to vary by first quantitative course</w:t>
      </w:r>
      <w:r w:rsidR="00632B82">
        <w:rPr>
          <w:rFonts w:ascii="Times New Roman" w:hAnsi="Times New Roman" w:cs="Times New Roman"/>
          <w:sz w:val="24"/>
          <w:szCs w:val="24"/>
        </w:rPr>
        <w:t xml:space="preserve">.  In other words, the relationship between the likelihood of the outcome and </w:t>
      </w:r>
      <w:r w:rsidR="009E3F31">
        <w:rPr>
          <w:rFonts w:ascii="Times New Roman" w:hAnsi="Times New Roman" w:cs="Times New Roman"/>
          <w:sz w:val="24"/>
          <w:szCs w:val="24"/>
        </w:rPr>
        <w:t xml:space="preserve">high school </w:t>
      </w:r>
      <w:r w:rsidR="00632B82">
        <w:rPr>
          <w:rFonts w:ascii="Times New Roman" w:hAnsi="Times New Roman" w:cs="Times New Roman"/>
          <w:sz w:val="24"/>
          <w:szCs w:val="24"/>
        </w:rPr>
        <w:t>GPA can be stronger or weaker for one curricular point of entry (a particular first quantitative course) than it is for another.  In a comparable manner, the model includes students’ scaled high school assessment score in mathematics, and the relationship between this scale</w:t>
      </w:r>
      <w:r w:rsidR="006A4559">
        <w:rPr>
          <w:rFonts w:ascii="Times New Roman" w:hAnsi="Times New Roman" w:cs="Times New Roman"/>
          <w:sz w:val="24"/>
          <w:szCs w:val="24"/>
        </w:rPr>
        <w:t>d</w:t>
      </w:r>
      <w:r w:rsidR="00632B82">
        <w:rPr>
          <w:rFonts w:ascii="Times New Roman" w:hAnsi="Times New Roman" w:cs="Times New Roman"/>
          <w:sz w:val="24"/>
          <w:szCs w:val="24"/>
        </w:rPr>
        <w:t xml:space="preserve"> score and the likelihood of the outcome is allowed to vary by first quantitative course.  </w:t>
      </w:r>
    </w:p>
    <w:p w14:paraId="724E846F" w14:textId="77777777" w:rsidR="00632B82" w:rsidRDefault="00632B82" w:rsidP="00F13CBA">
      <w:pPr>
        <w:spacing w:after="0" w:line="240" w:lineRule="auto"/>
        <w:rPr>
          <w:rFonts w:ascii="Times New Roman" w:hAnsi="Times New Roman" w:cs="Times New Roman"/>
          <w:sz w:val="24"/>
          <w:szCs w:val="24"/>
        </w:rPr>
      </w:pPr>
    </w:p>
    <w:p w14:paraId="650D8D14" w14:textId="1F827368" w:rsidR="00B16DFC" w:rsidRDefault="00632B82" w:rsidP="00F13CBA">
      <w:pPr>
        <w:spacing w:after="0" w:line="240" w:lineRule="auto"/>
        <w:rPr>
          <w:rFonts w:ascii="Times New Roman" w:hAnsi="Times New Roman" w:cs="Times New Roman"/>
          <w:sz w:val="24"/>
          <w:szCs w:val="24"/>
        </w:rPr>
      </w:pPr>
      <w:r>
        <w:rPr>
          <w:rFonts w:ascii="Times New Roman" w:hAnsi="Times New Roman" w:cs="Times New Roman"/>
          <w:sz w:val="24"/>
          <w:szCs w:val="24"/>
        </w:rPr>
        <w:t>Finally, the model</w:t>
      </w:r>
      <w:r w:rsidR="006A4559">
        <w:rPr>
          <w:rFonts w:ascii="Times New Roman" w:hAnsi="Times New Roman" w:cs="Times New Roman"/>
          <w:sz w:val="24"/>
          <w:szCs w:val="24"/>
        </w:rPr>
        <w:t>s</w:t>
      </w:r>
      <w:r>
        <w:rPr>
          <w:rFonts w:ascii="Times New Roman" w:hAnsi="Times New Roman" w:cs="Times New Roman"/>
          <w:sz w:val="24"/>
          <w:szCs w:val="24"/>
        </w:rPr>
        <w:t xml:space="preserve"> incorporate a number of statistical controls, including:  </w:t>
      </w:r>
    </w:p>
    <w:p w14:paraId="3A075853" w14:textId="77777777" w:rsidR="00632B82" w:rsidRDefault="00632B82"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Self-reported goal of transfer to a four-year institution (</w:t>
      </w:r>
      <w:r w:rsidRPr="00347697">
        <w:rPr>
          <w:rFonts w:ascii="Times New Roman" w:hAnsi="Times New Roman" w:cs="Times New Roman"/>
          <w:sz w:val="24"/>
          <w:szCs w:val="24"/>
        </w:rPr>
        <w:t>treated as dichotomous</w:t>
      </w:r>
      <w:r>
        <w:rPr>
          <w:rFonts w:ascii="Times New Roman" w:hAnsi="Times New Roman" w:cs="Times New Roman"/>
          <w:sz w:val="24"/>
          <w:szCs w:val="24"/>
        </w:rPr>
        <w:t xml:space="preserve"> and coded to distinguish between students who reported transfer either alone or in combination with an intermediate postsecondary credential versus all other goals)</w:t>
      </w:r>
    </w:p>
    <w:p w14:paraId="177B5EEB" w14:textId="77777777" w:rsidR="00632B82" w:rsidRPr="00347697" w:rsidRDefault="00632B82" w:rsidP="00EF6CD7">
      <w:pPr>
        <w:pStyle w:val="ListParagraph"/>
        <w:numPr>
          <w:ilvl w:val="1"/>
          <w:numId w:val="3"/>
        </w:numPr>
        <w:spacing w:after="0" w:line="240" w:lineRule="auto"/>
        <w:ind w:left="1080"/>
        <w:rPr>
          <w:rFonts w:ascii="Times New Roman" w:hAnsi="Times New Roman" w:cs="Times New Roman"/>
          <w:sz w:val="24"/>
          <w:szCs w:val="24"/>
        </w:rPr>
      </w:pPr>
      <w:r w:rsidRPr="00347697">
        <w:rPr>
          <w:rFonts w:ascii="Times New Roman" w:hAnsi="Times New Roman" w:cs="Times New Roman"/>
          <w:sz w:val="24"/>
          <w:szCs w:val="24"/>
        </w:rPr>
        <w:t xml:space="preserve">Part-time enrollment in the </w:t>
      </w:r>
      <w:r>
        <w:rPr>
          <w:rFonts w:ascii="Times New Roman" w:hAnsi="Times New Roman" w:cs="Times New Roman"/>
          <w:sz w:val="24"/>
          <w:szCs w:val="24"/>
        </w:rPr>
        <w:t xml:space="preserve">student’s </w:t>
      </w:r>
      <w:r w:rsidRPr="00347697">
        <w:rPr>
          <w:rFonts w:ascii="Times New Roman" w:hAnsi="Times New Roman" w:cs="Times New Roman"/>
          <w:sz w:val="24"/>
          <w:szCs w:val="24"/>
        </w:rPr>
        <w:t xml:space="preserve">first term </w:t>
      </w:r>
      <w:r>
        <w:rPr>
          <w:rFonts w:ascii="Times New Roman" w:hAnsi="Times New Roman" w:cs="Times New Roman"/>
          <w:sz w:val="24"/>
          <w:szCs w:val="24"/>
        </w:rPr>
        <w:t xml:space="preserve">of for-credit course-taking at </w:t>
      </w:r>
      <w:r w:rsidRPr="00347697">
        <w:rPr>
          <w:rFonts w:ascii="Times New Roman" w:hAnsi="Times New Roman" w:cs="Times New Roman"/>
          <w:sz w:val="24"/>
          <w:szCs w:val="24"/>
        </w:rPr>
        <w:t>BC (treated as dichotomous)</w:t>
      </w:r>
    </w:p>
    <w:p w14:paraId="72F52227" w14:textId="77777777" w:rsidR="00632B82" w:rsidRPr="00347697" w:rsidRDefault="00632B82"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Age at </w:t>
      </w:r>
      <w:r w:rsidRPr="00347697">
        <w:rPr>
          <w:rFonts w:ascii="Times New Roman" w:hAnsi="Times New Roman" w:cs="Times New Roman"/>
          <w:sz w:val="24"/>
          <w:szCs w:val="24"/>
        </w:rPr>
        <w:t>college entry (treated as dichotomous</w:t>
      </w:r>
      <w:r>
        <w:rPr>
          <w:rFonts w:ascii="Times New Roman" w:hAnsi="Times New Roman" w:cs="Times New Roman"/>
          <w:sz w:val="24"/>
          <w:szCs w:val="24"/>
        </w:rPr>
        <w:t xml:space="preserve"> and coded to distinguish between students who were less than 20 years of age at college entry versus those who were 20 years of age or older</w:t>
      </w:r>
      <w:r w:rsidRPr="00347697">
        <w:rPr>
          <w:rFonts w:ascii="Times New Roman" w:hAnsi="Times New Roman" w:cs="Times New Roman"/>
          <w:sz w:val="24"/>
          <w:szCs w:val="24"/>
        </w:rPr>
        <w:t>)</w:t>
      </w:r>
    </w:p>
    <w:p w14:paraId="412C28A1" w14:textId="77777777" w:rsidR="00632B82" w:rsidRPr="00347697" w:rsidRDefault="00632B82"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Self-reported g</w:t>
      </w:r>
      <w:r w:rsidRPr="00347697">
        <w:rPr>
          <w:rFonts w:ascii="Times New Roman" w:hAnsi="Times New Roman" w:cs="Times New Roman"/>
          <w:sz w:val="24"/>
          <w:szCs w:val="24"/>
        </w:rPr>
        <w:t>ender (treated as dichotomous)</w:t>
      </w:r>
    </w:p>
    <w:p w14:paraId="561F8912" w14:textId="77777777" w:rsidR="00632B82" w:rsidRPr="00347697" w:rsidRDefault="00632B82" w:rsidP="00EF6CD7">
      <w:pPr>
        <w:pStyle w:val="ListParagraph"/>
        <w:numPr>
          <w:ilvl w:val="1"/>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Self-reported </w:t>
      </w:r>
      <w:r w:rsidRPr="00347697">
        <w:rPr>
          <w:rFonts w:ascii="Times New Roman" w:hAnsi="Times New Roman" w:cs="Times New Roman"/>
          <w:sz w:val="24"/>
          <w:szCs w:val="24"/>
        </w:rPr>
        <w:t>race/ethnicity (treated as dichotomous</w:t>
      </w:r>
      <w:r>
        <w:rPr>
          <w:rFonts w:ascii="Times New Roman" w:hAnsi="Times New Roman" w:cs="Times New Roman"/>
          <w:sz w:val="24"/>
          <w:szCs w:val="24"/>
        </w:rPr>
        <w:t xml:space="preserve"> and coded to distinguish </w:t>
      </w:r>
      <w:r w:rsidRPr="00347697">
        <w:rPr>
          <w:rFonts w:ascii="Times New Roman" w:hAnsi="Times New Roman" w:cs="Times New Roman"/>
          <w:sz w:val="24"/>
          <w:szCs w:val="24"/>
        </w:rPr>
        <w:t xml:space="preserve">historically </w:t>
      </w:r>
      <w:r>
        <w:rPr>
          <w:rFonts w:ascii="Times New Roman" w:hAnsi="Times New Roman" w:cs="Times New Roman"/>
          <w:sz w:val="24"/>
          <w:szCs w:val="24"/>
        </w:rPr>
        <w:t xml:space="preserve">advantaged and </w:t>
      </w:r>
      <w:r w:rsidRPr="00347697">
        <w:rPr>
          <w:rFonts w:ascii="Times New Roman" w:hAnsi="Times New Roman" w:cs="Times New Roman"/>
          <w:sz w:val="24"/>
          <w:szCs w:val="24"/>
        </w:rPr>
        <w:t xml:space="preserve">disadvantaged </w:t>
      </w:r>
      <w:r>
        <w:rPr>
          <w:rFonts w:ascii="Times New Roman" w:hAnsi="Times New Roman" w:cs="Times New Roman"/>
          <w:sz w:val="24"/>
          <w:szCs w:val="24"/>
        </w:rPr>
        <w:t xml:space="preserve">groups, with the latter </w:t>
      </w:r>
      <w:r w:rsidRPr="00347697">
        <w:rPr>
          <w:rFonts w:ascii="Times New Roman" w:hAnsi="Times New Roman" w:cs="Times New Roman"/>
          <w:sz w:val="24"/>
          <w:szCs w:val="24"/>
        </w:rPr>
        <w:t>defined as Black, Hispanic, Native American, or two or more racial/ethnic categories)</w:t>
      </w:r>
    </w:p>
    <w:p w14:paraId="12DA568D" w14:textId="77777777" w:rsidR="00632B82" w:rsidRPr="00347697" w:rsidRDefault="00632B82" w:rsidP="00EF6CD7">
      <w:pPr>
        <w:pStyle w:val="ListParagraph"/>
        <w:numPr>
          <w:ilvl w:val="1"/>
          <w:numId w:val="3"/>
        </w:numPr>
        <w:spacing w:after="0" w:line="240" w:lineRule="auto"/>
        <w:ind w:left="1080"/>
        <w:rPr>
          <w:rFonts w:ascii="Times New Roman" w:hAnsi="Times New Roman" w:cs="Times New Roman"/>
          <w:sz w:val="24"/>
          <w:szCs w:val="24"/>
        </w:rPr>
      </w:pPr>
      <w:r w:rsidRPr="00347697">
        <w:rPr>
          <w:rFonts w:ascii="Times New Roman" w:hAnsi="Times New Roman" w:cs="Times New Roman"/>
          <w:sz w:val="24"/>
          <w:szCs w:val="24"/>
        </w:rPr>
        <w:t xml:space="preserve">Method of </w:t>
      </w:r>
      <w:r>
        <w:rPr>
          <w:rFonts w:ascii="Times New Roman" w:hAnsi="Times New Roman" w:cs="Times New Roman"/>
          <w:sz w:val="24"/>
          <w:szCs w:val="24"/>
        </w:rPr>
        <w:t xml:space="preserve">assessment for </w:t>
      </w:r>
      <w:r w:rsidRPr="00347697">
        <w:rPr>
          <w:rFonts w:ascii="Times New Roman" w:hAnsi="Times New Roman" w:cs="Times New Roman"/>
          <w:sz w:val="24"/>
          <w:szCs w:val="24"/>
        </w:rPr>
        <w:t>placement in the math curriculum (treated as dichotomous and coded to reflect multiple measures placement versus placement test only)</w:t>
      </w:r>
    </w:p>
    <w:p w14:paraId="5D371EFC" w14:textId="77777777" w:rsidR="00632B82" w:rsidRPr="00347697" w:rsidRDefault="00632B82" w:rsidP="00EF6CD7">
      <w:pPr>
        <w:pStyle w:val="ListParagraph"/>
        <w:numPr>
          <w:ilvl w:val="1"/>
          <w:numId w:val="3"/>
        </w:numPr>
        <w:spacing w:after="0" w:line="240" w:lineRule="auto"/>
        <w:ind w:left="1080"/>
        <w:rPr>
          <w:rFonts w:ascii="Times New Roman" w:hAnsi="Times New Roman" w:cs="Times New Roman"/>
          <w:sz w:val="24"/>
          <w:szCs w:val="24"/>
        </w:rPr>
      </w:pPr>
      <w:r w:rsidRPr="00347697">
        <w:rPr>
          <w:rFonts w:ascii="Times New Roman" w:hAnsi="Times New Roman" w:cs="Times New Roman"/>
          <w:sz w:val="24"/>
          <w:szCs w:val="24"/>
        </w:rPr>
        <w:t xml:space="preserve">Term of </w:t>
      </w:r>
      <w:r>
        <w:rPr>
          <w:rFonts w:ascii="Times New Roman" w:hAnsi="Times New Roman" w:cs="Times New Roman"/>
          <w:sz w:val="24"/>
          <w:szCs w:val="24"/>
        </w:rPr>
        <w:t>entry to</w:t>
      </w:r>
      <w:r w:rsidRPr="00347697">
        <w:rPr>
          <w:rFonts w:ascii="Times New Roman" w:hAnsi="Times New Roman" w:cs="Times New Roman"/>
          <w:sz w:val="24"/>
          <w:szCs w:val="24"/>
        </w:rPr>
        <w:t xml:space="preserve"> BC (coded with six categories, including Summer 2015, Fall 2015, Spring 2016, Summer 2016, Fall 2016, and Spring 2017)</w:t>
      </w:r>
    </w:p>
    <w:p w14:paraId="3C98AFA8" w14:textId="0E142916" w:rsidR="00B16DFC" w:rsidRDefault="00B16DFC" w:rsidP="00F13CBA">
      <w:pPr>
        <w:spacing w:after="0" w:line="240" w:lineRule="auto"/>
        <w:rPr>
          <w:rFonts w:ascii="Times New Roman" w:hAnsi="Times New Roman" w:cs="Times New Roman"/>
          <w:sz w:val="24"/>
          <w:szCs w:val="24"/>
        </w:rPr>
      </w:pPr>
    </w:p>
    <w:p w14:paraId="552C4AD2" w14:textId="69E45D80" w:rsidR="00632B82" w:rsidRPr="006C04FB" w:rsidRDefault="00632B82" w:rsidP="00632B8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Predicted Probabilities</w:t>
      </w:r>
    </w:p>
    <w:p w14:paraId="1F3F4032" w14:textId="3DDF9B1D" w:rsidR="00632B82" w:rsidRDefault="00632B82" w:rsidP="00632B82">
      <w:pPr>
        <w:spacing w:after="0" w:line="240" w:lineRule="auto"/>
        <w:rPr>
          <w:rFonts w:ascii="Times New Roman" w:hAnsi="Times New Roman" w:cs="Times New Roman"/>
          <w:sz w:val="24"/>
          <w:szCs w:val="24"/>
        </w:rPr>
      </w:pPr>
    </w:p>
    <w:p w14:paraId="407602E6" w14:textId="58CD630B" w:rsidR="00D72042" w:rsidRDefault="00632B82"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the regression models estimate </w:t>
      </w:r>
      <w:r w:rsidR="00D72042">
        <w:rPr>
          <w:rFonts w:ascii="Times New Roman" w:hAnsi="Times New Roman" w:cs="Times New Roman"/>
          <w:sz w:val="24"/>
          <w:szCs w:val="24"/>
        </w:rPr>
        <w:t xml:space="preserve">the relationships between the measures of high school achievement and the outcomes across the whole range of high school achievement, certain </w:t>
      </w:r>
      <w:r w:rsidR="006278CD">
        <w:rPr>
          <w:rFonts w:ascii="Times New Roman" w:hAnsi="Times New Roman" w:cs="Times New Roman"/>
          <w:sz w:val="24"/>
          <w:szCs w:val="24"/>
        </w:rPr>
        <w:t>bands</w:t>
      </w:r>
      <w:r w:rsidR="00D72042">
        <w:rPr>
          <w:rFonts w:ascii="Times New Roman" w:hAnsi="Times New Roman" w:cs="Times New Roman"/>
          <w:sz w:val="24"/>
          <w:szCs w:val="24"/>
        </w:rPr>
        <w:t xml:space="preserve"> of high school achievement defined in the AB705 implementation are of special interest.  In math, these </w:t>
      </w:r>
      <w:r w:rsidR="006278CD">
        <w:rPr>
          <w:rFonts w:ascii="Times New Roman" w:hAnsi="Times New Roman" w:cs="Times New Roman"/>
          <w:sz w:val="24"/>
          <w:szCs w:val="24"/>
        </w:rPr>
        <w:t>bands</w:t>
      </w:r>
      <w:r w:rsidR="00D72042">
        <w:rPr>
          <w:rFonts w:ascii="Times New Roman" w:hAnsi="Times New Roman" w:cs="Times New Roman"/>
          <w:sz w:val="24"/>
          <w:szCs w:val="24"/>
        </w:rPr>
        <w:t xml:space="preserve"> focus </w:t>
      </w:r>
      <w:r w:rsidR="00493C4B">
        <w:rPr>
          <w:rFonts w:ascii="Times New Roman" w:hAnsi="Times New Roman" w:cs="Times New Roman"/>
          <w:sz w:val="24"/>
          <w:szCs w:val="24"/>
        </w:rPr>
        <w:t xml:space="preserve">specifically </w:t>
      </w:r>
      <w:r w:rsidR="00D72042">
        <w:rPr>
          <w:rFonts w:ascii="Times New Roman" w:hAnsi="Times New Roman" w:cs="Times New Roman"/>
          <w:sz w:val="24"/>
          <w:szCs w:val="24"/>
        </w:rPr>
        <w:t xml:space="preserve">on </w:t>
      </w:r>
      <w:r w:rsidR="00B029E6">
        <w:rPr>
          <w:rFonts w:ascii="Times New Roman" w:hAnsi="Times New Roman" w:cs="Times New Roman"/>
          <w:sz w:val="24"/>
          <w:szCs w:val="24"/>
        </w:rPr>
        <w:t xml:space="preserve">high school </w:t>
      </w:r>
      <w:r w:rsidR="00D72042">
        <w:rPr>
          <w:rFonts w:ascii="Times New Roman" w:hAnsi="Times New Roman" w:cs="Times New Roman"/>
          <w:sz w:val="24"/>
          <w:szCs w:val="24"/>
        </w:rPr>
        <w:t xml:space="preserve">GPA and include the following:  </w:t>
      </w:r>
      <w:r w:rsidR="00E61E34">
        <w:rPr>
          <w:rFonts w:ascii="Times New Roman" w:hAnsi="Times New Roman" w:cs="Times New Roman"/>
          <w:sz w:val="24"/>
          <w:szCs w:val="24"/>
        </w:rPr>
        <w:t>GPA</w:t>
      </w:r>
      <w:r w:rsidR="00D72042">
        <w:rPr>
          <w:rFonts w:ascii="Times New Roman" w:hAnsi="Times New Roman" w:cs="Times New Roman"/>
          <w:sz w:val="24"/>
          <w:szCs w:val="24"/>
        </w:rPr>
        <w:t xml:space="preserve"> </w:t>
      </w:r>
      <w:r w:rsidR="00E61E34">
        <w:rPr>
          <w:rFonts w:ascii="Times New Roman" w:hAnsi="Times New Roman" w:cs="Times New Roman"/>
          <w:sz w:val="24"/>
          <w:szCs w:val="24"/>
        </w:rPr>
        <w:t xml:space="preserve">of less than </w:t>
      </w:r>
      <w:r w:rsidR="00D72042">
        <w:rPr>
          <w:rFonts w:ascii="Times New Roman" w:hAnsi="Times New Roman" w:cs="Times New Roman"/>
          <w:sz w:val="24"/>
          <w:szCs w:val="24"/>
        </w:rPr>
        <w:t xml:space="preserve">2.30, </w:t>
      </w:r>
      <w:r w:rsidR="00E61E34">
        <w:rPr>
          <w:rFonts w:ascii="Times New Roman" w:hAnsi="Times New Roman" w:cs="Times New Roman"/>
          <w:sz w:val="24"/>
          <w:szCs w:val="24"/>
        </w:rPr>
        <w:t xml:space="preserve">GPA of </w:t>
      </w:r>
      <w:r w:rsidR="00D72042">
        <w:rPr>
          <w:rFonts w:ascii="Times New Roman" w:hAnsi="Times New Roman" w:cs="Times New Roman"/>
          <w:sz w:val="24"/>
          <w:szCs w:val="24"/>
        </w:rPr>
        <w:t xml:space="preserve">2.30 to 2.99, and </w:t>
      </w:r>
      <w:r w:rsidR="00E61E34">
        <w:rPr>
          <w:rFonts w:ascii="Times New Roman" w:hAnsi="Times New Roman" w:cs="Times New Roman"/>
          <w:sz w:val="24"/>
          <w:szCs w:val="24"/>
        </w:rPr>
        <w:t xml:space="preserve">GPA of </w:t>
      </w:r>
      <w:r w:rsidR="00D72042">
        <w:rPr>
          <w:rFonts w:ascii="Times New Roman" w:hAnsi="Times New Roman" w:cs="Times New Roman"/>
          <w:sz w:val="24"/>
          <w:szCs w:val="24"/>
        </w:rPr>
        <w:t xml:space="preserve">3.00 or greater.  </w:t>
      </w:r>
    </w:p>
    <w:p w14:paraId="22236CE2" w14:textId="77777777" w:rsidR="00D72042" w:rsidRDefault="00D72042" w:rsidP="00632B82">
      <w:pPr>
        <w:spacing w:after="0" w:line="240" w:lineRule="auto"/>
        <w:rPr>
          <w:rFonts w:ascii="Times New Roman" w:hAnsi="Times New Roman" w:cs="Times New Roman"/>
          <w:sz w:val="24"/>
          <w:szCs w:val="24"/>
        </w:rPr>
      </w:pPr>
    </w:p>
    <w:p w14:paraId="7D048B08" w14:textId="0EA909A0" w:rsidR="007E5022" w:rsidRDefault="00D72042"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investigate differences in outcomes by </w:t>
      </w:r>
      <w:r w:rsidR="00BB17F3">
        <w:rPr>
          <w:rFonts w:ascii="Times New Roman" w:hAnsi="Times New Roman" w:cs="Times New Roman"/>
          <w:sz w:val="24"/>
          <w:szCs w:val="24"/>
        </w:rPr>
        <w:t>first quantitative course</w:t>
      </w:r>
      <w:r w:rsidR="00493C4B">
        <w:rPr>
          <w:rFonts w:ascii="Times New Roman" w:hAnsi="Times New Roman" w:cs="Times New Roman"/>
          <w:sz w:val="24"/>
          <w:szCs w:val="24"/>
        </w:rPr>
        <w:t xml:space="preserve"> and </w:t>
      </w:r>
      <w:r>
        <w:rPr>
          <w:rFonts w:ascii="Times New Roman" w:hAnsi="Times New Roman" w:cs="Times New Roman"/>
          <w:sz w:val="24"/>
          <w:szCs w:val="24"/>
        </w:rPr>
        <w:t xml:space="preserve">with attention to these focal </w:t>
      </w:r>
      <w:r w:rsidR="001C1164">
        <w:rPr>
          <w:rFonts w:ascii="Times New Roman" w:hAnsi="Times New Roman" w:cs="Times New Roman"/>
          <w:sz w:val="24"/>
          <w:szCs w:val="24"/>
        </w:rPr>
        <w:t xml:space="preserve">bands of </w:t>
      </w:r>
      <w:r w:rsidR="009E3F31">
        <w:rPr>
          <w:rFonts w:ascii="Times New Roman" w:hAnsi="Times New Roman" w:cs="Times New Roman"/>
          <w:sz w:val="24"/>
          <w:szCs w:val="24"/>
        </w:rPr>
        <w:t xml:space="preserve">high school </w:t>
      </w:r>
      <w:r w:rsidR="001C1164">
        <w:rPr>
          <w:rFonts w:ascii="Times New Roman" w:hAnsi="Times New Roman" w:cs="Times New Roman"/>
          <w:sz w:val="24"/>
          <w:szCs w:val="24"/>
        </w:rPr>
        <w:t>GPA</w:t>
      </w:r>
      <w:r>
        <w:rPr>
          <w:rFonts w:ascii="Times New Roman" w:hAnsi="Times New Roman" w:cs="Times New Roman"/>
          <w:sz w:val="24"/>
          <w:szCs w:val="24"/>
        </w:rPr>
        <w:t xml:space="preserve">, I calculated predicted probabilities of achieving each of the two </w:t>
      </w:r>
      <w:r>
        <w:rPr>
          <w:rFonts w:ascii="Times New Roman" w:hAnsi="Times New Roman" w:cs="Times New Roman"/>
          <w:sz w:val="24"/>
          <w:szCs w:val="24"/>
        </w:rPr>
        <w:lastRenderedPageBreak/>
        <w:t xml:space="preserve">outcomes by entry point at </w:t>
      </w:r>
      <w:r w:rsidR="00BB17F3">
        <w:rPr>
          <w:rFonts w:ascii="Times New Roman" w:hAnsi="Times New Roman" w:cs="Times New Roman"/>
          <w:sz w:val="24"/>
          <w:szCs w:val="24"/>
        </w:rPr>
        <w:t xml:space="preserve">each of </w:t>
      </w:r>
      <w:r>
        <w:rPr>
          <w:rFonts w:ascii="Times New Roman" w:hAnsi="Times New Roman" w:cs="Times New Roman"/>
          <w:sz w:val="24"/>
          <w:szCs w:val="24"/>
        </w:rPr>
        <w:t xml:space="preserve">three levels of high school achievement within each of the three </w:t>
      </w:r>
      <w:r w:rsidR="001C1164">
        <w:rPr>
          <w:rFonts w:ascii="Times New Roman" w:hAnsi="Times New Roman" w:cs="Times New Roman"/>
          <w:sz w:val="24"/>
          <w:szCs w:val="24"/>
        </w:rPr>
        <w:t>bands</w:t>
      </w:r>
      <w:r w:rsidR="00493C4B">
        <w:rPr>
          <w:rFonts w:ascii="Times New Roman" w:hAnsi="Times New Roman" w:cs="Times New Roman"/>
          <w:sz w:val="24"/>
          <w:szCs w:val="24"/>
        </w:rPr>
        <w:t xml:space="preserve"> of GPA</w:t>
      </w:r>
      <w:r>
        <w:rPr>
          <w:rFonts w:ascii="Times New Roman" w:hAnsi="Times New Roman" w:cs="Times New Roman"/>
          <w:sz w:val="24"/>
          <w:szCs w:val="24"/>
        </w:rPr>
        <w:t>.  T</w:t>
      </w:r>
      <w:r w:rsidR="00826BE9">
        <w:rPr>
          <w:rFonts w:ascii="Times New Roman" w:hAnsi="Times New Roman" w:cs="Times New Roman"/>
          <w:sz w:val="24"/>
          <w:szCs w:val="24"/>
        </w:rPr>
        <w:t>o illustrate</w:t>
      </w:r>
      <w:r w:rsidR="00E61E34">
        <w:rPr>
          <w:rFonts w:ascii="Times New Roman" w:hAnsi="Times New Roman" w:cs="Times New Roman"/>
          <w:sz w:val="24"/>
          <w:szCs w:val="24"/>
        </w:rPr>
        <w:t>, for all students whose GPA was less than 2.30</w:t>
      </w:r>
      <w:r w:rsidR="001C1164">
        <w:rPr>
          <w:rFonts w:ascii="Times New Roman" w:hAnsi="Times New Roman" w:cs="Times New Roman"/>
          <w:sz w:val="24"/>
          <w:szCs w:val="24"/>
        </w:rPr>
        <w:t xml:space="preserve"> (the lowest band)</w:t>
      </w:r>
      <w:r w:rsidR="00E61E34">
        <w:rPr>
          <w:rFonts w:ascii="Times New Roman" w:hAnsi="Times New Roman" w:cs="Times New Roman"/>
          <w:sz w:val="24"/>
          <w:szCs w:val="24"/>
        </w:rPr>
        <w:t>, I calculated the 25</w:t>
      </w:r>
      <w:r w:rsidR="00E61E34" w:rsidRPr="0072729B">
        <w:rPr>
          <w:rFonts w:ascii="Times New Roman" w:hAnsi="Times New Roman" w:cs="Times New Roman"/>
          <w:sz w:val="24"/>
          <w:szCs w:val="24"/>
          <w:vertAlign w:val="superscript"/>
        </w:rPr>
        <w:t>th</w:t>
      </w:r>
      <w:r w:rsidR="00E61E34">
        <w:rPr>
          <w:rFonts w:ascii="Times New Roman" w:hAnsi="Times New Roman" w:cs="Times New Roman"/>
          <w:sz w:val="24"/>
          <w:szCs w:val="24"/>
        </w:rPr>
        <w:t>, 50</w:t>
      </w:r>
      <w:r w:rsidR="00E61E34" w:rsidRPr="0072729B">
        <w:rPr>
          <w:rFonts w:ascii="Times New Roman" w:hAnsi="Times New Roman" w:cs="Times New Roman"/>
          <w:sz w:val="24"/>
          <w:szCs w:val="24"/>
          <w:vertAlign w:val="superscript"/>
        </w:rPr>
        <w:t>th</w:t>
      </w:r>
      <w:r w:rsidR="00E61E34">
        <w:rPr>
          <w:rFonts w:ascii="Times New Roman" w:hAnsi="Times New Roman" w:cs="Times New Roman"/>
          <w:sz w:val="24"/>
          <w:szCs w:val="24"/>
        </w:rPr>
        <w:t>, and 75</w:t>
      </w:r>
      <w:r w:rsidR="003D0A98">
        <w:rPr>
          <w:rFonts w:ascii="Times New Roman" w:hAnsi="Times New Roman" w:cs="Times New Roman"/>
          <w:sz w:val="24"/>
          <w:szCs w:val="24"/>
        </w:rPr>
        <w:t>th</w:t>
      </w:r>
      <w:r w:rsidR="00E61E34">
        <w:rPr>
          <w:rFonts w:ascii="Times New Roman" w:hAnsi="Times New Roman" w:cs="Times New Roman"/>
          <w:sz w:val="24"/>
          <w:szCs w:val="24"/>
        </w:rPr>
        <w:t xml:space="preserve"> percentiles </w:t>
      </w:r>
      <w:r w:rsidR="00E61E34" w:rsidRPr="00DB3192">
        <w:rPr>
          <w:rFonts w:ascii="Times New Roman" w:hAnsi="Times New Roman" w:cs="Times New Roman"/>
          <w:sz w:val="24"/>
          <w:szCs w:val="24"/>
        </w:rPr>
        <w:t>of</w:t>
      </w:r>
      <w:r w:rsidR="00E61E34" w:rsidRPr="0072729B">
        <w:rPr>
          <w:rFonts w:ascii="Times New Roman" w:hAnsi="Times New Roman" w:cs="Times New Roman"/>
          <w:i/>
          <w:sz w:val="24"/>
          <w:szCs w:val="24"/>
        </w:rPr>
        <w:t xml:space="preserve"> both GPA </w:t>
      </w:r>
      <w:r w:rsidR="003D0A98" w:rsidRPr="0072729B">
        <w:rPr>
          <w:rFonts w:ascii="Times New Roman" w:hAnsi="Times New Roman" w:cs="Times New Roman"/>
          <w:i/>
          <w:sz w:val="24"/>
          <w:szCs w:val="24"/>
        </w:rPr>
        <w:t>and math scaled score</w:t>
      </w:r>
      <w:r w:rsidR="003D0A98">
        <w:rPr>
          <w:rFonts w:ascii="Times New Roman" w:hAnsi="Times New Roman" w:cs="Times New Roman"/>
          <w:sz w:val="24"/>
          <w:szCs w:val="24"/>
        </w:rPr>
        <w:t xml:space="preserve">.  I held the values of these variables fixed at these </w:t>
      </w:r>
      <w:r w:rsidR="00BB17F3">
        <w:rPr>
          <w:rFonts w:ascii="Times New Roman" w:hAnsi="Times New Roman" w:cs="Times New Roman"/>
          <w:sz w:val="24"/>
          <w:szCs w:val="24"/>
        </w:rPr>
        <w:t xml:space="preserve">percentiles, </w:t>
      </w:r>
      <w:r w:rsidR="007E5022">
        <w:rPr>
          <w:rFonts w:ascii="Times New Roman" w:hAnsi="Times New Roman" w:cs="Times New Roman"/>
          <w:sz w:val="24"/>
          <w:szCs w:val="24"/>
        </w:rPr>
        <w:t xml:space="preserve">and </w:t>
      </w:r>
      <w:r w:rsidR="00BB17F3">
        <w:rPr>
          <w:rFonts w:ascii="Times New Roman" w:hAnsi="Times New Roman" w:cs="Times New Roman"/>
          <w:sz w:val="24"/>
          <w:szCs w:val="24"/>
        </w:rPr>
        <w:t xml:space="preserve">then fixed all other variables </w:t>
      </w:r>
      <w:r w:rsidR="00493C4B">
        <w:rPr>
          <w:rFonts w:ascii="Times New Roman" w:hAnsi="Times New Roman" w:cs="Times New Roman"/>
          <w:sz w:val="24"/>
          <w:szCs w:val="24"/>
        </w:rPr>
        <w:t xml:space="preserve">except entry point to the math curriculum </w:t>
      </w:r>
      <w:r w:rsidR="00BB17F3">
        <w:rPr>
          <w:rFonts w:ascii="Times New Roman" w:hAnsi="Times New Roman" w:cs="Times New Roman"/>
          <w:sz w:val="24"/>
          <w:szCs w:val="24"/>
        </w:rPr>
        <w:t>at arbitrarily chosen values</w:t>
      </w:r>
      <w:r w:rsidR="00403016">
        <w:rPr>
          <w:rFonts w:ascii="Times New Roman" w:hAnsi="Times New Roman" w:cs="Times New Roman"/>
          <w:sz w:val="24"/>
          <w:szCs w:val="24"/>
        </w:rPr>
        <w:t xml:space="preserve">.  </w:t>
      </w:r>
      <w:r w:rsidR="00493C4B">
        <w:rPr>
          <w:rFonts w:ascii="Times New Roman" w:hAnsi="Times New Roman" w:cs="Times New Roman"/>
          <w:sz w:val="24"/>
          <w:szCs w:val="24"/>
        </w:rPr>
        <w:t>Entry point</w:t>
      </w:r>
      <w:r w:rsidR="007E5022">
        <w:rPr>
          <w:rFonts w:ascii="Times New Roman" w:hAnsi="Times New Roman" w:cs="Times New Roman"/>
          <w:sz w:val="24"/>
          <w:szCs w:val="24"/>
        </w:rPr>
        <w:t xml:space="preserve"> was allowed to vary freely.  Finally, I </w:t>
      </w:r>
      <w:r w:rsidR="00BB17F3">
        <w:rPr>
          <w:rFonts w:ascii="Times New Roman" w:hAnsi="Times New Roman" w:cs="Times New Roman"/>
          <w:sz w:val="24"/>
          <w:szCs w:val="24"/>
        </w:rPr>
        <w:t xml:space="preserve">calculated </w:t>
      </w:r>
      <w:r w:rsidR="006278CD">
        <w:rPr>
          <w:rFonts w:ascii="Times New Roman" w:hAnsi="Times New Roman" w:cs="Times New Roman"/>
          <w:sz w:val="24"/>
          <w:szCs w:val="24"/>
        </w:rPr>
        <w:t xml:space="preserve">the predicted </w:t>
      </w:r>
      <w:r w:rsidR="00BB17F3">
        <w:rPr>
          <w:rFonts w:ascii="Times New Roman" w:hAnsi="Times New Roman" w:cs="Times New Roman"/>
          <w:sz w:val="24"/>
          <w:szCs w:val="24"/>
        </w:rPr>
        <w:t xml:space="preserve">probability of each of </w:t>
      </w:r>
      <w:r w:rsidR="006278CD">
        <w:rPr>
          <w:rFonts w:ascii="Times New Roman" w:hAnsi="Times New Roman" w:cs="Times New Roman"/>
          <w:sz w:val="24"/>
          <w:szCs w:val="24"/>
        </w:rPr>
        <w:t xml:space="preserve">the </w:t>
      </w:r>
      <w:r w:rsidR="00BB17F3">
        <w:rPr>
          <w:rFonts w:ascii="Times New Roman" w:hAnsi="Times New Roman" w:cs="Times New Roman"/>
          <w:sz w:val="24"/>
          <w:szCs w:val="24"/>
        </w:rPr>
        <w:t>outcome</w:t>
      </w:r>
      <w:r w:rsidR="007E5022">
        <w:rPr>
          <w:rFonts w:ascii="Times New Roman" w:hAnsi="Times New Roman" w:cs="Times New Roman"/>
          <w:sz w:val="24"/>
          <w:szCs w:val="24"/>
        </w:rPr>
        <w:t>s</w:t>
      </w:r>
      <w:r w:rsidR="00BB17F3">
        <w:rPr>
          <w:rFonts w:ascii="Times New Roman" w:hAnsi="Times New Roman" w:cs="Times New Roman"/>
          <w:sz w:val="24"/>
          <w:szCs w:val="24"/>
        </w:rPr>
        <w:t xml:space="preserve"> </w:t>
      </w:r>
      <w:r w:rsidR="00AB44E7">
        <w:rPr>
          <w:rFonts w:ascii="Times New Roman" w:hAnsi="Times New Roman" w:cs="Times New Roman"/>
          <w:sz w:val="24"/>
          <w:szCs w:val="24"/>
        </w:rPr>
        <w:t xml:space="preserve">for students who entered the curriculum through each of the first quantitative courses considered here.  I repeated this process for students with </w:t>
      </w:r>
      <w:r w:rsidR="009E3F31">
        <w:rPr>
          <w:rFonts w:ascii="Times New Roman" w:hAnsi="Times New Roman" w:cs="Times New Roman"/>
          <w:sz w:val="24"/>
          <w:szCs w:val="24"/>
        </w:rPr>
        <w:t xml:space="preserve">high school </w:t>
      </w:r>
      <w:r w:rsidR="00AB44E7">
        <w:rPr>
          <w:rFonts w:ascii="Times New Roman" w:hAnsi="Times New Roman" w:cs="Times New Roman"/>
          <w:sz w:val="24"/>
          <w:szCs w:val="24"/>
        </w:rPr>
        <w:t>GPAs of 2.30 to 2.99</w:t>
      </w:r>
      <w:r w:rsidR="001C1164">
        <w:rPr>
          <w:rFonts w:ascii="Times New Roman" w:hAnsi="Times New Roman" w:cs="Times New Roman"/>
          <w:sz w:val="24"/>
          <w:szCs w:val="24"/>
        </w:rPr>
        <w:t xml:space="preserve"> (the middle band)</w:t>
      </w:r>
      <w:r w:rsidR="00AB44E7">
        <w:rPr>
          <w:rFonts w:ascii="Times New Roman" w:hAnsi="Times New Roman" w:cs="Times New Roman"/>
          <w:sz w:val="24"/>
          <w:szCs w:val="24"/>
        </w:rPr>
        <w:t xml:space="preserve">, and for students with </w:t>
      </w:r>
      <w:r w:rsidR="009E3F31">
        <w:rPr>
          <w:rFonts w:ascii="Times New Roman" w:hAnsi="Times New Roman" w:cs="Times New Roman"/>
          <w:sz w:val="24"/>
          <w:szCs w:val="24"/>
        </w:rPr>
        <w:t xml:space="preserve">high school </w:t>
      </w:r>
      <w:r w:rsidR="00AB44E7">
        <w:rPr>
          <w:rFonts w:ascii="Times New Roman" w:hAnsi="Times New Roman" w:cs="Times New Roman"/>
          <w:sz w:val="24"/>
          <w:szCs w:val="24"/>
        </w:rPr>
        <w:t xml:space="preserve">GPAs </w:t>
      </w:r>
      <w:r w:rsidR="009E3F31">
        <w:rPr>
          <w:rFonts w:ascii="Times New Roman" w:hAnsi="Times New Roman" w:cs="Times New Roman"/>
          <w:sz w:val="24"/>
          <w:szCs w:val="24"/>
        </w:rPr>
        <w:t>of</w:t>
      </w:r>
      <w:r w:rsidR="00AB44E7">
        <w:rPr>
          <w:rFonts w:ascii="Times New Roman" w:hAnsi="Times New Roman" w:cs="Times New Roman"/>
          <w:sz w:val="24"/>
          <w:szCs w:val="24"/>
        </w:rPr>
        <w:t xml:space="preserve"> 3.00 and above</w:t>
      </w:r>
      <w:r w:rsidR="001C1164">
        <w:rPr>
          <w:rFonts w:ascii="Times New Roman" w:hAnsi="Times New Roman" w:cs="Times New Roman"/>
          <w:sz w:val="24"/>
          <w:szCs w:val="24"/>
        </w:rPr>
        <w:t xml:space="preserve"> (the highest band)</w:t>
      </w:r>
      <w:r w:rsidR="00AB44E7">
        <w:rPr>
          <w:rFonts w:ascii="Times New Roman" w:hAnsi="Times New Roman" w:cs="Times New Roman"/>
          <w:sz w:val="24"/>
          <w:szCs w:val="24"/>
        </w:rPr>
        <w:t xml:space="preserve">.  </w:t>
      </w:r>
    </w:p>
    <w:p w14:paraId="7F6493E7" w14:textId="77777777" w:rsidR="006278CD" w:rsidRDefault="006278CD" w:rsidP="00632B82">
      <w:pPr>
        <w:spacing w:after="0" w:line="240" w:lineRule="auto"/>
        <w:rPr>
          <w:rFonts w:ascii="Times New Roman" w:hAnsi="Times New Roman" w:cs="Times New Roman"/>
          <w:sz w:val="24"/>
          <w:szCs w:val="24"/>
        </w:rPr>
      </w:pPr>
    </w:p>
    <w:p w14:paraId="01A658B3" w14:textId="34359F48" w:rsidR="006278CD" w:rsidRDefault="00F35D95"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t>
      </w:r>
      <w:r w:rsidR="006278CD">
        <w:rPr>
          <w:rFonts w:ascii="Times New Roman" w:hAnsi="Times New Roman" w:cs="Times New Roman"/>
          <w:sz w:val="24"/>
          <w:szCs w:val="24"/>
        </w:rPr>
        <w:t xml:space="preserve">is important to note that </w:t>
      </w:r>
      <w:r w:rsidR="006278CD" w:rsidRPr="0072729B">
        <w:rPr>
          <w:rFonts w:ascii="Times New Roman" w:hAnsi="Times New Roman" w:cs="Times New Roman"/>
          <w:i/>
          <w:sz w:val="24"/>
          <w:szCs w:val="24"/>
        </w:rPr>
        <w:t xml:space="preserve">a single model was estimated </w:t>
      </w:r>
      <w:r w:rsidR="00CC51A8" w:rsidRPr="00CC7570">
        <w:rPr>
          <w:rFonts w:ascii="Times New Roman" w:hAnsi="Times New Roman" w:cs="Times New Roman"/>
          <w:i/>
          <w:sz w:val="24"/>
          <w:szCs w:val="24"/>
        </w:rPr>
        <w:t>for all levels of high school achievement</w:t>
      </w:r>
      <w:r w:rsidR="00CC51A8" w:rsidRPr="00DB3192">
        <w:rPr>
          <w:rFonts w:ascii="Times New Roman" w:hAnsi="Times New Roman" w:cs="Times New Roman"/>
          <w:i/>
          <w:sz w:val="24"/>
          <w:szCs w:val="24"/>
        </w:rPr>
        <w:t xml:space="preserve"> </w:t>
      </w:r>
      <w:r w:rsidR="009E3F31" w:rsidRPr="0072729B">
        <w:rPr>
          <w:rFonts w:ascii="Times New Roman" w:hAnsi="Times New Roman" w:cs="Times New Roman"/>
          <w:i/>
          <w:sz w:val="24"/>
          <w:szCs w:val="24"/>
        </w:rPr>
        <w:t xml:space="preserve">for </w:t>
      </w:r>
      <w:r w:rsidR="006278CD" w:rsidRPr="0072729B">
        <w:rPr>
          <w:rFonts w:ascii="Times New Roman" w:hAnsi="Times New Roman" w:cs="Times New Roman"/>
          <w:i/>
          <w:sz w:val="24"/>
          <w:szCs w:val="24"/>
        </w:rPr>
        <w:t>each of the two outcomes</w:t>
      </w:r>
      <w:r w:rsidR="006278CD">
        <w:rPr>
          <w:rFonts w:ascii="Times New Roman" w:hAnsi="Times New Roman" w:cs="Times New Roman"/>
          <w:sz w:val="24"/>
          <w:szCs w:val="24"/>
        </w:rPr>
        <w:t xml:space="preserve">.  Separate models were </w:t>
      </w:r>
      <w:r w:rsidR="006278CD" w:rsidRPr="0072729B">
        <w:rPr>
          <w:rFonts w:ascii="Times New Roman" w:hAnsi="Times New Roman" w:cs="Times New Roman"/>
          <w:sz w:val="24"/>
          <w:szCs w:val="24"/>
          <w:u w:val="single"/>
        </w:rPr>
        <w:t>not</w:t>
      </w:r>
      <w:r w:rsidR="006278CD">
        <w:rPr>
          <w:rFonts w:ascii="Times New Roman" w:hAnsi="Times New Roman" w:cs="Times New Roman"/>
          <w:sz w:val="24"/>
          <w:szCs w:val="24"/>
        </w:rPr>
        <w:t xml:space="preserve"> </w:t>
      </w:r>
      <w:r w:rsidR="009E3F31">
        <w:rPr>
          <w:rFonts w:ascii="Times New Roman" w:hAnsi="Times New Roman" w:cs="Times New Roman"/>
          <w:sz w:val="24"/>
          <w:szCs w:val="24"/>
        </w:rPr>
        <w:t xml:space="preserve">estimated </w:t>
      </w:r>
      <w:r w:rsidR="006278CD">
        <w:rPr>
          <w:rFonts w:ascii="Times New Roman" w:hAnsi="Times New Roman" w:cs="Times New Roman"/>
          <w:sz w:val="24"/>
          <w:szCs w:val="24"/>
        </w:rPr>
        <w:t xml:space="preserve">for each band of </w:t>
      </w:r>
      <w:r w:rsidR="00A93989">
        <w:rPr>
          <w:rFonts w:ascii="Times New Roman" w:hAnsi="Times New Roman" w:cs="Times New Roman"/>
          <w:sz w:val="24"/>
          <w:szCs w:val="24"/>
        </w:rPr>
        <w:t>high school</w:t>
      </w:r>
      <w:r w:rsidR="006278CD">
        <w:rPr>
          <w:rFonts w:ascii="Times New Roman" w:hAnsi="Times New Roman" w:cs="Times New Roman"/>
          <w:sz w:val="24"/>
          <w:szCs w:val="24"/>
        </w:rPr>
        <w:t xml:space="preserve"> GPA.  Thus, </w:t>
      </w:r>
      <w:r>
        <w:rPr>
          <w:rFonts w:ascii="Times New Roman" w:hAnsi="Times New Roman" w:cs="Times New Roman"/>
          <w:sz w:val="24"/>
          <w:szCs w:val="24"/>
        </w:rPr>
        <w:t xml:space="preserve">estimates </w:t>
      </w:r>
      <w:r w:rsidR="006278CD">
        <w:rPr>
          <w:rFonts w:ascii="Times New Roman" w:hAnsi="Times New Roman" w:cs="Times New Roman"/>
          <w:sz w:val="24"/>
          <w:szCs w:val="24"/>
        </w:rPr>
        <w:t xml:space="preserve">within </w:t>
      </w:r>
      <w:r>
        <w:rPr>
          <w:rFonts w:ascii="Times New Roman" w:hAnsi="Times New Roman" w:cs="Times New Roman"/>
          <w:sz w:val="24"/>
          <w:szCs w:val="24"/>
        </w:rPr>
        <w:t xml:space="preserve">a given </w:t>
      </w:r>
      <w:r w:rsidR="006278CD">
        <w:rPr>
          <w:rFonts w:ascii="Times New Roman" w:hAnsi="Times New Roman" w:cs="Times New Roman"/>
          <w:sz w:val="24"/>
          <w:szCs w:val="24"/>
        </w:rPr>
        <w:t>band o</w:t>
      </w:r>
      <w:r w:rsidR="001C1164">
        <w:rPr>
          <w:rFonts w:ascii="Times New Roman" w:hAnsi="Times New Roman" w:cs="Times New Roman"/>
          <w:sz w:val="24"/>
          <w:szCs w:val="24"/>
        </w:rPr>
        <w:t xml:space="preserve">f GPA </w:t>
      </w:r>
      <w:r w:rsidR="00A93989">
        <w:rPr>
          <w:rFonts w:ascii="Times New Roman" w:hAnsi="Times New Roman" w:cs="Times New Roman"/>
          <w:sz w:val="24"/>
          <w:szCs w:val="24"/>
        </w:rPr>
        <w:t xml:space="preserve">are able to </w:t>
      </w:r>
      <w:r w:rsidR="001C1164">
        <w:rPr>
          <w:rFonts w:ascii="Times New Roman" w:hAnsi="Times New Roman" w:cs="Times New Roman"/>
          <w:sz w:val="24"/>
          <w:szCs w:val="24"/>
        </w:rPr>
        <w:t xml:space="preserve">borrow information (variation) from </w:t>
      </w:r>
      <w:r w:rsidR="00A93989">
        <w:rPr>
          <w:rFonts w:ascii="Times New Roman" w:hAnsi="Times New Roman" w:cs="Times New Roman"/>
          <w:sz w:val="24"/>
          <w:szCs w:val="24"/>
        </w:rPr>
        <w:t>other bands, which improve</w:t>
      </w:r>
      <w:r w:rsidR="003433BA">
        <w:rPr>
          <w:rFonts w:ascii="Times New Roman" w:hAnsi="Times New Roman" w:cs="Times New Roman"/>
          <w:sz w:val="24"/>
          <w:szCs w:val="24"/>
        </w:rPr>
        <w:t>s</w:t>
      </w:r>
      <w:r w:rsidR="00A93989">
        <w:rPr>
          <w:rFonts w:ascii="Times New Roman" w:hAnsi="Times New Roman" w:cs="Times New Roman"/>
          <w:sz w:val="24"/>
          <w:szCs w:val="24"/>
        </w:rPr>
        <w:t xml:space="preserve"> the reliability of the estimates considerably.  </w:t>
      </w:r>
    </w:p>
    <w:p w14:paraId="65A56DF1" w14:textId="77777777" w:rsidR="006278CD" w:rsidRDefault="006278CD" w:rsidP="00632B82">
      <w:pPr>
        <w:spacing w:after="0" w:line="240" w:lineRule="auto"/>
        <w:rPr>
          <w:rFonts w:ascii="Times New Roman" w:hAnsi="Times New Roman" w:cs="Times New Roman"/>
          <w:sz w:val="24"/>
          <w:szCs w:val="24"/>
        </w:rPr>
      </w:pPr>
    </w:p>
    <w:p w14:paraId="686726AE" w14:textId="05E3008B" w:rsidR="006278CD" w:rsidRDefault="00A93989"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note that the </w:t>
      </w:r>
      <w:r w:rsidR="006278CD">
        <w:rPr>
          <w:rFonts w:ascii="Times New Roman" w:hAnsi="Times New Roman" w:cs="Times New Roman"/>
          <w:sz w:val="24"/>
          <w:szCs w:val="24"/>
        </w:rPr>
        <w:t xml:space="preserve">arbitrarily chosen values </w:t>
      </w:r>
      <w:r>
        <w:rPr>
          <w:rFonts w:ascii="Times New Roman" w:hAnsi="Times New Roman" w:cs="Times New Roman"/>
          <w:sz w:val="24"/>
          <w:szCs w:val="24"/>
        </w:rPr>
        <w:t xml:space="preserve">for the statistical controls result in </w:t>
      </w:r>
      <w:r w:rsidR="006278CD">
        <w:rPr>
          <w:rFonts w:ascii="Times New Roman" w:hAnsi="Times New Roman" w:cs="Times New Roman"/>
          <w:sz w:val="24"/>
          <w:szCs w:val="24"/>
        </w:rPr>
        <w:t xml:space="preserve">predictions </w:t>
      </w:r>
      <w:r>
        <w:rPr>
          <w:rFonts w:ascii="Times New Roman" w:hAnsi="Times New Roman" w:cs="Times New Roman"/>
          <w:sz w:val="24"/>
          <w:szCs w:val="24"/>
        </w:rPr>
        <w:t xml:space="preserve">being </w:t>
      </w:r>
      <w:r w:rsidR="006278CD">
        <w:rPr>
          <w:rFonts w:ascii="Times New Roman" w:hAnsi="Times New Roman" w:cs="Times New Roman"/>
          <w:sz w:val="24"/>
          <w:szCs w:val="24"/>
        </w:rPr>
        <w:t xml:space="preserve">calculated for </w:t>
      </w:r>
      <w:r w:rsidR="006278CD" w:rsidRPr="00347697">
        <w:rPr>
          <w:rFonts w:ascii="Times New Roman" w:hAnsi="Times New Roman" w:cs="Times New Roman"/>
          <w:sz w:val="24"/>
          <w:szCs w:val="24"/>
        </w:rPr>
        <w:t xml:space="preserve">a </w:t>
      </w:r>
      <w:r w:rsidR="006278CD">
        <w:rPr>
          <w:rFonts w:ascii="Times New Roman" w:hAnsi="Times New Roman" w:cs="Times New Roman"/>
          <w:sz w:val="24"/>
          <w:szCs w:val="24"/>
        </w:rPr>
        <w:t xml:space="preserve">transfer-seeking </w:t>
      </w:r>
      <w:r w:rsidR="006278CD" w:rsidRPr="00347697">
        <w:rPr>
          <w:rFonts w:ascii="Times New Roman" w:hAnsi="Times New Roman" w:cs="Times New Roman"/>
          <w:sz w:val="24"/>
          <w:szCs w:val="24"/>
        </w:rPr>
        <w:t>male student under the age of 20 years at entry to BC who is not of a historically disadvantaged racial/ethnic group, who enrolled in BC for the first time in Fall 2016, who enrolled full-time in his first term</w:t>
      </w:r>
      <w:r w:rsidR="006278CD">
        <w:rPr>
          <w:rFonts w:ascii="Times New Roman" w:hAnsi="Times New Roman" w:cs="Times New Roman"/>
          <w:sz w:val="24"/>
          <w:szCs w:val="24"/>
        </w:rPr>
        <w:t>, and who was assessed for placement into the math curriculum with multiple measures</w:t>
      </w:r>
      <w:r w:rsidR="006278CD" w:rsidRPr="00347697">
        <w:rPr>
          <w:rFonts w:ascii="Times New Roman" w:hAnsi="Times New Roman" w:cs="Times New Roman"/>
          <w:sz w:val="24"/>
          <w:szCs w:val="24"/>
        </w:rPr>
        <w:t>.</w:t>
      </w:r>
      <w:r>
        <w:rPr>
          <w:rFonts w:ascii="Times New Roman" w:hAnsi="Times New Roman" w:cs="Times New Roman"/>
          <w:sz w:val="24"/>
          <w:szCs w:val="24"/>
        </w:rPr>
        <w:t xml:space="preserve">  Importantly, because </w:t>
      </w:r>
      <w:r w:rsidR="00947CB8">
        <w:rPr>
          <w:rFonts w:ascii="Times New Roman" w:hAnsi="Times New Roman" w:cs="Times New Roman"/>
          <w:sz w:val="24"/>
          <w:szCs w:val="24"/>
        </w:rPr>
        <w:t>the control</w:t>
      </w:r>
      <w:r>
        <w:rPr>
          <w:rFonts w:ascii="Times New Roman" w:hAnsi="Times New Roman" w:cs="Times New Roman"/>
          <w:sz w:val="24"/>
          <w:szCs w:val="24"/>
        </w:rPr>
        <w:t xml:space="preserve"> variables are </w:t>
      </w:r>
      <w:r w:rsidR="00403016">
        <w:rPr>
          <w:rFonts w:ascii="Times New Roman" w:hAnsi="Times New Roman" w:cs="Times New Roman"/>
          <w:sz w:val="24"/>
          <w:szCs w:val="24"/>
        </w:rPr>
        <w:t xml:space="preserve">not </w:t>
      </w:r>
      <w:r>
        <w:rPr>
          <w:rFonts w:ascii="Times New Roman" w:hAnsi="Times New Roman" w:cs="Times New Roman"/>
          <w:sz w:val="24"/>
          <w:szCs w:val="24"/>
        </w:rPr>
        <w:t xml:space="preserve">interacted with </w:t>
      </w:r>
      <w:r w:rsidR="00947CB8">
        <w:rPr>
          <w:rFonts w:ascii="Times New Roman" w:hAnsi="Times New Roman" w:cs="Times New Roman"/>
          <w:sz w:val="24"/>
          <w:szCs w:val="24"/>
        </w:rPr>
        <w:t xml:space="preserve">point of entry to the curriculum, changing the values at which controls are fixed </w:t>
      </w:r>
      <w:r w:rsidR="003433BA" w:rsidRPr="0072729B">
        <w:rPr>
          <w:rFonts w:ascii="Times New Roman" w:hAnsi="Times New Roman" w:cs="Times New Roman"/>
          <w:i/>
          <w:sz w:val="24"/>
          <w:szCs w:val="24"/>
        </w:rPr>
        <w:t>would</w:t>
      </w:r>
      <w:r w:rsidR="003433BA">
        <w:rPr>
          <w:rFonts w:ascii="Times New Roman" w:hAnsi="Times New Roman" w:cs="Times New Roman"/>
          <w:sz w:val="24"/>
          <w:szCs w:val="24"/>
        </w:rPr>
        <w:t xml:space="preserve"> </w:t>
      </w:r>
      <w:r w:rsidR="003433BA" w:rsidRPr="0082328E">
        <w:rPr>
          <w:rFonts w:ascii="Times New Roman" w:hAnsi="Times New Roman" w:cs="Times New Roman"/>
          <w:i/>
          <w:sz w:val="24"/>
          <w:szCs w:val="24"/>
        </w:rPr>
        <w:t>not affect the order of entry points with respect to the probability of achieving a given outcome</w:t>
      </w:r>
      <w:r w:rsidR="003433BA">
        <w:rPr>
          <w:rFonts w:ascii="Times New Roman" w:hAnsi="Times New Roman" w:cs="Times New Roman"/>
          <w:sz w:val="24"/>
          <w:szCs w:val="24"/>
        </w:rPr>
        <w:t xml:space="preserve">, though </w:t>
      </w:r>
      <w:r w:rsidR="00947CB8">
        <w:rPr>
          <w:rFonts w:ascii="Times New Roman" w:hAnsi="Times New Roman" w:cs="Times New Roman"/>
          <w:sz w:val="24"/>
          <w:szCs w:val="24"/>
        </w:rPr>
        <w:t xml:space="preserve">the absolute differences in predicted probabilities between entry </w:t>
      </w:r>
      <w:r w:rsidR="00947CB8" w:rsidRPr="0072729B">
        <w:rPr>
          <w:rFonts w:ascii="Times New Roman" w:hAnsi="Times New Roman" w:cs="Times New Roman"/>
          <w:sz w:val="24"/>
          <w:szCs w:val="24"/>
        </w:rPr>
        <w:t xml:space="preserve">points </w:t>
      </w:r>
      <w:r w:rsidR="003433BA" w:rsidRPr="0072729B">
        <w:rPr>
          <w:rFonts w:ascii="Times New Roman" w:hAnsi="Times New Roman" w:cs="Times New Roman"/>
          <w:sz w:val="24"/>
          <w:szCs w:val="24"/>
        </w:rPr>
        <w:t>would change</w:t>
      </w:r>
      <w:r w:rsidR="00947CB8">
        <w:rPr>
          <w:rFonts w:ascii="Times New Roman" w:hAnsi="Times New Roman" w:cs="Times New Roman"/>
          <w:sz w:val="24"/>
          <w:szCs w:val="24"/>
        </w:rPr>
        <w:t xml:space="preserve">.  </w:t>
      </w:r>
      <w:r w:rsidR="003433BA">
        <w:rPr>
          <w:rFonts w:ascii="Times New Roman" w:hAnsi="Times New Roman" w:cs="Times New Roman"/>
          <w:sz w:val="24"/>
          <w:szCs w:val="24"/>
        </w:rPr>
        <w:t>Thus, t</w:t>
      </w:r>
      <w:r w:rsidR="00947CB8">
        <w:rPr>
          <w:rFonts w:ascii="Times New Roman" w:hAnsi="Times New Roman" w:cs="Times New Roman"/>
          <w:sz w:val="24"/>
          <w:szCs w:val="24"/>
        </w:rPr>
        <w:t xml:space="preserve">he entry point associated with the highest </w:t>
      </w:r>
      <w:r w:rsidR="003433BA">
        <w:rPr>
          <w:rFonts w:ascii="Times New Roman" w:hAnsi="Times New Roman" w:cs="Times New Roman"/>
          <w:sz w:val="24"/>
          <w:szCs w:val="24"/>
        </w:rPr>
        <w:t xml:space="preserve">predicted </w:t>
      </w:r>
      <w:r w:rsidR="00947CB8">
        <w:rPr>
          <w:rFonts w:ascii="Times New Roman" w:hAnsi="Times New Roman" w:cs="Times New Roman"/>
          <w:sz w:val="24"/>
          <w:szCs w:val="24"/>
        </w:rPr>
        <w:t xml:space="preserve">probability of the outcome </w:t>
      </w:r>
      <w:r w:rsidR="003433BA">
        <w:rPr>
          <w:rFonts w:ascii="Times New Roman" w:hAnsi="Times New Roman" w:cs="Times New Roman"/>
          <w:sz w:val="24"/>
          <w:szCs w:val="24"/>
        </w:rPr>
        <w:t xml:space="preserve">would </w:t>
      </w:r>
      <w:r w:rsidR="00947CB8">
        <w:rPr>
          <w:rFonts w:ascii="Times New Roman" w:hAnsi="Times New Roman" w:cs="Times New Roman"/>
          <w:sz w:val="24"/>
          <w:szCs w:val="24"/>
        </w:rPr>
        <w:t xml:space="preserve">remain the highest regardless of the values at which the controls </w:t>
      </w:r>
      <w:r w:rsidR="003433BA">
        <w:rPr>
          <w:rFonts w:ascii="Times New Roman" w:hAnsi="Times New Roman" w:cs="Times New Roman"/>
          <w:sz w:val="24"/>
          <w:szCs w:val="24"/>
        </w:rPr>
        <w:t xml:space="preserve">are </w:t>
      </w:r>
      <w:r w:rsidR="00947CB8">
        <w:rPr>
          <w:rFonts w:ascii="Times New Roman" w:hAnsi="Times New Roman" w:cs="Times New Roman"/>
          <w:sz w:val="24"/>
          <w:szCs w:val="24"/>
        </w:rPr>
        <w:t xml:space="preserve">held.  </w:t>
      </w:r>
    </w:p>
    <w:p w14:paraId="5843CCCF" w14:textId="77777777" w:rsidR="006278CD" w:rsidRDefault="006278CD" w:rsidP="00632B82">
      <w:pPr>
        <w:spacing w:after="0" w:line="240" w:lineRule="auto"/>
        <w:rPr>
          <w:rFonts w:ascii="Times New Roman" w:hAnsi="Times New Roman" w:cs="Times New Roman"/>
          <w:sz w:val="24"/>
          <w:szCs w:val="24"/>
        </w:rPr>
      </w:pPr>
    </w:p>
    <w:p w14:paraId="1E0F82EA" w14:textId="1DF4C791" w:rsidR="00745AA0" w:rsidRPr="006C04FB" w:rsidRDefault="00115561" w:rsidP="00745AA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Results</w:t>
      </w:r>
    </w:p>
    <w:p w14:paraId="3256B2EF" w14:textId="77777777" w:rsidR="007E5022" w:rsidRDefault="007E5022" w:rsidP="00632B82">
      <w:pPr>
        <w:spacing w:after="0" w:line="240" w:lineRule="auto"/>
        <w:rPr>
          <w:rFonts w:ascii="Times New Roman" w:hAnsi="Times New Roman" w:cs="Times New Roman"/>
          <w:sz w:val="24"/>
          <w:szCs w:val="24"/>
        </w:rPr>
      </w:pPr>
    </w:p>
    <w:p w14:paraId="6E71FD27" w14:textId="17C9F83D" w:rsidR="00D90C4D" w:rsidRDefault="00DF03EB"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15 presents </w:t>
      </w:r>
      <w:r w:rsidR="006C421B">
        <w:rPr>
          <w:rFonts w:ascii="Times New Roman" w:hAnsi="Times New Roman" w:cs="Times New Roman"/>
          <w:sz w:val="24"/>
          <w:szCs w:val="24"/>
        </w:rPr>
        <w:t xml:space="preserve">a cross-tabulation </w:t>
      </w:r>
      <w:r>
        <w:rPr>
          <w:rFonts w:ascii="Times New Roman" w:hAnsi="Times New Roman" w:cs="Times New Roman"/>
          <w:sz w:val="24"/>
          <w:szCs w:val="24"/>
        </w:rPr>
        <w:t xml:space="preserve">of </w:t>
      </w:r>
      <w:r w:rsidR="00F35D95">
        <w:rPr>
          <w:rFonts w:ascii="Times New Roman" w:hAnsi="Times New Roman" w:cs="Times New Roman"/>
          <w:sz w:val="24"/>
          <w:szCs w:val="24"/>
        </w:rPr>
        <w:t xml:space="preserve">high school GPA </w:t>
      </w:r>
      <w:r>
        <w:rPr>
          <w:rFonts w:ascii="Times New Roman" w:hAnsi="Times New Roman" w:cs="Times New Roman"/>
          <w:sz w:val="24"/>
          <w:szCs w:val="24"/>
        </w:rPr>
        <w:t>band</w:t>
      </w:r>
      <w:r w:rsidR="0080539E">
        <w:rPr>
          <w:rFonts w:ascii="Times New Roman" w:hAnsi="Times New Roman" w:cs="Times New Roman"/>
          <w:sz w:val="24"/>
          <w:szCs w:val="24"/>
        </w:rPr>
        <w:t xml:space="preserve"> by first quantitative course</w:t>
      </w:r>
      <w:r>
        <w:rPr>
          <w:rFonts w:ascii="Times New Roman" w:hAnsi="Times New Roman" w:cs="Times New Roman"/>
          <w:sz w:val="24"/>
          <w:szCs w:val="24"/>
        </w:rPr>
        <w:t xml:space="preserve">.  </w:t>
      </w:r>
      <w:r w:rsidR="00745AA0">
        <w:rPr>
          <w:rFonts w:ascii="Times New Roman" w:hAnsi="Times New Roman" w:cs="Times New Roman"/>
          <w:sz w:val="24"/>
          <w:szCs w:val="24"/>
        </w:rPr>
        <w:t>Table 1</w:t>
      </w:r>
      <w:r w:rsidR="005F5159">
        <w:rPr>
          <w:rFonts w:ascii="Times New Roman" w:hAnsi="Times New Roman" w:cs="Times New Roman"/>
          <w:sz w:val="24"/>
          <w:szCs w:val="24"/>
        </w:rPr>
        <w:t>6</w:t>
      </w:r>
      <w:r w:rsidR="00745AA0">
        <w:rPr>
          <w:rFonts w:ascii="Times New Roman" w:hAnsi="Times New Roman" w:cs="Times New Roman"/>
          <w:sz w:val="24"/>
          <w:szCs w:val="24"/>
        </w:rPr>
        <w:t xml:space="preserve"> presents the predicted probabilities of each of the two outcomes for students who entered the curriculum through each of the seven quantitative courses considered here.  Within each band of high school GPA, </w:t>
      </w:r>
      <w:r w:rsidR="00F35D95">
        <w:rPr>
          <w:rFonts w:ascii="Times New Roman" w:hAnsi="Times New Roman" w:cs="Times New Roman"/>
          <w:sz w:val="24"/>
          <w:szCs w:val="24"/>
        </w:rPr>
        <w:t xml:space="preserve">Table 16 presents </w:t>
      </w:r>
      <w:r w:rsidR="00745AA0">
        <w:rPr>
          <w:rFonts w:ascii="Times New Roman" w:hAnsi="Times New Roman" w:cs="Times New Roman"/>
          <w:sz w:val="24"/>
          <w:szCs w:val="24"/>
        </w:rPr>
        <w:t xml:space="preserve">predictions for students </w:t>
      </w:r>
      <w:r w:rsidR="00DE0568">
        <w:rPr>
          <w:rFonts w:ascii="Times New Roman" w:hAnsi="Times New Roman" w:cs="Times New Roman"/>
          <w:sz w:val="24"/>
          <w:szCs w:val="24"/>
        </w:rPr>
        <w:t xml:space="preserve">with GPAs and math scaled scores </w:t>
      </w:r>
      <w:r w:rsidR="00916EA5">
        <w:rPr>
          <w:rFonts w:ascii="Times New Roman" w:hAnsi="Times New Roman" w:cs="Times New Roman"/>
          <w:sz w:val="24"/>
          <w:szCs w:val="24"/>
        </w:rPr>
        <w:t>equal to</w:t>
      </w:r>
      <w:r w:rsidR="00DE0568">
        <w:rPr>
          <w:rFonts w:ascii="Times New Roman" w:hAnsi="Times New Roman" w:cs="Times New Roman"/>
          <w:sz w:val="24"/>
          <w:szCs w:val="24"/>
        </w:rPr>
        <w:t xml:space="preserve"> </w:t>
      </w:r>
      <w:r w:rsidR="007F545E">
        <w:rPr>
          <w:rFonts w:ascii="Times New Roman" w:hAnsi="Times New Roman" w:cs="Times New Roman"/>
          <w:sz w:val="24"/>
          <w:szCs w:val="24"/>
        </w:rPr>
        <w:t>their respective</w:t>
      </w:r>
      <w:r w:rsidR="00DE0568">
        <w:rPr>
          <w:rFonts w:ascii="Times New Roman" w:hAnsi="Times New Roman" w:cs="Times New Roman"/>
          <w:sz w:val="24"/>
          <w:szCs w:val="24"/>
        </w:rPr>
        <w:t xml:space="preserve"> 25</w:t>
      </w:r>
      <w:r w:rsidR="00DE0568" w:rsidRPr="0072729B">
        <w:rPr>
          <w:rFonts w:ascii="Times New Roman" w:hAnsi="Times New Roman" w:cs="Times New Roman"/>
          <w:sz w:val="24"/>
          <w:szCs w:val="24"/>
          <w:vertAlign w:val="superscript"/>
        </w:rPr>
        <w:t>th</w:t>
      </w:r>
      <w:r w:rsidR="00DE0568">
        <w:rPr>
          <w:rFonts w:ascii="Times New Roman" w:hAnsi="Times New Roman" w:cs="Times New Roman"/>
          <w:sz w:val="24"/>
          <w:szCs w:val="24"/>
        </w:rPr>
        <w:t>, 50</w:t>
      </w:r>
      <w:r w:rsidR="00DE0568" w:rsidRPr="0072729B">
        <w:rPr>
          <w:rFonts w:ascii="Times New Roman" w:hAnsi="Times New Roman" w:cs="Times New Roman"/>
          <w:sz w:val="24"/>
          <w:szCs w:val="24"/>
          <w:vertAlign w:val="superscript"/>
        </w:rPr>
        <w:t>th</w:t>
      </w:r>
      <w:r w:rsidR="00DE0568">
        <w:rPr>
          <w:rFonts w:ascii="Times New Roman" w:hAnsi="Times New Roman" w:cs="Times New Roman"/>
          <w:sz w:val="24"/>
          <w:szCs w:val="24"/>
        </w:rPr>
        <w:t>, and 75</w:t>
      </w:r>
      <w:r w:rsidR="00DE0568" w:rsidRPr="0072729B">
        <w:rPr>
          <w:rFonts w:ascii="Times New Roman" w:hAnsi="Times New Roman" w:cs="Times New Roman"/>
          <w:sz w:val="24"/>
          <w:szCs w:val="24"/>
          <w:vertAlign w:val="superscript"/>
        </w:rPr>
        <w:t>th</w:t>
      </w:r>
      <w:r w:rsidR="00DE0568">
        <w:rPr>
          <w:rFonts w:ascii="Times New Roman" w:hAnsi="Times New Roman" w:cs="Times New Roman"/>
          <w:sz w:val="24"/>
          <w:szCs w:val="24"/>
        </w:rPr>
        <w:t xml:space="preserve"> percentiles</w:t>
      </w:r>
      <w:r w:rsidR="00916EA5">
        <w:rPr>
          <w:rFonts w:ascii="Times New Roman" w:hAnsi="Times New Roman" w:cs="Times New Roman"/>
          <w:sz w:val="24"/>
          <w:szCs w:val="24"/>
        </w:rPr>
        <w:t xml:space="preserve"> </w:t>
      </w:r>
      <w:r w:rsidR="00916EA5" w:rsidRPr="0072729B">
        <w:rPr>
          <w:rFonts w:ascii="Times New Roman" w:hAnsi="Times New Roman" w:cs="Times New Roman"/>
          <w:i/>
          <w:sz w:val="24"/>
          <w:szCs w:val="24"/>
        </w:rPr>
        <w:t>within the band</w:t>
      </w:r>
      <w:r w:rsidR="00DE0568">
        <w:rPr>
          <w:rFonts w:ascii="Times New Roman" w:hAnsi="Times New Roman" w:cs="Times New Roman"/>
          <w:sz w:val="24"/>
          <w:szCs w:val="24"/>
        </w:rPr>
        <w:t xml:space="preserve">.  Thus, these predictions provide a picture of how the likelihood of each outcome varies across the range of high school achievement within a given band of high school GPA.  </w:t>
      </w:r>
      <w:r w:rsidR="00F35D95">
        <w:rPr>
          <w:rFonts w:ascii="Times New Roman" w:hAnsi="Times New Roman" w:cs="Times New Roman"/>
          <w:sz w:val="24"/>
          <w:szCs w:val="24"/>
        </w:rPr>
        <w:t xml:space="preserve"> </w:t>
      </w:r>
    </w:p>
    <w:p w14:paraId="1CAC3E45" w14:textId="77777777" w:rsidR="00D90C4D" w:rsidRDefault="00D90C4D" w:rsidP="00632B82">
      <w:pPr>
        <w:spacing w:after="0" w:line="240" w:lineRule="auto"/>
        <w:rPr>
          <w:rFonts w:ascii="Times New Roman" w:hAnsi="Times New Roman" w:cs="Times New Roman"/>
          <w:sz w:val="24"/>
          <w:szCs w:val="24"/>
        </w:rPr>
      </w:pPr>
    </w:p>
    <w:p w14:paraId="541DFA83" w14:textId="09455223" w:rsidR="00745AA0" w:rsidRDefault="00F35D95"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reader is reminded that, despite </w:t>
      </w:r>
      <w:r w:rsidR="00D4212B">
        <w:rPr>
          <w:rFonts w:ascii="Times New Roman" w:hAnsi="Times New Roman" w:cs="Times New Roman"/>
          <w:sz w:val="24"/>
          <w:szCs w:val="24"/>
        </w:rPr>
        <w:t xml:space="preserve">the organization of results by GPA band in </w:t>
      </w:r>
      <w:r>
        <w:rPr>
          <w:rFonts w:ascii="Times New Roman" w:hAnsi="Times New Roman" w:cs="Times New Roman"/>
          <w:sz w:val="24"/>
          <w:szCs w:val="24"/>
        </w:rPr>
        <w:t xml:space="preserve">Table 16, </w:t>
      </w:r>
      <w:r w:rsidR="00D4212B">
        <w:rPr>
          <w:rFonts w:ascii="Times New Roman" w:hAnsi="Times New Roman" w:cs="Times New Roman"/>
          <w:sz w:val="24"/>
          <w:szCs w:val="24"/>
        </w:rPr>
        <w:t xml:space="preserve">all of the results presented in Table 16 were derived from two logistic regression equations, one for each of the two outcomes. </w:t>
      </w:r>
      <w:r w:rsidR="00D90C4D">
        <w:rPr>
          <w:rFonts w:ascii="Times New Roman" w:hAnsi="Times New Roman" w:cs="Times New Roman"/>
          <w:sz w:val="24"/>
          <w:szCs w:val="24"/>
        </w:rPr>
        <w:t xml:space="preserve"> The reader also should note that the results </w:t>
      </w:r>
      <w:r w:rsidR="005B3CF3">
        <w:rPr>
          <w:rFonts w:ascii="Times New Roman" w:hAnsi="Times New Roman" w:cs="Times New Roman"/>
          <w:sz w:val="24"/>
          <w:szCs w:val="24"/>
        </w:rPr>
        <w:t xml:space="preserve">presented in Table 16 </w:t>
      </w:r>
      <w:r w:rsidR="00D90C4D">
        <w:rPr>
          <w:rFonts w:ascii="Times New Roman" w:hAnsi="Times New Roman" w:cs="Times New Roman"/>
          <w:sz w:val="24"/>
          <w:szCs w:val="24"/>
        </w:rPr>
        <w:t xml:space="preserve">are </w:t>
      </w:r>
      <w:r w:rsidR="008F7CF3">
        <w:rPr>
          <w:rFonts w:ascii="Times New Roman" w:hAnsi="Times New Roman" w:cs="Times New Roman"/>
          <w:sz w:val="24"/>
          <w:szCs w:val="24"/>
        </w:rPr>
        <w:t xml:space="preserve">predictions about the probabilities of the specified outcomes, after adjusting for other factors.  The results are </w:t>
      </w:r>
      <w:r w:rsidR="00D90C4D" w:rsidRPr="0072729B">
        <w:rPr>
          <w:rFonts w:ascii="Times New Roman" w:hAnsi="Times New Roman" w:cs="Times New Roman"/>
          <w:i/>
          <w:sz w:val="24"/>
          <w:szCs w:val="24"/>
        </w:rPr>
        <w:t>not</w:t>
      </w:r>
      <w:r w:rsidR="00D90C4D">
        <w:rPr>
          <w:rFonts w:ascii="Times New Roman" w:hAnsi="Times New Roman" w:cs="Times New Roman"/>
          <w:sz w:val="24"/>
          <w:szCs w:val="24"/>
        </w:rPr>
        <w:t xml:space="preserve"> observed rates. </w:t>
      </w:r>
      <w:r w:rsidR="008F7CF3">
        <w:rPr>
          <w:rFonts w:ascii="Times New Roman" w:hAnsi="Times New Roman" w:cs="Times New Roman"/>
          <w:sz w:val="24"/>
          <w:szCs w:val="24"/>
        </w:rPr>
        <w:t xml:space="preserve"> As a </w:t>
      </w:r>
      <w:r w:rsidR="005B3CF3">
        <w:rPr>
          <w:rFonts w:ascii="Times New Roman" w:hAnsi="Times New Roman" w:cs="Times New Roman"/>
          <w:sz w:val="24"/>
          <w:szCs w:val="24"/>
        </w:rPr>
        <w:t>consequence</w:t>
      </w:r>
      <w:r w:rsidR="00D90C4D">
        <w:rPr>
          <w:rFonts w:ascii="Times New Roman" w:hAnsi="Times New Roman" w:cs="Times New Roman"/>
          <w:sz w:val="24"/>
          <w:szCs w:val="24"/>
        </w:rPr>
        <w:t xml:space="preserve">, </w:t>
      </w:r>
      <w:r w:rsidR="008F7CF3">
        <w:rPr>
          <w:rFonts w:ascii="Times New Roman" w:hAnsi="Times New Roman" w:cs="Times New Roman"/>
          <w:sz w:val="24"/>
          <w:szCs w:val="24"/>
        </w:rPr>
        <w:t xml:space="preserve">there are instances in which </w:t>
      </w:r>
      <w:r w:rsidR="00CC0D37">
        <w:rPr>
          <w:rFonts w:ascii="Times New Roman" w:hAnsi="Times New Roman" w:cs="Times New Roman"/>
          <w:sz w:val="24"/>
          <w:szCs w:val="24"/>
        </w:rPr>
        <w:t xml:space="preserve">the predicted probability of achieving the second outcome (transfer-level </w:t>
      </w:r>
      <w:r w:rsidR="009D4381">
        <w:rPr>
          <w:rFonts w:ascii="Times New Roman" w:hAnsi="Times New Roman" w:cs="Times New Roman"/>
          <w:sz w:val="24"/>
          <w:szCs w:val="24"/>
        </w:rPr>
        <w:t xml:space="preserve">quantitative </w:t>
      </w:r>
      <w:r w:rsidR="00CC0D37">
        <w:rPr>
          <w:rFonts w:ascii="Times New Roman" w:hAnsi="Times New Roman" w:cs="Times New Roman"/>
          <w:sz w:val="24"/>
          <w:szCs w:val="24"/>
        </w:rPr>
        <w:t xml:space="preserve">competency) is </w:t>
      </w:r>
      <w:r w:rsidR="00172672">
        <w:rPr>
          <w:rFonts w:ascii="Times New Roman" w:hAnsi="Times New Roman" w:cs="Times New Roman"/>
          <w:sz w:val="24"/>
          <w:szCs w:val="24"/>
        </w:rPr>
        <w:t>slightly</w:t>
      </w:r>
      <w:r w:rsidR="009D4381">
        <w:rPr>
          <w:rFonts w:ascii="Times New Roman" w:hAnsi="Times New Roman" w:cs="Times New Roman"/>
          <w:sz w:val="24"/>
          <w:szCs w:val="24"/>
        </w:rPr>
        <w:t xml:space="preserve"> </w:t>
      </w:r>
      <w:r w:rsidR="00CC0D37">
        <w:rPr>
          <w:rFonts w:ascii="Times New Roman" w:hAnsi="Times New Roman" w:cs="Times New Roman"/>
          <w:sz w:val="24"/>
          <w:szCs w:val="24"/>
        </w:rPr>
        <w:t xml:space="preserve">greater than the predicted probability of achieving </w:t>
      </w:r>
      <w:r w:rsidR="009D4381">
        <w:rPr>
          <w:rFonts w:ascii="Times New Roman" w:hAnsi="Times New Roman" w:cs="Times New Roman"/>
          <w:sz w:val="24"/>
          <w:szCs w:val="24"/>
        </w:rPr>
        <w:t>the first outcome (associate- or transfer-level quantitative competency)</w:t>
      </w:r>
      <w:r w:rsidR="005B3CF3">
        <w:rPr>
          <w:rFonts w:ascii="Times New Roman" w:hAnsi="Times New Roman" w:cs="Times New Roman"/>
          <w:sz w:val="24"/>
          <w:szCs w:val="24"/>
        </w:rPr>
        <w:t>, which is impossible in actuality because the second outcome is subsumed into the first</w:t>
      </w:r>
      <w:r w:rsidR="009D4381">
        <w:rPr>
          <w:rFonts w:ascii="Times New Roman" w:hAnsi="Times New Roman" w:cs="Times New Roman"/>
          <w:sz w:val="24"/>
          <w:szCs w:val="24"/>
        </w:rPr>
        <w:t>.  This phenomenon is limited mainly to Psyc B5, in which students have an unusually high rate of first-attempt success</w:t>
      </w:r>
      <w:r w:rsidR="00172672">
        <w:rPr>
          <w:rFonts w:ascii="Times New Roman" w:hAnsi="Times New Roman" w:cs="Times New Roman"/>
          <w:sz w:val="24"/>
          <w:szCs w:val="24"/>
        </w:rPr>
        <w:t xml:space="preserve">, and to Math B22 in the highest band of high </w:t>
      </w:r>
      <w:r w:rsidR="00172672">
        <w:rPr>
          <w:rFonts w:ascii="Times New Roman" w:hAnsi="Times New Roman" w:cs="Times New Roman"/>
          <w:sz w:val="24"/>
          <w:szCs w:val="24"/>
        </w:rPr>
        <w:lastRenderedPageBreak/>
        <w:t xml:space="preserve">school achievement.  It represents a limitation of </w:t>
      </w:r>
      <w:r w:rsidR="007F545E">
        <w:rPr>
          <w:rFonts w:ascii="Times New Roman" w:hAnsi="Times New Roman" w:cs="Times New Roman"/>
          <w:sz w:val="24"/>
          <w:szCs w:val="24"/>
        </w:rPr>
        <w:t xml:space="preserve">model fit to the data </w:t>
      </w:r>
      <w:r w:rsidR="00172672">
        <w:rPr>
          <w:rFonts w:ascii="Times New Roman" w:hAnsi="Times New Roman" w:cs="Times New Roman"/>
          <w:sz w:val="24"/>
          <w:szCs w:val="24"/>
        </w:rPr>
        <w:t>and not an error in the data.</w:t>
      </w:r>
    </w:p>
    <w:p w14:paraId="431B4C92" w14:textId="77777777" w:rsidR="007E5022" w:rsidRDefault="007E5022" w:rsidP="00632B82">
      <w:pPr>
        <w:spacing w:after="0" w:line="240" w:lineRule="auto"/>
        <w:rPr>
          <w:rFonts w:ascii="Times New Roman" w:hAnsi="Times New Roman" w:cs="Times New Roman"/>
          <w:sz w:val="24"/>
          <w:szCs w:val="24"/>
        </w:rPr>
      </w:pPr>
    </w:p>
    <w:p w14:paraId="5614576B" w14:textId="1F57AEEE" w:rsidR="00916EA5" w:rsidRDefault="00172672"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Turning to the results, a</w:t>
      </w:r>
      <w:r w:rsidR="00916EA5">
        <w:rPr>
          <w:rFonts w:ascii="Times New Roman" w:hAnsi="Times New Roman" w:cs="Times New Roman"/>
          <w:sz w:val="24"/>
          <w:szCs w:val="24"/>
        </w:rPr>
        <w:t xml:space="preserve">s </w:t>
      </w:r>
      <w:r>
        <w:rPr>
          <w:rFonts w:ascii="Times New Roman" w:hAnsi="Times New Roman" w:cs="Times New Roman"/>
          <w:sz w:val="24"/>
          <w:szCs w:val="24"/>
        </w:rPr>
        <w:t xml:space="preserve">explained earlier </w:t>
      </w:r>
      <w:r w:rsidR="00916EA5">
        <w:rPr>
          <w:rFonts w:ascii="Times New Roman" w:hAnsi="Times New Roman" w:cs="Times New Roman"/>
          <w:sz w:val="24"/>
          <w:szCs w:val="24"/>
        </w:rPr>
        <w:t xml:space="preserve">the first outcome </w:t>
      </w:r>
      <w:r w:rsidR="007B7AC1">
        <w:rPr>
          <w:rFonts w:ascii="Times New Roman" w:hAnsi="Times New Roman" w:cs="Times New Roman"/>
          <w:sz w:val="24"/>
          <w:szCs w:val="24"/>
        </w:rPr>
        <w:t xml:space="preserve">is achieving associate- or transfer-level quantitative competency (either or both) within one calendar year of when a student began his/her first quantitative course at BC.  Across all </w:t>
      </w:r>
      <w:r w:rsidR="007A7300">
        <w:rPr>
          <w:rFonts w:ascii="Times New Roman" w:hAnsi="Times New Roman" w:cs="Times New Roman"/>
          <w:sz w:val="24"/>
          <w:szCs w:val="24"/>
        </w:rPr>
        <w:t xml:space="preserve">three </w:t>
      </w:r>
      <w:r w:rsidR="007B7AC1">
        <w:rPr>
          <w:rFonts w:ascii="Times New Roman" w:hAnsi="Times New Roman" w:cs="Times New Roman"/>
          <w:sz w:val="24"/>
          <w:szCs w:val="24"/>
        </w:rPr>
        <w:t xml:space="preserve">bands of high school GPA and across all levels of high school achievement </w:t>
      </w:r>
      <w:r w:rsidR="007A7300">
        <w:rPr>
          <w:rFonts w:ascii="Times New Roman" w:hAnsi="Times New Roman" w:cs="Times New Roman"/>
          <w:sz w:val="24"/>
          <w:szCs w:val="24"/>
        </w:rPr>
        <w:t xml:space="preserve">(GPA and math scaled score) </w:t>
      </w:r>
      <w:r w:rsidR="007B7AC1">
        <w:rPr>
          <w:rFonts w:ascii="Times New Roman" w:hAnsi="Times New Roman" w:cs="Times New Roman"/>
          <w:sz w:val="24"/>
          <w:szCs w:val="24"/>
        </w:rPr>
        <w:t xml:space="preserve">within each band, students who enter the curriculum through Psyc B5 have the highest predicted probability of achieving associate- or transfer-level competency, </w:t>
      </w:r>
      <w:r w:rsidR="00D63AE1">
        <w:rPr>
          <w:rFonts w:ascii="Times New Roman" w:hAnsi="Times New Roman" w:cs="Times New Roman"/>
          <w:sz w:val="24"/>
          <w:szCs w:val="24"/>
        </w:rPr>
        <w:t xml:space="preserve">all else being equal.  The second highest probability is found among students who enter the curriculum through the </w:t>
      </w:r>
      <w:r w:rsidR="00403016">
        <w:rPr>
          <w:rFonts w:ascii="Times New Roman" w:hAnsi="Times New Roman" w:cs="Times New Roman"/>
          <w:sz w:val="24"/>
          <w:szCs w:val="24"/>
        </w:rPr>
        <w:t>first half</w:t>
      </w:r>
      <w:r w:rsidR="00D63AE1">
        <w:rPr>
          <w:rFonts w:ascii="Times New Roman" w:hAnsi="Times New Roman" w:cs="Times New Roman"/>
          <w:sz w:val="24"/>
          <w:szCs w:val="24"/>
        </w:rPr>
        <w:t xml:space="preserve"> of LRNC B530, and</w:t>
      </w:r>
      <w:r w:rsidR="007A7300">
        <w:rPr>
          <w:rFonts w:ascii="Times New Roman" w:hAnsi="Times New Roman" w:cs="Times New Roman"/>
          <w:sz w:val="24"/>
          <w:szCs w:val="24"/>
        </w:rPr>
        <w:t>, like Psyc B5,</w:t>
      </w:r>
      <w:r w:rsidR="00D63AE1">
        <w:rPr>
          <w:rFonts w:ascii="Times New Roman" w:hAnsi="Times New Roman" w:cs="Times New Roman"/>
          <w:sz w:val="24"/>
          <w:szCs w:val="24"/>
        </w:rPr>
        <w:t xml:space="preserve"> this </w:t>
      </w:r>
      <w:r w:rsidR="007A7300">
        <w:rPr>
          <w:rFonts w:ascii="Times New Roman" w:hAnsi="Times New Roman" w:cs="Times New Roman"/>
          <w:sz w:val="24"/>
          <w:szCs w:val="24"/>
        </w:rPr>
        <w:t xml:space="preserve">finding </w:t>
      </w:r>
      <w:r w:rsidR="00D63AE1">
        <w:rPr>
          <w:rFonts w:ascii="Times New Roman" w:hAnsi="Times New Roman" w:cs="Times New Roman"/>
          <w:sz w:val="24"/>
          <w:szCs w:val="24"/>
        </w:rPr>
        <w:t xml:space="preserve">holds true </w:t>
      </w:r>
      <w:r w:rsidR="007A7300">
        <w:rPr>
          <w:rFonts w:ascii="Times New Roman" w:hAnsi="Times New Roman" w:cs="Times New Roman"/>
          <w:sz w:val="24"/>
          <w:szCs w:val="24"/>
        </w:rPr>
        <w:t>across all three bands of GPA and across all three levels of high school achievement within each band.</w:t>
      </w:r>
      <w:r w:rsidR="006B69E7">
        <w:rPr>
          <w:rStyle w:val="FootnoteReference"/>
          <w:rFonts w:ascii="Times New Roman" w:hAnsi="Times New Roman" w:cs="Times New Roman"/>
          <w:sz w:val="24"/>
          <w:szCs w:val="24"/>
        </w:rPr>
        <w:footnoteReference w:id="7"/>
      </w:r>
      <w:r w:rsidR="007A7300">
        <w:rPr>
          <w:rFonts w:ascii="Times New Roman" w:hAnsi="Times New Roman" w:cs="Times New Roman"/>
          <w:sz w:val="24"/>
          <w:szCs w:val="24"/>
        </w:rPr>
        <w:t xml:space="preserve">  </w:t>
      </w:r>
      <w:r w:rsidR="006B69E7">
        <w:rPr>
          <w:rFonts w:ascii="Times New Roman" w:hAnsi="Times New Roman" w:cs="Times New Roman"/>
          <w:sz w:val="24"/>
          <w:szCs w:val="24"/>
        </w:rPr>
        <w:t xml:space="preserve">The third highest probability is found among </w:t>
      </w:r>
      <w:r w:rsidR="00403016">
        <w:rPr>
          <w:rFonts w:ascii="Times New Roman" w:hAnsi="Times New Roman" w:cs="Times New Roman"/>
          <w:sz w:val="24"/>
          <w:szCs w:val="24"/>
        </w:rPr>
        <w:t>students who enter</w:t>
      </w:r>
      <w:r w:rsidR="006B69E7">
        <w:rPr>
          <w:rFonts w:ascii="Times New Roman" w:hAnsi="Times New Roman" w:cs="Times New Roman"/>
          <w:sz w:val="24"/>
          <w:szCs w:val="24"/>
        </w:rPr>
        <w:t xml:space="preserve"> the curriculum through Math B70, and again </w:t>
      </w:r>
      <w:r w:rsidR="00D4212B">
        <w:rPr>
          <w:rFonts w:ascii="Times New Roman" w:hAnsi="Times New Roman" w:cs="Times New Roman"/>
          <w:sz w:val="24"/>
          <w:szCs w:val="24"/>
        </w:rPr>
        <w:t xml:space="preserve">this finding </w:t>
      </w:r>
      <w:r w:rsidR="006B69E7">
        <w:rPr>
          <w:rFonts w:ascii="Times New Roman" w:hAnsi="Times New Roman" w:cs="Times New Roman"/>
          <w:sz w:val="24"/>
          <w:szCs w:val="24"/>
        </w:rPr>
        <w:t>holds true across all bands of GPA and all levels of high school achievement within each band.</w:t>
      </w:r>
    </w:p>
    <w:p w14:paraId="656A8FC4" w14:textId="77777777" w:rsidR="00916EA5" w:rsidRDefault="00916EA5" w:rsidP="00632B82">
      <w:pPr>
        <w:spacing w:after="0" w:line="240" w:lineRule="auto"/>
        <w:rPr>
          <w:rFonts w:ascii="Times New Roman" w:hAnsi="Times New Roman" w:cs="Times New Roman"/>
          <w:sz w:val="24"/>
          <w:szCs w:val="24"/>
        </w:rPr>
      </w:pPr>
    </w:p>
    <w:p w14:paraId="4B141C00" w14:textId="56406998" w:rsidR="00CE3091" w:rsidRDefault="00CE3091"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The second outcome is achievement of transfer-level quantitative competency</w:t>
      </w:r>
      <w:r w:rsidR="005F5159">
        <w:rPr>
          <w:rFonts w:ascii="Times New Roman" w:hAnsi="Times New Roman" w:cs="Times New Roman"/>
          <w:sz w:val="24"/>
          <w:szCs w:val="24"/>
        </w:rPr>
        <w:t xml:space="preserve"> within one calendar year</w:t>
      </w:r>
      <w:r>
        <w:rPr>
          <w:rFonts w:ascii="Times New Roman" w:hAnsi="Times New Roman" w:cs="Times New Roman"/>
          <w:sz w:val="24"/>
          <w:szCs w:val="24"/>
        </w:rPr>
        <w:t>.</w:t>
      </w:r>
      <w:r w:rsidR="005F5159">
        <w:rPr>
          <w:rFonts w:ascii="Times New Roman" w:hAnsi="Times New Roman" w:cs="Times New Roman"/>
          <w:sz w:val="24"/>
          <w:szCs w:val="24"/>
        </w:rPr>
        <w:t xml:space="preserve">  Table 16 indicates that the highest probability of achieving transfer-level quantitative competency is found among students who enter the curriculum through Psyc B5</w:t>
      </w:r>
      <w:r w:rsidR="00C038D7">
        <w:rPr>
          <w:rFonts w:ascii="Times New Roman" w:hAnsi="Times New Roman" w:cs="Times New Roman"/>
          <w:sz w:val="24"/>
          <w:szCs w:val="24"/>
        </w:rPr>
        <w:t>, all else being equal</w:t>
      </w:r>
      <w:r w:rsidR="005F5159">
        <w:rPr>
          <w:rFonts w:ascii="Times New Roman" w:hAnsi="Times New Roman" w:cs="Times New Roman"/>
          <w:sz w:val="24"/>
          <w:szCs w:val="24"/>
        </w:rPr>
        <w:t>.</w:t>
      </w:r>
      <w:r w:rsidR="00EA5A89">
        <w:rPr>
          <w:rFonts w:ascii="Times New Roman" w:hAnsi="Times New Roman" w:cs="Times New Roman"/>
          <w:sz w:val="24"/>
          <w:szCs w:val="24"/>
        </w:rPr>
        <w:t xml:space="preserve">  The second highest probability is found among students </w:t>
      </w:r>
      <w:r w:rsidR="00542A1A">
        <w:rPr>
          <w:rFonts w:ascii="Times New Roman" w:hAnsi="Times New Roman" w:cs="Times New Roman"/>
          <w:sz w:val="24"/>
          <w:szCs w:val="24"/>
        </w:rPr>
        <w:t xml:space="preserve">who enter through Math B22.  However, one will note that the predicted probability of the achieving transfer-level quantitative competency among students in the lowest GPA band does not </w:t>
      </w:r>
      <w:r w:rsidR="002A16DD">
        <w:rPr>
          <w:rFonts w:ascii="Times New Roman" w:hAnsi="Times New Roman" w:cs="Times New Roman"/>
          <w:sz w:val="24"/>
          <w:szCs w:val="24"/>
        </w:rPr>
        <w:t>vary</w:t>
      </w:r>
      <w:r w:rsidR="00542A1A">
        <w:rPr>
          <w:rFonts w:ascii="Times New Roman" w:hAnsi="Times New Roman" w:cs="Times New Roman"/>
          <w:sz w:val="24"/>
          <w:szCs w:val="24"/>
        </w:rPr>
        <w:t xml:space="preserve"> much across </w:t>
      </w:r>
      <w:r w:rsidR="00DF03EB">
        <w:rPr>
          <w:rFonts w:ascii="Times New Roman" w:hAnsi="Times New Roman" w:cs="Times New Roman"/>
          <w:sz w:val="24"/>
          <w:szCs w:val="24"/>
        </w:rPr>
        <w:t xml:space="preserve">the four entry </w:t>
      </w:r>
      <w:r w:rsidR="002A16DD">
        <w:rPr>
          <w:rFonts w:ascii="Times New Roman" w:hAnsi="Times New Roman" w:cs="Times New Roman"/>
          <w:sz w:val="24"/>
          <w:szCs w:val="24"/>
        </w:rPr>
        <w:t xml:space="preserve">points </w:t>
      </w:r>
      <w:r w:rsidR="00DF03EB">
        <w:rPr>
          <w:rFonts w:ascii="Times New Roman" w:hAnsi="Times New Roman" w:cs="Times New Roman"/>
          <w:sz w:val="24"/>
          <w:szCs w:val="24"/>
        </w:rPr>
        <w:t xml:space="preserve">of Math B65, Math B70, Math B1A, and Math B22.  </w:t>
      </w:r>
      <w:r w:rsidR="002A16DD">
        <w:rPr>
          <w:rFonts w:ascii="Times New Roman" w:hAnsi="Times New Roman" w:cs="Times New Roman"/>
          <w:sz w:val="24"/>
          <w:szCs w:val="24"/>
        </w:rPr>
        <w:t xml:space="preserve">Students </w:t>
      </w:r>
      <w:r w:rsidR="00DF03EB">
        <w:rPr>
          <w:rFonts w:ascii="Times New Roman" w:hAnsi="Times New Roman" w:cs="Times New Roman"/>
          <w:sz w:val="24"/>
          <w:szCs w:val="24"/>
        </w:rPr>
        <w:t xml:space="preserve">in the lowest GPA band </w:t>
      </w:r>
      <w:r w:rsidR="002A16DD">
        <w:rPr>
          <w:rFonts w:ascii="Times New Roman" w:hAnsi="Times New Roman" w:cs="Times New Roman"/>
          <w:sz w:val="24"/>
          <w:szCs w:val="24"/>
        </w:rPr>
        <w:t xml:space="preserve">who enter </w:t>
      </w:r>
      <w:r w:rsidR="00DF03EB">
        <w:rPr>
          <w:rFonts w:ascii="Times New Roman" w:hAnsi="Times New Roman" w:cs="Times New Roman"/>
          <w:sz w:val="24"/>
          <w:szCs w:val="24"/>
        </w:rPr>
        <w:t xml:space="preserve">the curriculum </w:t>
      </w:r>
      <w:r w:rsidR="002A16DD">
        <w:rPr>
          <w:rFonts w:ascii="Times New Roman" w:hAnsi="Times New Roman" w:cs="Times New Roman"/>
          <w:sz w:val="24"/>
          <w:szCs w:val="24"/>
        </w:rPr>
        <w:t xml:space="preserve">through </w:t>
      </w:r>
      <w:r w:rsidR="00DF03EB">
        <w:rPr>
          <w:rFonts w:ascii="Times New Roman" w:hAnsi="Times New Roman" w:cs="Times New Roman"/>
          <w:sz w:val="24"/>
          <w:szCs w:val="24"/>
        </w:rPr>
        <w:t xml:space="preserve">any of these four courses </w:t>
      </w:r>
      <w:r w:rsidR="00C038D7">
        <w:rPr>
          <w:rFonts w:ascii="Times New Roman" w:hAnsi="Times New Roman" w:cs="Times New Roman"/>
          <w:sz w:val="24"/>
          <w:szCs w:val="24"/>
        </w:rPr>
        <w:t>have</w:t>
      </w:r>
      <w:r w:rsidR="002A16DD">
        <w:rPr>
          <w:rFonts w:ascii="Times New Roman" w:hAnsi="Times New Roman" w:cs="Times New Roman"/>
          <w:sz w:val="24"/>
          <w:szCs w:val="24"/>
        </w:rPr>
        <w:t xml:space="preserve"> similar likelihoods of achieving transfer-level quantitative competency</w:t>
      </w:r>
      <w:r w:rsidR="00C038D7">
        <w:rPr>
          <w:rFonts w:ascii="Times New Roman" w:hAnsi="Times New Roman" w:cs="Times New Roman"/>
          <w:sz w:val="24"/>
          <w:szCs w:val="24"/>
        </w:rPr>
        <w:t>, once other variables are controlled</w:t>
      </w:r>
      <w:r w:rsidR="00DF03EB">
        <w:rPr>
          <w:rFonts w:ascii="Times New Roman" w:hAnsi="Times New Roman" w:cs="Times New Roman"/>
          <w:sz w:val="24"/>
          <w:szCs w:val="24"/>
        </w:rPr>
        <w:t xml:space="preserve">.  </w:t>
      </w:r>
    </w:p>
    <w:p w14:paraId="5D82FE0C" w14:textId="77777777" w:rsidR="00CE3091" w:rsidRDefault="00CE3091" w:rsidP="00632B82">
      <w:pPr>
        <w:spacing w:after="0" w:line="240" w:lineRule="auto"/>
        <w:rPr>
          <w:rFonts w:ascii="Times New Roman" w:hAnsi="Times New Roman" w:cs="Times New Roman"/>
          <w:sz w:val="24"/>
          <w:szCs w:val="24"/>
        </w:rPr>
      </w:pPr>
    </w:p>
    <w:p w14:paraId="3E102E95" w14:textId="3428D5F3" w:rsidR="006B69E7" w:rsidRPr="0072729B" w:rsidRDefault="006B69E7" w:rsidP="00632B82">
      <w:pPr>
        <w:spacing w:after="0" w:line="240" w:lineRule="auto"/>
        <w:rPr>
          <w:rFonts w:ascii="Times New Roman" w:hAnsi="Times New Roman" w:cs="Times New Roman"/>
          <w:sz w:val="24"/>
          <w:szCs w:val="24"/>
          <w:u w:val="single"/>
        </w:rPr>
      </w:pPr>
      <w:r w:rsidRPr="0072729B">
        <w:rPr>
          <w:rFonts w:ascii="Times New Roman" w:hAnsi="Times New Roman" w:cs="Times New Roman"/>
          <w:sz w:val="24"/>
          <w:szCs w:val="24"/>
          <w:u w:val="single"/>
        </w:rPr>
        <w:t>Questions to Consider in Future Research</w:t>
      </w:r>
    </w:p>
    <w:p w14:paraId="70A60260" w14:textId="77777777" w:rsidR="006B69E7" w:rsidRDefault="006B69E7" w:rsidP="00632B82">
      <w:pPr>
        <w:spacing w:after="0" w:line="240" w:lineRule="auto"/>
        <w:rPr>
          <w:rFonts w:ascii="Times New Roman" w:hAnsi="Times New Roman" w:cs="Times New Roman"/>
          <w:sz w:val="24"/>
          <w:szCs w:val="24"/>
        </w:rPr>
      </w:pPr>
    </w:p>
    <w:p w14:paraId="05B42B4A" w14:textId="700EB7F5" w:rsidR="00846DE6" w:rsidRDefault="008275E5"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B3553">
        <w:rPr>
          <w:rFonts w:ascii="Times New Roman" w:hAnsi="Times New Roman" w:cs="Times New Roman"/>
          <w:sz w:val="24"/>
          <w:szCs w:val="24"/>
        </w:rPr>
        <w:t xml:space="preserve">he analysis </w:t>
      </w:r>
      <w:r w:rsidR="00A2135E">
        <w:rPr>
          <w:rFonts w:ascii="Times New Roman" w:hAnsi="Times New Roman" w:cs="Times New Roman"/>
          <w:sz w:val="24"/>
          <w:szCs w:val="24"/>
        </w:rPr>
        <w:t xml:space="preserve">presented here </w:t>
      </w:r>
      <w:r w:rsidR="005B3553">
        <w:rPr>
          <w:rFonts w:ascii="Times New Roman" w:hAnsi="Times New Roman" w:cs="Times New Roman"/>
          <w:sz w:val="24"/>
          <w:szCs w:val="24"/>
        </w:rPr>
        <w:t xml:space="preserve">presumes that throughput to a given level of quantitative competency </w:t>
      </w:r>
      <w:r w:rsidR="00A2135E">
        <w:rPr>
          <w:rFonts w:ascii="Times New Roman" w:hAnsi="Times New Roman" w:cs="Times New Roman"/>
          <w:sz w:val="24"/>
          <w:szCs w:val="24"/>
        </w:rPr>
        <w:t>is</w:t>
      </w:r>
      <w:r w:rsidR="005B3553">
        <w:rPr>
          <w:rFonts w:ascii="Times New Roman" w:hAnsi="Times New Roman" w:cs="Times New Roman"/>
          <w:sz w:val="24"/>
          <w:szCs w:val="24"/>
        </w:rPr>
        <w:t xml:space="preserve"> the primary consideration when comparing the various points of entry to the curriculum.  </w:t>
      </w:r>
      <w:r w:rsidR="00F1591C">
        <w:rPr>
          <w:rFonts w:ascii="Times New Roman" w:hAnsi="Times New Roman" w:cs="Times New Roman"/>
          <w:sz w:val="24"/>
          <w:szCs w:val="24"/>
        </w:rPr>
        <w:t>The analysis also presumes that focal outcomes should be measured within a</w:t>
      </w:r>
      <w:r w:rsidR="003713CA">
        <w:rPr>
          <w:rFonts w:ascii="Times New Roman" w:hAnsi="Times New Roman" w:cs="Times New Roman"/>
          <w:sz w:val="24"/>
          <w:szCs w:val="24"/>
        </w:rPr>
        <w:t>n</w:t>
      </w:r>
      <w:r w:rsidR="00F1591C">
        <w:rPr>
          <w:rFonts w:ascii="Times New Roman" w:hAnsi="Times New Roman" w:cs="Times New Roman"/>
          <w:sz w:val="24"/>
          <w:szCs w:val="24"/>
        </w:rPr>
        <w:t xml:space="preserve"> observation period defined by one year from the beginning of a student’s first quantitative course.  </w:t>
      </w:r>
      <w:r w:rsidR="003E289E">
        <w:rPr>
          <w:rFonts w:ascii="Times New Roman" w:hAnsi="Times New Roman" w:cs="Times New Roman"/>
          <w:sz w:val="24"/>
          <w:szCs w:val="24"/>
        </w:rPr>
        <w:t xml:space="preserve">The differences in the results for the two </w:t>
      </w:r>
      <w:r w:rsidR="003713CA">
        <w:rPr>
          <w:rFonts w:ascii="Times New Roman" w:hAnsi="Times New Roman" w:cs="Times New Roman"/>
          <w:sz w:val="24"/>
          <w:szCs w:val="24"/>
        </w:rPr>
        <w:t xml:space="preserve">outcomes </w:t>
      </w:r>
      <w:r w:rsidR="003E289E">
        <w:rPr>
          <w:rFonts w:ascii="Times New Roman" w:hAnsi="Times New Roman" w:cs="Times New Roman"/>
          <w:sz w:val="24"/>
          <w:szCs w:val="24"/>
        </w:rPr>
        <w:t xml:space="preserve">highlight </w:t>
      </w:r>
      <w:r>
        <w:rPr>
          <w:rFonts w:ascii="Times New Roman" w:hAnsi="Times New Roman" w:cs="Times New Roman"/>
          <w:sz w:val="24"/>
          <w:szCs w:val="24"/>
        </w:rPr>
        <w:t xml:space="preserve">several areas of potential investigation pertaining to possible downsides of </w:t>
      </w:r>
      <w:r w:rsidR="00846DE6">
        <w:rPr>
          <w:rFonts w:ascii="Times New Roman" w:hAnsi="Times New Roman" w:cs="Times New Roman"/>
          <w:sz w:val="24"/>
          <w:szCs w:val="24"/>
        </w:rPr>
        <w:t xml:space="preserve">a </w:t>
      </w:r>
      <w:r w:rsidR="003E289E">
        <w:rPr>
          <w:rFonts w:ascii="Times New Roman" w:hAnsi="Times New Roman" w:cs="Times New Roman"/>
          <w:sz w:val="24"/>
          <w:szCs w:val="24"/>
        </w:rPr>
        <w:t>singular focus</w:t>
      </w:r>
      <w:r w:rsidR="00846DE6">
        <w:rPr>
          <w:rFonts w:ascii="Times New Roman" w:hAnsi="Times New Roman" w:cs="Times New Roman"/>
          <w:sz w:val="24"/>
          <w:szCs w:val="24"/>
        </w:rPr>
        <w:t xml:space="preserve"> on </w:t>
      </w:r>
      <w:r w:rsidR="008E0C7B">
        <w:rPr>
          <w:rFonts w:ascii="Times New Roman" w:hAnsi="Times New Roman" w:cs="Times New Roman"/>
          <w:sz w:val="24"/>
          <w:szCs w:val="24"/>
        </w:rPr>
        <w:t>one</w:t>
      </w:r>
      <w:r w:rsidR="00846DE6">
        <w:rPr>
          <w:rFonts w:ascii="Times New Roman" w:hAnsi="Times New Roman" w:cs="Times New Roman"/>
          <w:sz w:val="24"/>
          <w:szCs w:val="24"/>
        </w:rPr>
        <w:t xml:space="preserve"> particular definition of throughput</w:t>
      </w:r>
      <w:r w:rsidR="00F1591C">
        <w:rPr>
          <w:rFonts w:ascii="Times New Roman" w:hAnsi="Times New Roman" w:cs="Times New Roman"/>
          <w:sz w:val="24"/>
          <w:szCs w:val="24"/>
        </w:rPr>
        <w:t xml:space="preserve"> and </w:t>
      </w:r>
      <w:r w:rsidR="003713CA">
        <w:rPr>
          <w:rFonts w:ascii="Times New Roman" w:hAnsi="Times New Roman" w:cs="Times New Roman"/>
          <w:sz w:val="24"/>
          <w:szCs w:val="24"/>
        </w:rPr>
        <w:t xml:space="preserve">to the </w:t>
      </w:r>
      <w:r w:rsidR="00F1591C">
        <w:rPr>
          <w:rFonts w:ascii="Times New Roman" w:hAnsi="Times New Roman" w:cs="Times New Roman"/>
          <w:sz w:val="24"/>
          <w:szCs w:val="24"/>
        </w:rPr>
        <w:t>comparative</w:t>
      </w:r>
      <w:r w:rsidR="003713CA">
        <w:rPr>
          <w:rFonts w:ascii="Times New Roman" w:hAnsi="Times New Roman" w:cs="Times New Roman"/>
          <w:sz w:val="24"/>
          <w:szCs w:val="24"/>
        </w:rPr>
        <w:t>ly short time in which throughput is measured</w:t>
      </w:r>
      <w:r w:rsidR="003E289E">
        <w:rPr>
          <w:rFonts w:ascii="Times New Roman" w:hAnsi="Times New Roman" w:cs="Times New Roman"/>
          <w:sz w:val="24"/>
          <w:szCs w:val="24"/>
        </w:rPr>
        <w:t xml:space="preserve">.  </w:t>
      </w:r>
    </w:p>
    <w:p w14:paraId="7665F3B5" w14:textId="77777777" w:rsidR="00846DE6" w:rsidRDefault="00846DE6" w:rsidP="00632B82">
      <w:pPr>
        <w:spacing w:after="0" w:line="240" w:lineRule="auto"/>
        <w:rPr>
          <w:rFonts w:ascii="Times New Roman" w:hAnsi="Times New Roman" w:cs="Times New Roman"/>
          <w:sz w:val="24"/>
          <w:szCs w:val="24"/>
        </w:rPr>
      </w:pPr>
    </w:p>
    <w:p w14:paraId="713A4254" w14:textId="03FE2FED" w:rsidR="00C9072C" w:rsidRDefault="00E95848"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Consider as an illustration the comparison of Math B70 and Math B</w:t>
      </w:r>
      <w:r w:rsidR="003F55D3">
        <w:rPr>
          <w:rFonts w:ascii="Times New Roman" w:hAnsi="Times New Roman" w:cs="Times New Roman"/>
          <w:sz w:val="24"/>
          <w:szCs w:val="24"/>
        </w:rPr>
        <w:t>22</w:t>
      </w:r>
      <w:r>
        <w:rPr>
          <w:rFonts w:ascii="Times New Roman" w:hAnsi="Times New Roman" w:cs="Times New Roman"/>
          <w:sz w:val="24"/>
          <w:szCs w:val="24"/>
        </w:rPr>
        <w:t xml:space="preserve">, focusing exclusively on the predictions for students in the 2.30 to 2.99 GPA band and particularly </w:t>
      </w:r>
      <w:r w:rsidR="00A26912">
        <w:rPr>
          <w:rFonts w:ascii="Times New Roman" w:hAnsi="Times New Roman" w:cs="Times New Roman"/>
          <w:sz w:val="24"/>
          <w:szCs w:val="24"/>
        </w:rPr>
        <w:t xml:space="preserve">the predictions for </w:t>
      </w:r>
      <w:r>
        <w:rPr>
          <w:rFonts w:ascii="Times New Roman" w:hAnsi="Times New Roman" w:cs="Times New Roman"/>
          <w:sz w:val="24"/>
          <w:szCs w:val="24"/>
        </w:rPr>
        <w:t xml:space="preserve">students within this band who had GPAs and math scaled scores </w:t>
      </w:r>
      <w:r w:rsidR="00846DE6">
        <w:rPr>
          <w:rFonts w:ascii="Times New Roman" w:hAnsi="Times New Roman" w:cs="Times New Roman"/>
          <w:sz w:val="24"/>
          <w:szCs w:val="24"/>
        </w:rPr>
        <w:t>equal to</w:t>
      </w:r>
      <w:r>
        <w:rPr>
          <w:rFonts w:ascii="Times New Roman" w:hAnsi="Times New Roman" w:cs="Times New Roman"/>
          <w:sz w:val="24"/>
          <w:szCs w:val="24"/>
        </w:rPr>
        <w:t xml:space="preserve"> the </w:t>
      </w:r>
      <w:r w:rsidR="003F55D3">
        <w:rPr>
          <w:rFonts w:ascii="Times New Roman" w:hAnsi="Times New Roman" w:cs="Times New Roman"/>
          <w:sz w:val="24"/>
          <w:szCs w:val="24"/>
        </w:rPr>
        <w:t>50</w:t>
      </w:r>
      <w:r w:rsidRPr="0072729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26912">
        <w:rPr>
          <w:rFonts w:ascii="Times New Roman" w:hAnsi="Times New Roman" w:cs="Times New Roman"/>
          <w:sz w:val="24"/>
          <w:szCs w:val="24"/>
        </w:rPr>
        <w:t>percentile</w:t>
      </w:r>
      <w:r w:rsidR="003F55D3">
        <w:rPr>
          <w:rFonts w:ascii="Times New Roman" w:hAnsi="Times New Roman" w:cs="Times New Roman"/>
          <w:sz w:val="24"/>
          <w:szCs w:val="24"/>
        </w:rPr>
        <w:t xml:space="preserve"> (the students with mid-level readiness in the middle GPA band)</w:t>
      </w:r>
      <w:r w:rsidR="00A26912">
        <w:rPr>
          <w:rFonts w:ascii="Times New Roman" w:hAnsi="Times New Roman" w:cs="Times New Roman"/>
          <w:sz w:val="24"/>
          <w:szCs w:val="24"/>
        </w:rPr>
        <w:t>.</w:t>
      </w:r>
      <w:r w:rsidR="003F55D3">
        <w:rPr>
          <w:rFonts w:ascii="Times New Roman" w:hAnsi="Times New Roman" w:cs="Times New Roman"/>
          <w:sz w:val="24"/>
          <w:szCs w:val="24"/>
        </w:rPr>
        <w:t xml:space="preserve">  </w:t>
      </w:r>
      <w:r w:rsidR="00115561">
        <w:rPr>
          <w:rFonts w:ascii="Times New Roman" w:hAnsi="Times New Roman" w:cs="Times New Roman"/>
          <w:sz w:val="24"/>
          <w:szCs w:val="24"/>
        </w:rPr>
        <w:t xml:space="preserve">Fixing </w:t>
      </w:r>
      <w:r w:rsidR="005148F5">
        <w:rPr>
          <w:rFonts w:ascii="Times New Roman" w:hAnsi="Times New Roman" w:cs="Times New Roman"/>
          <w:sz w:val="24"/>
          <w:szCs w:val="24"/>
        </w:rPr>
        <w:t>the control variables to the characteristics described earlier, s</w:t>
      </w:r>
      <w:r w:rsidR="00A26912">
        <w:rPr>
          <w:rFonts w:ascii="Times New Roman" w:hAnsi="Times New Roman" w:cs="Times New Roman"/>
          <w:sz w:val="24"/>
          <w:szCs w:val="24"/>
        </w:rPr>
        <w:t xml:space="preserve">tudents who enter the curriculum through Math B70 have </w:t>
      </w:r>
      <w:r w:rsidR="005148F5">
        <w:rPr>
          <w:rFonts w:ascii="Times New Roman" w:hAnsi="Times New Roman" w:cs="Times New Roman"/>
          <w:sz w:val="24"/>
          <w:szCs w:val="24"/>
        </w:rPr>
        <w:t xml:space="preserve">a </w:t>
      </w:r>
      <w:r w:rsidR="00A26912">
        <w:rPr>
          <w:rFonts w:ascii="Times New Roman" w:hAnsi="Times New Roman" w:cs="Times New Roman"/>
          <w:sz w:val="24"/>
          <w:szCs w:val="24"/>
        </w:rPr>
        <w:t xml:space="preserve">predicted </w:t>
      </w:r>
      <w:r w:rsidR="003F55D3">
        <w:rPr>
          <w:rFonts w:ascii="Times New Roman" w:hAnsi="Times New Roman" w:cs="Times New Roman"/>
          <w:sz w:val="24"/>
          <w:szCs w:val="24"/>
        </w:rPr>
        <w:t>46</w:t>
      </w:r>
      <w:r w:rsidR="00A26912">
        <w:rPr>
          <w:rFonts w:ascii="Times New Roman" w:hAnsi="Times New Roman" w:cs="Times New Roman"/>
          <w:sz w:val="24"/>
          <w:szCs w:val="24"/>
        </w:rPr>
        <w:t xml:space="preserve">% chance of achieving associate- or transfer-level competency (combined) </w:t>
      </w:r>
      <w:r w:rsidR="00217775">
        <w:rPr>
          <w:rFonts w:ascii="Times New Roman" w:hAnsi="Times New Roman" w:cs="Times New Roman"/>
          <w:sz w:val="24"/>
          <w:szCs w:val="24"/>
        </w:rPr>
        <w:t xml:space="preserve">within one year </w:t>
      </w:r>
      <w:r w:rsidR="00A26912">
        <w:rPr>
          <w:rFonts w:ascii="Times New Roman" w:hAnsi="Times New Roman" w:cs="Times New Roman"/>
          <w:sz w:val="24"/>
          <w:szCs w:val="24"/>
        </w:rPr>
        <w:t xml:space="preserve">and a </w:t>
      </w:r>
      <w:r w:rsidR="003F55D3">
        <w:rPr>
          <w:rFonts w:ascii="Times New Roman" w:hAnsi="Times New Roman" w:cs="Times New Roman"/>
          <w:sz w:val="24"/>
          <w:szCs w:val="24"/>
        </w:rPr>
        <w:t>9</w:t>
      </w:r>
      <w:r w:rsidR="00A26912">
        <w:rPr>
          <w:rFonts w:ascii="Times New Roman" w:hAnsi="Times New Roman" w:cs="Times New Roman"/>
          <w:sz w:val="24"/>
          <w:szCs w:val="24"/>
        </w:rPr>
        <w:t>% chance of achieving transfer-level competency (distinct from associate-level</w:t>
      </w:r>
      <w:r w:rsidR="005148F5">
        <w:rPr>
          <w:rFonts w:ascii="Times New Roman" w:hAnsi="Times New Roman" w:cs="Times New Roman"/>
          <w:sz w:val="24"/>
          <w:szCs w:val="24"/>
        </w:rPr>
        <w:t>)</w:t>
      </w:r>
      <w:r w:rsidR="00217775">
        <w:rPr>
          <w:rFonts w:ascii="Times New Roman" w:hAnsi="Times New Roman" w:cs="Times New Roman"/>
          <w:sz w:val="24"/>
          <w:szCs w:val="24"/>
        </w:rPr>
        <w:t xml:space="preserve"> </w:t>
      </w:r>
      <w:r w:rsidR="00217775">
        <w:rPr>
          <w:rFonts w:ascii="Times New Roman" w:hAnsi="Times New Roman" w:cs="Times New Roman"/>
          <w:sz w:val="24"/>
          <w:szCs w:val="24"/>
        </w:rPr>
        <w:lastRenderedPageBreak/>
        <w:t>with one year</w:t>
      </w:r>
      <w:r w:rsidR="005148F5">
        <w:rPr>
          <w:rFonts w:ascii="Times New Roman" w:hAnsi="Times New Roman" w:cs="Times New Roman"/>
          <w:sz w:val="24"/>
          <w:szCs w:val="24"/>
        </w:rPr>
        <w:t>.  Their peers with equivalent high school achievement who enter the curriculum through Math B</w:t>
      </w:r>
      <w:r w:rsidR="003F55D3">
        <w:rPr>
          <w:rFonts w:ascii="Times New Roman" w:hAnsi="Times New Roman" w:cs="Times New Roman"/>
          <w:sz w:val="24"/>
          <w:szCs w:val="24"/>
        </w:rPr>
        <w:t>22</w:t>
      </w:r>
      <w:r w:rsidR="005148F5">
        <w:rPr>
          <w:rFonts w:ascii="Times New Roman" w:hAnsi="Times New Roman" w:cs="Times New Roman"/>
          <w:sz w:val="24"/>
          <w:szCs w:val="24"/>
        </w:rPr>
        <w:t xml:space="preserve"> have a </w:t>
      </w:r>
      <w:r w:rsidR="003F55D3">
        <w:rPr>
          <w:rFonts w:ascii="Times New Roman" w:hAnsi="Times New Roman" w:cs="Times New Roman"/>
          <w:sz w:val="24"/>
          <w:szCs w:val="24"/>
        </w:rPr>
        <w:t>35</w:t>
      </w:r>
      <w:r w:rsidR="005148F5">
        <w:rPr>
          <w:rFonts w:ascii="Times New Roman" w:hAnsi="Times New Roman" w:cs="Times New Roman"/>
          <w:sz w:val="24"/>
          <w:szCs w:val="24"/>
        </w:rPr>
        <w:t xml:space="preserve">% chance of achieving associate- or transfer-level competency and a </w:t>
      </w:r>
      <w:r w:rsidR="003F55D3">
        <w:rPr>
          <w:rFonts w:ascii="Times New Roman" w:hAnsi="Times New Roman" w:cs="Times New Roman"/>
          <w:sz w:val="24"/>
          <w:szCs w:val="24"/>
        </w:rPr>
        <w:t>27</w:t>
      </w:r>
      <w:r w:rsidR="005148F5">
        <w:rPr>
          <w:rFonts w:ascii="Times New Roman" w:hAnsi="Times New Roman" w:cs="Times New Roman"/>
          <w:sz w:val="24"/>
          <w:szCs w:val="24"/>
        </w:rPr>
        <w:t>% chance of achieving transfer-level competency</w:t>
      </w:r>
      <w:r w:rsidR="00A26912">
        <w:rPr>
          <w:rFonts w:ascii="Times New Roman" w:hAnsi="Times New Roman" w:cs="Times New Roman"/>
          <w:sz w:val="24"/>
          <w:szCs w:val="24"/>
        </w:rPr>
        <w:t xml:space="preserve">.  </w:t>
      </w:r>
      <w:r w:rsidR="00846DE6">
        <w:rPr>
          <w:rFonts w:ascii="Times New Roman" w:hAnsi="Times New Roman" w:cs="Times New Roman"/>
          <w:sz w:val="24"/>
          <w:szCs w:val="24"/>
        </w:rPr>
        <w:t>So, we see that</w:t>
      </w:r>
      <w:r w:rsidR="003713CA">
        <w:rPr>
          <w:rFonts w:ascii="Times New Roman" w:hAnsi="Times New Roman" w:cs="Times New Roman"/>
          <w:sz w:val="24"/>
          <w:szCs w:val="24"/>
        </w:rPr>
        <w:t xml:space="preserve">, for students with the specified </w:t>
      </w:r>
      <w:r w:rsidR="00115561">
        <w:rPr>
          <w:rFonts w:ascii="Times New Roman" w:hAnsi="Times New Roman" w:cs="Times New Roman"/>
          <w:sz w:val="24"/>
          <w:szCs w:val="24"/>
        </w:rPr>
        <w:t>level of high school achievement</w:t>
      </w:r>
      <w:r w:rsidR="003713CA">
        <w:rPr>
          <w:rFonts w:ascii="Times New Roman" w:hAnsi="Times New Roman" w:cs="Times New Roman"/>
          <w:sz w:val="24"/>
          <w:szCs w:val="24"/>
        </w:rPr>
        <w:t>,</w:t>
      </w:r>
      <w:r w:rsidR="00846DE6">
        <w:rPr>
          <w:rFonts w:ascii="Times New Roman" w:hAnsi="Times New Roman" w:cs="Times New Roman"/>
          <w:sz w:val="24"/>
          <w:szCs w:val="24"/>
        </w:rPr>
        <w:t xml:space="preserve"> Math B70 offers a superior</w:t>
      </w:r>
      <w:r w:rsidR="00217775">
        <w:rPr>
          <w:rFonts w:ascii="Times New Roman" w:hAnsi="Times New Roman" w:cs="Times New Roman"/>
          <w:sz w:val="24"/>
          <w:szCs w:val="24"/>
        </w:rPr>
        <w:t xml:space="preserve"> one-year</w:t>
      </w:r>
      <w:r w:rsidR="00846DE6">
        <w:rPr>
          <w:rFonts w:ascii="Times New Roman" w:hAnsi="Times New Roman" w:cs="Times New Roman"/>
          <w:sz w:val="24"/>
          <w:szCs w:val="24"/>
        </w:rPr>
        <w:t xml:space="preserve"> throughput to associate- or transfer-level competency (combined), while Math B</w:t>
      </w:r>
      <w:r w:rsidR="003F55D3">
        <w:rPr>
          <w:rFonts w:ascii="Times New Roman" w:hAnsi="Times New Roman" w:cs="Times New Roman"/>
          <w:sz w:val="24"/>
          <w:szCs w:val="24"/>
        </w:rPr>
        <w:t>22</w:t>
      </w:r>
      <w:r w:rsidR="00846DE6">
        <w:rPr>
          <w:rFonts w:ascii="Times New Roman" w:hAnsi="Times New Roman" w:cs="Times New Roman"/>
          <w:sz w:val="24"/>
          <w:szCs w:val="24"/>
        </w:rPr>
        <w:t xml:space="preserve"> offers </w:t>
      </w:r>
      <w:r w:rsidR="00487D31">
        <w:rPr>
          <w:rFonts w:ascii="Times New Roman" w:hAnsi="Times New Roman" w:cs="Times New Roman"/>
          <w:sz w:val="24"/>
          <w:szCs w:val="24"/>
        </w:rPr>
        <w:t>a</w:t>
      </w:r>
      <w:r w:rsidR="00846DE6">
        <w:rPr>
          <w:rFonts w:ascii="Times New Roman" w:hAnsi="Times New Roman" w:cs="Times New Roman"/>
          <w:sz w:val="24"/>
          <w:szCs w:val="24"/>
        </w:rPr>
        <w:t xml:space="preserve"> superior </w:t>
      </w:r>
      <w:r w:rsidR="00217775">
        <w:rPr>
          <w:rFonts w:ascii="Times New Roman" w:hAnsi="Times New Roman" w:cs="Times New Roman"/>
          <w:sz w:val="24"/>
          <w:szCs w:val="24"/>
        </w:rPr>
        <w:t xml:space="preserve">one-year </w:t>
      </w:r>
      <w:r w:rsidR="00846DE6">
        <w:rPr>
          <w:rFonts w:ascii="Times New Roman" w:hAnsi="Times New Roman" w:cs="Times New Roman"/>
          <w:sz w:val="24"/>
          <w:szCs w:val="24"/>
        </w:rPr>
        <w:t xml:space="preserve">throughout to transfer-level competency.  </w:t>
      </w:r>
    </w:p>
    <w:p w14:paraId="611AE7A5" w14:textId="77777777" w:rsidR="00C9072C" w:rsidRDefault="00C9072C" w:rsidP="00632B82">
      <w:pPr>
        <w:spacing w:after="0" w:line="240" w:lineRule="auto"/>
        <w:rPr>
          <w:rFonts w:ascii="Times New Roman" w:hAnsi="Times New Roman" w:cs="Times New Roman"/>
          <w:sz w:val="24"/>
          <w:szCs w:val="24"/>
        </w:rPr>
      </w:pPr>
    </w:p>
    <w:p w14:paraId="6E660AC8" w14:textId="5982BB1A" w:rsidR="00E15A7B" w:rsidRDefault="00401AF3"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Math B70</w:t>
      </w:r>
      <w:r w:rsidR="00AE401B">
        <w:rPr>
          <w:rFonts w:ascii="Times New Roman" w:hAnsi="Times New Roman" w:cs="Times New Roman"/>
          <w:sz w:val="24"/>
          <w:szCs w:val="24"/>
        </w:rPr>
        <w:t xml:space="preserve"> is one level below transfer-level competency</w:t>
      </w:r>
      <w:r w:rsidR="00E15A7B">
        <w:rPr>
          <w:rFonts w:ascii="Times New Roman" w:hAnsi="Times New Roman" w:cs="Times New Roman"/>
          <w:sz w:val="24"/>
          <w:szCs w:val="24"/>
        </w:rPr>
        <w:t xml:space="preserve">.  Therefore, one could surmise that the </w:t>
      </w:r>
      <w:r w:rsidR="00D179E5">
        <w:rPr>
          <w:rFonts w:ascii="Times New Roman" w:hAnsi="Times New Roman" w:cs="Times New Roman"/>
          <w:sz w:val="24"/>
          <w:szCs w:val="24"/>
        </w:rPr>
        <w:t>37</w:t>
      </w:r>
      <w:r w:rsidR="00C571C5">
        <w:rPr>
          <w:rFonts w:ascii="Times New Roman" w:hAnsi="Times New Roman" w:cs="Times New Roman"/>
          <w:sz w:val="24"/>
          <w:szCs w:val="24"/>
        </w:rPr>
        <w:t xml:space="preserve">-percentage-point </w:t>
      </w:r>
      <w:r w:rsidR="00487D31">
        <w:rPr>
          <w:rFonts w:ascii="Times New Roman" w:hAnsi="Times New Roman" w:cs="Times New Roman"/>
          <w:sz w:val="24"/>
          <w:szCs w:val="24"/>
        </w:rPr>
        <w:t xml:space="preserve">difference </w:t>
      </w:r>
      <w:r>
        <w:rPr>
          <w:rFonts w:ascii="Times New Roman" w:hAnsi="Times New Roman" w:cs="Times New Roman"/>
          <w:sz w:val="24"/>
          <w:szCs w:val="24"/>
        </w:rPr>
        <w:t xml:space="preserve">between </w:t>
      </w:r>
      <w:r w:rsidR="00AE401B">
        <w:rPr>
          <w:rFonts w:ascii="Times New Roman" w:hAnsi="Times New Roman" w:cs="Times New Roman"/>
          <w:sz w:val="24"/>
          <w:szCs w:val="24"/>
        </w:rPr>
        <w:t xml:space="preserve">the </w:t>
      </w:r>
      <w:r w:rsidR="00D179E5">
        <w:rPr>
          <w:rFonts w:ascii="Times New Roman" w:hAnsi="Times New Roman" w:cs="Times New Roman"/>
          <w:sz w:val="24"/>
          <w:szCs w:val="24"/>
        </w:rPr>
        <w:t>46</w:t>
      </w:r>
      <w:r w:rsidR="00AE401B">
        <w:rPr>
          <w:rFonts w:ascii="Times New Roman" w:hAnsi="Times New Roman" w:cs="Times New Roman"/>
          <w:sz w:val="24"/>
          <w:szCs w:val="24"/>
        </w:rPr>
        <w:t xml:space="preserve">% chance of achieving associate- or transfer-level competency (combined) and the </w:t>
      </w:r>
      <w:r w:rsidR="00D179E5">
        <w:rPr>
          <w:rFonts w:ascii="Times New Roman" w:hAnsi="Times New Roman" w:cs="Times New Roman"/>
          <w:sz w:val="24"/>
          <w:szCs w:val="24"/>
        </w:rPr>
        <w:t>9</w:t>
      </w:r>
      <w:r w:rsidR="00AE401B">
        <w:rPr>
          <w:rFonts w:ascii="Times New Roman" w:hAnsi="Times New Roman" w:cs="Times New Roman"/>
          <w:sz w:val="24"/>
          <w:szCs w:val="24"/>
        </w:rPr>
        <w:t>% chance of achieving transfer-level competency is composed primarily of students who succeeded in Math B70 after one or more attempts but</w:t>
      </w:r>
      <w:r w:rsidR="00217775">
        <w:rPr>
          <w:rFonts w:ascii="Times New Roman" w:hAnsi="Times New Roman" w:cs="Times New Roman"/>
          <w:sz w:val="24"/>
          <w:szCs w:val="24"/>
        </w:rPr>
        <w:t>, within the one-year time frame,</w:t>
      </w:r>
      <w:r w:rsidR="00AE401B">
        <w:rPr>
          <w:rFonts w:ascii="Times New Roman" w:hAnsi="Times New Roman" w:cs="Times New Roman"/>
          <w:sz w:val="24"/>
          <w:szCs w:val="24"/>
        </w:rPr>
        <w:t xml:space="preserve"> </w:t>
      </w:r>
      <w:r w:rsidR="00AE401B" w:rsidRPr="0072729B">
        <w:rPr>
          <w:rFonts w:ascii="Times New Roman" w:hAnsi="Times New Roman" w:cs="Times New Roman"/>
          <w:i/>
          <w:sz w:val="24"/>
          <w:szCs w:val="24"/>
        </w:rPr>
        <w:t>did not advance</w:t>
      </w:r>
      <w:r w:rsidR="00AE401B">
        <w:rPr>
          <w:rFonts w:ascii="Times New Roman" w:hAnsi="Times New Roman" w:cs="Times New Roman"/>
          <w:sz w:val="24"/>
          <w:szCs w:val="24"/>
        </w:rPr>
        <w:t xml:space="preserve"> in the math curriculum to a transfer-level course</w:t>
      </w:r>
      <w:r w:rsidR="00E15A7B">
        <w:rPr>
          <w:rFonts w:ascii="Times New Roman" w:hAnsi="Times New Roman" w:cs="Times New Roman"/>
          <w:sz w:val="24"/>
          <w:szCs w:val="24"/>
        </w:rPr>
        <w:t xml:space="preserve"> or </w:t>
      </w:r>
      <w:r w:rsidR="00B66DA2">
        <w:rPr>
          <w:rFonts w:ascii="Times New Roman" w:hAnsi="Times New Roman" w:cs="Times New Roman"/>
          <w:sz w:val="24"/>
          <w:szCs w:val="24"/>
        </w:rPr>
        <w:t xml:space="preserve">who </w:t>
      </w:r>
      <w:r w:rsidR="00E15A7B" w:rsidRPr="0072729B">
        <w:rPr>
          <w:rFonts w:ascii="Times New Roman" w:hAnsi="Times New Roman" w:cs="Times New Roman"/>
          <w:i/>
          <w:sz w:val="24"/>
          <w:szCs w:val="24"/>
        </w:rPr>
        <w:t>advanced but did not succeed</w:t>
      </w:r>
      <w:r w:rsidR="00E15A7B">
        <w:rPr>
          <w:rFonts w:ascii="Times New Roman" w:hAnsi="Times New Roman" w:cs="Times New Roman"/>
          <w:sz w:val="24"/>
          <w:szCs w:val="24"/>
        </w:rPr>
        <w:t xml:space="preserve"> in a transfer-level course</w:t>
      </w:r>
      <w:r w:rsidR="00AE401B">
        <w:rPr>
          <w:rFonts w:ascii="Times New Roman" w:hAnsi="Times New Roman" w:cs="Times New Roman"/>
          <w:sz w:val="24"/>
          <w:szCs w:val="24"/>
        </w:rPr>
        <w:t xml:space="preserve">.  </w:t>
      </w:r>
      <w:r w:rsidR="007074E6">
        <w:rPr>
          <w:rFonts w:ascii="Times New Roman" w:hAnsi="Times New Roman" w:cs="Times New Roman"/>
          <w:sz w:val="24"/>
          <w:szCs w:val="24"/>
        </w:rPr>
        <w:t xml:space="preserve">Given the one-year time frame, one could assume that the </w:t>
      </w:r>
      <w:r w:rsidR="00D179E5">
        <w:rPr>
          <w:rFonts w:ascii="Times New Roman" w:hAnsi="Times New Roman" w:cs="Times New Roman"/>
          <w:sz w:val="24"/>
          <w:szCs w:val="24"/>
        </w:rPr>
        <w:t>9</w:t>
      </w:r>
      <w:r w:rsidR="007074E6">
        <w:rPr>
          <w:rFonts w:ascii="Times New Roman" w:hAnsi="Times New Roman" w:cs="Times New Roman"/>
          <w:sz w:val="24"/>
          <w:szCs w:val="24"/>
        </w:rPr>
        <w:t xml:space="preserve">% of students who achieved transfer-level competency </w:t>
      </w:r>
      <w:r w:rsidR="00E41202">
        <w:rPr>
          <w:rFonts w:ascii="Times New Roman" w:hAnsi="Times New Roman" w:cs="Times New Roman"/>
          <w:sz w:val="24"/>
          <w:szCs w:val="24"/>
        </w:rPr>
        <w:t xml:space="preserve">are those </w:t>
      </w:r>
      <w:r w:rsidR="007074E6">
        <w:rPr>
          <w:rFonts w:ascii="Times New Roman" w:hAnsi="Times New Roman" w:cs="Times New Roman"/>
          <w:sz w:val="24"/>
          <w:szCs w:val="24"/>
        </w:rPr>
        <w:t xml:space="preserve">who succeeded in Math </w:t>
      </w:r>
      <w:r w:rsidR="00E41202">
        <w:rPr>
          <w:rFonts w:ascii="Times New Roman" w:hAnsi="Times New Roman" w:cs="Times New Roman"/>
          <w:sz w:val="24"/>
          <w:szCs w:val="24"/>
        </w:rPr>
        <w:t>B70 on the first attempt and advanced immediately (in the next regular term) to a transfer-level quantitative course.</w:t>
      </w:r>
      <w:r w:rsidR="00223829">
        <w:rPr>
          <w:rFonts w:ascii="Times New Roman" w:hAnsi="Times New Roman" w:cs="Times New Roman"/>
          <w:sz w:val="24"/>
          <w:szCs w:val="24"/>
        </w:rPr>
        <w:t xml:space="preserve">  Conversely, </w:t>
      </w:r>
      <w:r w:rsidR="006B5C34">
        <w:rPr>
          <w:rFonts w:ascii="Times New Roman" w:hAnsi="Times New Roman" w:cs="Times New Roman"/>
          <w:sz w:val="24"/>
          <w:szCs w:val="24"/>
        </w:rPr>
        <w:t xml:space="preserve">one should note that </w:t>
      </w:r>
      <w:r w:rsidR="00D179E5">
        <w:rPr>
          <w:rFonts w:ascii="Times New Roman" w:hAnsi="Times New Roman" w:cs="Times New Roman"/>
          <w:sz w:val="24"/>
          <w:szCs w:val="24"/>
        </w:rPr>
        <w:t>5</w:t>
      </w:r>
      <w:r w:rsidR="00223829">
        <w:rPr>
          <w:rFonts w:ascii="Times New Roman" w:hAnsi="Times New Roman" w:cs="Times New Roman"/>
          <w:sz w:val="24"/>
          <w:szCs w:val="24"/>
        </w:rPr>
        <w:t xml:space="preserve">4% of students with the specified characteristics who </w:t>
      </w:r>
      <w:r w:rsidR="00B66DA2">
        <w:rPr>
          <w:rFonts w:ascii="Times New Roman" w:hAnsi="Times New Roman" w:cs="Times New Roman"/>
          <w:sz w:val="24"/>
          <w:szCs w:val="24"/>
        </w:rPr>
        <w:t>begin</w:t>
      </w:r>
      <w:r w:rsidR="00223829">
        <w:rPr>
          <w:rFonts w:ascii="Times New Roman" w:hAnsi="Times New Roman" w:cs="Times New Roman"/>
          <w:sz w:val="24"/>
          <w:szCs w:val="24"/>
        </w:rPr>
        <w:t xml:space="preserve"> in Math B70 </w:t>
      </w:r>
      <w:r w:rsidR="006B5C34">
        <w:rPr>
          <w:rFonts w:ascii="Times New Roman" w:hAnsi="Times New Roman" w:cs="Times New Roman"/>
          <w:sz w:val="24"/>
          <w:szCs w:val="24"/>
        </w:rPr>
        <w:t xml:space="preserve">are expected to end the first year </w:t>
      </w:r>
      <w:r w:rsidR="002A66A8">
        <w:rPr>
          <w:rFonts w:ascii="Times New Roman" w:hAnsi="Times New Roman" w:cs="Times New Roman"/>
          <w:sz w:val="24"/>
          <w:szCs w:val="24"/>
        </w:rPr>
        <w:t>following (</w:t>
      </w:r>
      <w:r w:rsidR="006B5C34">
        <w:rPr>
          <w:rFonts w:ascii="Times New Roman" w:hAnsi="Times New Roman" w:cs="Times New Roman"/>
          <w:sz w:val="24"/>
          <w:szCs w:val="24"/>
        </w:rPr>
        <w:t xml:space="preserve">beginning </w:t>
      </w:r>
      <w:r w:rsidR="002A66A8">
        <w:rPr>
          <w:rFonts w:ascii="Times New Roman" w:hAnsi="Times New Roman" w:cs="Times New Roman"/>
          <w:sz w:val="24"/>
          <w:szCs w:val="24"/>
        </w:rPr>
        <w:t xml:space="preserve">with) </w:t>
      </w:r>
      <w:r w:rsidR="006B5C34">
        <w:rPr>
          <w:rFonts w:ascii="Times New Roman" w:hAnsi="Times New Roman" w:cs="Times New Roman"/>
          <w:sz w:val="24"/>
          <w:szCs w:val="24"/>
        </w:rPr>
        <w:t xml:space="preserve">their first quantitative </w:t>
      </w:r>
      <w:r w:rsidR="00B66DA2">
        <w:rPr>
          <w:rFonts w:ascii="Times New Roman" w:hAnsi="Times New Roman" w:cs="Times New Roman"/>
          <w:sz w:val="24"/>
          <w:szCs w:val="24"/>
        </w:rPr>
        <w:t>course without having completed</w:t>
      </w:r>
      <w:r w:rsidR="006B5C34">
        <w:rPr>
          <w:rFonts w:ascii="Times New Roman" w:hAnsi="Times New Roman" w:cs="Times New Roman"/>
          <w:sz w:val="24"/>
          <w:szCs w:val="24"/>
        </w:rPr>
        <w:t xml:space="preserve"> </w:t>
      </w:r>
      <w:r w:rsidR="00B66DA2">
        <w:rPr>
          <w:rFonts w:ascii="Times New Roman" w:hAnsi="Times New Roman" w:cs="Times New Roman"/>
          <w:sz w:val="24"/>
          <w:szCs w:val="24"/>
        </w:rPr>
        <w:t>an</w:t>
      </w:r>
      <w:r w:rsidR="006B5C34">
        <w:rPr>
          <w:rFonts w:ascii="Times New Roman" w:hAnsi="Times New Roman" w:cs="Times New Roman"/>
          <w:sz w:val="24"/>
          <w:szCs w:val="24"/>
        </w:rPr>
        <w:t xml:space="preserve"> associate- or transfer-level quantitative course.  </w:t>
      </w:r>
    </w:p>
    <w:p w14:paraId="2FABF193" w14:textId="77777777" w:rsidR="00E15A7B" w:rsidRDefault="00E15A7B" w:rsidP="00632B82">
      <w:pPr>
        <w:spacing w:after="0" w:line="240" w:lineRule="auto"/>
        <w:rPr>
          <w:rFonts w:ascii="Times New Roman" w:hAnsi="Times New Roman" w:cs="Times New Roman"/>
          <w:sz w:val="24"/>
          <w:szCs w:val="24"/>
        </w:rPr>
      </w:pPr>
    </w:p>
    <w:p w14:paraId="2F0B8857" w14:textId="0CCCE8FB" w:rsidR="00F85601" w:rsidRDefault="00D179E5"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Unlike Math B70, </w:t>
      </w:r>
      <w:r w:rsidR="00C9072C">
        <w:rPr>
          <w:rFonts w:ascii="Times New Roman" w:hAnsi="Times New Roman" w:cs="Times New Roman"/>
          <w:sz w:val="24"/>
          <w:szCs w:val="24"/>
        </w:rPr>
        <w:t>Math B</w:t>
      </w:r>
      <w:r>
        <w:rPr>
          <w:rFonts w:ascii="Times New Roman" w:hAnsi="Times New Roman" w:cs="Times New Roman"/>
          <w:sz w:val="24"/>
          <w:szCs w:val="24"/>
        </w:rPr>
        <w:t>22</w:t>
      </w:r>
      <w:r w:rsidR="00C9072C">
        <w:rPr>
          <w:rFonts w:ascii="Times New Roman" w:hAnsi="Times New Roman" w:cs="Times New Roman"/>
          <w:sz w:val="24"/>
          <w:szCs w:val="24"/>
        </w:rPr>
        <w:t xml:space="preserve"> </w:t>
      </w:r>
      <w:r w:rsidR="00C9072C" w:rsidRPr="0072729B">
        <w:rPr>
          <w:rFonts w:ascii="Times New Roman" w:hAnsi="Times New Roman" w:cs="Times New Roman"/>
          <w:sz w:val="24"/>
          <w:szCs w:val="24"/>
        </w:rPr>
        <w:t>is</w:t>
      </w:r>
      <w:r w:rsidR="00C9072C">
        <w:rPr>
          <w:rFonts w:ascii="Times New Roman" w:hAnsi="Times New Roman" w:cs="Times New Roman"/>
          <w:sz w:val="24"/>
          <w:szCs w:val="24"/>
        </w:rPr>
        <w:t xml:space="preserve"> a transfer-level course.  Therefore, the predicted </w:t>
      </w:r>
      <w:r>
        <w:rPr>
          <w:rFonts w:ascii="Times New Roman" w:hAnsi="Times New Roman" w:cs="Times New Roman"/>
          <w:sz w:val="24"/>
          <w:szCs w:val="24"/>
        </w:rPr>
        <w:t>27</w:t>
      </w:r>
      <w:r w:rsidR="00C9072C">
        <w:rPr>
          <w:rFonts w:ascii="Times New Roman" w:hAnsi="Times New Roman" w:cs="Times New Roman"/>
          <w:sz w:val="24"/>
          <w:szCs w:val="24"/>
        </w:rPr>
        <w:t xml:space="preserve">% rate of transfer-level achievement </w:t>
      </w:r>
      <w:r w:rsidR="00F85601">
        <w:rPr>
          <w:rFonts w:ascii="Times New Roman" w:hAnsi="Times New Roman" w:cs="Times New Roman"/>
          <w:sz w:val="24"/>
          <w:szCs w:val="24"/>
        </w:rPr>
        <w:t>among Math B</w:t>
      </w:r>
      <w:r>
        <w:rPr>
          <w:rFonts w:ascii="Times New Roman" w:hAnsi="Times New Roman" w:cs="Times New Roman"/>
          <w:sz w:val="24"/>
          <w:szCs w:val="24"/>
        </w:rPr>
        <w:t>22</w:t>
      </w:r>
      <w:r w:rsidR="00F85601">
        <w:rPr>
          <w:rFonts w:ascii="Times New Roman" w:hAnsi="Times New Roman" w:cs="Times New Roman"/>
          <w:sz w:val="24"/>
          <w:szCs w:val="24"/>
        </w:rPr>
        <w:t xml:space="preserve"> students </w:t>
      </w:r>
      <w:r w:rsidR="00C9072C">
        <w:rPr>
          <w:rFonts w:ascii="Times New Roman" w:hAnsi="Times New Roman" w:cs="Times New Roman"/>
          <w:sz w:val="24"/>
          <w:szCs w:val="24"/>
        </w:rPr>
        <w:t xml:space="preserve">represents the percentage of students </w:t>
      </w:r>
      <w:r w:rsidR="00487D31">
        <w:rPr>
          <w:rFonts w:ascii="Times New Roman" w:hAnsi="Times New Roman" w:cs="Times New Roman"/>
          <w:sz w:val="24"/>
          <w:szCs w:val="24"/>
        </w:rPr>
        <w:t>who</w:t>
      </w:r>
      <w:r w:rsidR="00217775">
        <w:rPr>
          <w:rFonts w:ascii="Times New Roman" w:hAnsi="Times New Roman" w:cs="Times New Roman"/>
          <w:sz w:val="24"/>
          <w:szCs w:val="24"/>
        </w:rPr>
        <w:t>, within the one-year time frame,</w:t>
      </w:r>
      <w:r w:rsidR="00487D31">
        <w:rPr>
          <w:rFonts w:ascii="Times New Roman" w:hAnsi="Times New Roman" w:cs="Times New Roman"/>
          <w:sz w:val="24"/>
          <w:szCs w:val="24"/>
        </w:rPr>
        <w:t xml:space="preserve"> </w:t>
      </w:r>
      <w:r w:rsidR="00C9072C">
        <w:rPr>
          <w:rFonts w:ascii="Times New Roman" w:hAnsi="Times New Roman" w:cs="Times New Roman"/>
          <w:sz w:val="24"/>
          <w:szCs w:val="24"/>
        </w:rPr>
        <w:t xml:space="preserve">passed </w:t>
      </w:r>
      <w:r w:rsidR="00F85601">
        <w:rPr>
          <w:rFonts w:ascii="Times New Roman" w:hAnsi="Times New Roman" w:cs="Times New Roman"/>
          <w:sz w:val="24"/>
          <w:szCs w:val="24"/>
        </w:rPr>
        <w:t xml:space="preserve">this course </w:t>
      </w:r>
      <w:r w:rsidR="00C9072C">
        <w:rPr>
          <w:rFonts w:ascii="Times New Roman" w:hAnsi="Times New Roman" w:cs="Times New Roman"/>
          <w:sz w:val="24"/>
          <w:szCs w:val="24"/>
        </w:rPr>
        <w:t xml:space="preserve">after one or </w:t>
      </w:r>
      <w:r w:rsidR="004667BB">
        <w:rPr>
          <w:rFonts w:ascii="Times New Roman" w:hAnsi="Times New Roman" w:cs="Times New Roman"/>
          <w:sz w:val="24"/>
          <w:szCs w:val="24"/>
        </w:rPr>
        <w:t xml:space="preserve">more </w:t>
      </w:r>
      <w:r w:rsidR="00C9072C">
        <w:rPr>
          <w:rFonts w:ascii="Times New Roman" w:hAnsi="Times New Roman" w:cs="Times New Roman"/>
          <w:sz w:val="24"/>
          <w:szCs w:val="24"/>
        </w:rPr>
        <w:t xml:space="preserve">attempts, or </w:t>
      </w:r>
      <w:r w:rsidR="00F85601">
        <w:rPr>
          <w:rFonts w:ascii="Times New Roman" w:hAnsi="Times New Roman" w:cs="Times New Roman"/>
          <w:sz w:val="24"/>
          <w:szCs w:val="24"/>
        </w:rPr>
        <w:t xml:space="preserve">never passed </w:t>
      </w:r>
      <w:r w:rsidR="00C9072C">
        <w:rPr>
          <w:rFonts w:ascii="Times New Roman" w:hAnsi="Times New Roman" w:cs="Times New Roman"/>
          <w:sz w:val="24"/>
          <w:szCs w:val="24"/>
        </w:rPr>
        <w:t xml:space="preserve">it but </w:t>
      </w:r>
      <w:r w:rsidR="00E15A7B">
        <w:rPr>
          <w:rFonts w:ascii="Times New Roman" w:hAnsi="Times New Roman" w:cs="Times New Roman"/>
          <w:sz w:val="24"/>
          <w:szCs w:val="24"/>
        </w:rPr>
        <w:t>transitioned</w:t>
      </w:r>
      <w:r w:rsidR="00F85601">
        <w:rPr>
          <w:rFonts w:ascii="Times New Roman" w:hAnsi="Times New Roman" w:cs="Times New Roman"/>
          <w:sz w:val="24"/>
          <w:szCs w:val="24"/>
        </w:rPr>
        <w:t xml:space="preserve"> into another transfer-level quantitative course (e.g., Math </w:t>
      </w:r>
      <w:r w:rsidR="004667BB">
        <w:rPr>
          <w:rFonts w:ascii="Times New Roman" w:hAnsi="Times New Roman" w:cs="Times New Roman"/>
          <w:sz w:val="24"/>
          <w:szCs w:val="24"/>
        </w:rPr>
        <w:t>B1A</w:t>
      </w:r>
      <w:r w:rsidR="00F85601">
        <w:rPr>
          <w:rFonts w:ascii="Times New Roman" w:hAnsi="Times New Roman" w:cs="Times New Roman"/>
          <w:sz w:val="24"/>
          <w:szCs w:val="24"/>
        </w:rPr>
        <w:t>) and pass</w:t>
      </w:r>
      <w:r w:rsidR="00487D31">
        <w:rPr>
          <w:rFonts w:ascii="Times New Roman" w:hAnsi="Times New Roman" w:cs="Times New Roman"/>
          <w:sz w:val="24"/>
          <w:szCs w:val="24"/>
        </w:rPr>
        <w:t>ed</w:t>
      </w:r>
      <w:r w:rsidR="00F85601">
        <w:rPr>
          <w:rFonts w:ascii="Times New Roman" w:hAnsi="Times New Roman" w:cs="Times New Roman"/>
          <w:sz w:val="24"/>
          <w:szCs w:val="24"/>
        </w:rPr>
        <w:t xml:space="preserve"> that course.  Thus, we would conclude that </w:t>
      </w:r>
      <w:r w:rsidR="004667BB">
        <w:rPr>
          <w:rFonts w:ascii="Times New Roman" w:hAnsi="Times New Roman" w:cs="Times New Roman"/>
          <w:sz w:val="24"/>
          <w:szCs w:val="24"/>
        </w:rPr>
        <w:t>73</w:t>
      </w:r>
      <w:r w:rsidR="00F85601">
        <w:rPr>
          <w:rFonts w:ascii="Times New Roman" w:hAnsi="Times New Roman" w:cs="Times New Roman"/>
          <w:sz w:val="24"/>
          <w:szCs w:val="24"/>
        </w:rPr>
        <w:t xml:space="preserve">% of the students with </w:t>
      </w:r>
      <w:r w:rsidR="00487D31">
        <w:rPr>
          <w:rFonts w:ascii="Times New Roman" w:hAnsi="Times New Roman" w:cs="Times New Roman"/>
          <w:sz w:val="24"/>
          <w:szCs w:val="24"/>
        </w:rPr>
        <w:t xml:space="preserve">this particular </w:t>
      </w:r>
      <w:r w:rsidR="00F85601">
        <w:rPr>
          <w:rFonts w:ascii="Times New Roman" w:hAnsi="Times New Roman" w:cs="Times New Roman"/>
          <w:sz w:val="24"/>
          <w:szCs w:val="24"/>
        </w:rPr>
        <w:t>level</w:t>
      </w:r>
      <w:r w:rsidR="00487D31">
        <w:rPr>
          <w:rFonts w:ascii="Times New Roman" w:hAnsi="Times New Roman" w:cs="Times New Roman"/>
          <w:sz w:val="24"/>
          <w:szCs w:val="24"/>
        </w:rPr>
        <w:t xml:space="preserve"> of high school achievement </w:t>
      </w:r>
      <w:r w:rsidR="00096CDF">
        <w:rPr>
          <w:rFonts w:ascii="Times New Roman" w:hAnsi="Times New Roman" w:cs="Times New Roman"/>
          <w:sz w:val="24"/>
          <w:szCs w:val="24"/>
        </w:rPr>
        <w:t>(</w:t>
      </w:r>
      <w:r w:rsidR="00487D31">
        <w:rPr>
          <w:rFonts w:ascii="Times New Roman" w:hAnsi="Times New Roman" w:cs="Times New Roman"/>
          <w:sz w:val="24"/>
          <w:szCs w:val="24"/>
        </w:rPr>
        <w:t xml:space="preserve">and </w:t>
      </w:r>
      <w:r w:rsidR="00096CDF">
        <w:rPr>
          <w:rFonts w:ascii="Times New Roman" w:hAnsi="Times New Roman" w:cs="Times New Roman"/>
          <w:sz w:val="24"/>
          <w:szCs w:val="24"/>
        </w:rPr>
        <w:t xml:space="preserve">with the </w:t>
      </w:r>
      <w:r w:rsidR="00487D31">
        <w:rPr>
          <w:rFonts w:ascii="Times New Roman" w:hAnsi="Times New Roman" w:cs="Times New Roman"/>
          <w:sz w:val="24"/>
          <w:szCs w:val="24"/>
        </w:rPr>
        <w:t xml:space="preserve">other </w:t>
      </w:r>
      <w:r w:rsidR="00F85601">
        <w:rPr>
          <w:rFonts w:ascii="Times New Roman" w:hAnsi="Times New Roman" w:cs="Times New Roman"/>
          <w:sz w:val="24"/>
          <w:szCs w:val="24"/>
        </w:rPr>
        <w:t xml:space="preserve">characteristics </w:t>
      </w:r>
      <w:r w:rsidR="00096CDF">
        <w:rPr>
          <w:rFonts w:ascii="Times New Roman" w:hAnsi="Times New Roman" w:cs="Times New Roman"/>
          <w:sz w:val="24"/>
          <w:szCs w:val="24"/>
        </w:rPr>
        <w:t xml:space="preserve">as specified) </w:t>
      </w:r>
      <w:r w:rsidR="00F85601">
        <w:rPr>
          <w:rFonts w:ascii="Times New Roman" w:hAnsi="Times New Roman" w:cs="Times New Roman"/>
          <w:sz w:val="24"/>
          <w:szCs w:val="24"/>
        </w:rPr>
        <w:t xml:space="preserve">who </w:t>
      </w:r>
      <w:r w:rsidR="00910E77">
        <w:rPr>
          <w:rFonts w:ascii="Times New Roman" w:hAnsi="Times New Roman" w:cs="Times New Roman"/>
          <w:sz w:val="24"/>
          <w:szCs w:val="24"/>
        </w:rPr>
        <w:t xml:space="preserve">enter the curriculum </w:t>
      </w:r>
      <w:r w:rsidR="00F85601">
        <w:rPr>
          <w:rFonts w:ascii="Times New Roman" w:hAnsi="Times New Roman" w:cs="Times New Roman"/>
          <w:sz w:val="24"/>
          <w:szCs w:val="24"/>
        </w:rPr>
        <w:t xml:space="preserve">directly </w:t>
      </w:r>
      <w:r w:rsidR="00910E77">
        <w:rPr>
          <w:rFonts w:ascii="Times New Roman" w:hAnsi="Times New Roman" w:cs="Times New Roman"/>
          <w:sz w:val="24"/>
          <w:szCs w:val="24"/>
        </w:rPr>
        <w:t xml:space="preserve">through </w:t>
      </w:r>
      <w:r w:rsidR="00F85601">
        <w:rPr>
          <w:rFonts w:ascii="Times New Roman" w:hAnsi="Times New Roman" w:cs="Times New Roman"/>
          <w:sz w:val="24"/>
          <w:szCs w:val="24"/>
        </w:rPr>
        <w:t>Math B</w:t>
      </w:r>
      <w:r w:rsidR="004667BB">
        <w:rPr>
          <w:rFonts w:ascii="Times New Roman" w:hAnsi="Times New Roman" w:cs="Times New Roman"/>
          <w:sz w:val="24"/>
          <w:szCs w:val="24"/>
        </w:rPr>
        <w:t>22</w:t>
      </w:r>
      <w:r w:rsidR="00F85601">
        <w:rPr>
          <w:rFonts w:ascii="Times New Roman" w:hAnsi="Times New Roman" w:cs="Times New Roman"/>
          <w:sz w:val="24"/>
          <w:szCs w:val="24"/>
        </w:rPr>
        <w:t xml:space="preserve"> would be expected to fail or withdraw from Math B</w:t>
      </w:r>
      <w:r w:rsidR="004667BB">
        <w:rPr>
          <w:rFonts w:ascii="Times New Roman" w:hAnsi="Times New Roman" w:cs="Times New Roman"/>
          <w:sz w:val="24"/>
          <w:szCs w:val="24"/>
        </w:rPr>
        <w:t>22</w:t>
      </w:r>
      <w:r w:rsidR="00F85601">
        <w:rPr>
          <w:rFonts w:ascii="Times New Roman" w:hAnsi="Times New Roman" w:cs="Times New Roman"/>
          <w:sz w:val="24"/>
          <w:szCs w:val="24"/>
        </w:rPr>
        <w:t xml:space="preserve"> and </w:t>
      </w:r>
      <w:r w:rsidR="00E15A7B">
        <w:rPr>
          <w:rFonts w:ascii="Times New Roman" w:hAnsi="Times New Roman" w:cs="Times New Roman"/>
          <w:sz w:val="24"/>
          <w:szCs w:val="24"/>
        </w:rPr>
        <w:t xml:space="preserve">also </w:t>
      </w:r>
      <w:r w:rsidR="00280A74">
        <w:rPr>
          <w:rFonts w:ascii="Times New Roman" w:hAnsi="Times New Roman" w:cs="Times New Roman"/>
          <w:sz w:val="24"/>
          <w:szCs w:val="24"/>
        </w:rPr>
        <w:t>fail to</w:t>
      </w:r>
      <w:r w:rsidR="00F85601">
        <w:rPr>
          <w:rFonts w:ascii="Times New Roman" w:hAnsi="Times New Roman" w:cs="Times New Roman"/>
          <w:sz w:val="24"/>
          <w:szCs w:val="24"/>
        </w:rPr>
        <w:t xml:space="preserve"> </w:t>
      </w:r>
      <w:r w:rsidR="004667BB">
        <w:rPr>
          <w:rFonts w:ascii="Times New Roman" w:hAnsi="Times New Roman" w:cs="Times New Roman"/>
          <w:sz w:val="24"/>
          <w:szCs w:val="24"/>
        </w:rPr>
        <w:t>complete</w:t>
      </w:r>
      <w:r w:rsidR="00F85601">
        <w:rPr>
          <w:rFonts w:ascii="Times New Roman" w:hAnsi="Times New Roman" w:cs="Times New Roman"/>
          <w:sz w:val="24"/>
          <w:szCs w:val="24"/>
        </w:rPr>
        <w:t xml:space="preserve"> any other transfer-level </w:t>
      </w:r>
      <w:r w:rsidR="00280A74">
        <w:rPr>
          <w:rFonts w:ascii="Times New Roman" w:hAnsi="Times New Roman" w:cs="Times New Roman"/>
          <w:sz w:val="24"/>
          <w:szCs w:val="24"/>
        </w:rPr>
        <w:t xml:space="preserve">quantitative </w:t>
      </w:r>
      <w:r w:rsidR="00F85601">
        <w:rPr>
          <w:rFonts w:ascii="Times New Roman" w:hAnsi="Times New Roman" w:cs="Times New Roman"/>
          <w:sz w:val="24"/>
          <w:szCs w:val="24"/>
        </w:rPr>
        <w:t>course</w:t>
      </w:r>
      <w:r w:rsidR="00217775">
        <w:rPr>
          <w:rFonts w:ascii="Times New Roman" w:hAnsi="Times New Roman" w:cs="Times New Roman"/>
          <w:sz w:val="24"/>
          <w:szCs w:val="24"/>
        </w:rPr>
        <w:t xml:space="preserve"> within the one-year time frame</w:t>
      </w:r>
      <w:r w:rsidR="00F85601">
        <w:rPr>
          <w:rFonts w:ascii="Times New Roman" w:hAnsi="Times New Roman" w:cs="Times New Roman"/>
          <w:sz w:val="24"/>
          <w:szCs w:val="24"/>
        </w:rPr>
        <w:t xml:space="preserve">.  </w:t>
      </w:r>
    </w:p>
    <w:p w14:paraId="37BB5382" w14:textId="77777777" w:rsidR="00487D31" w:rsidRDefault="00487D31" w:rsidP="00632B82">
      <w:pPr>
        <w:spacing w:after="0" w:line="240" w:lineRule="auto"/>
        <w:rPr>
          <w:rFonts w:ascii="Times New Roman" w:hAnsi="Times New Roman" w:cs="Times New Roman"/>
          <w:sz w:val="24"/>
          <w:szCs w:val="24"/>
        </w:rPr>
      </w:pPr>
    </w:p>
    <w:p w14:paraId="5CA37CA3" w14:textId="5E476AC8" w:rsidR="00436F44" w:rsidRDefault="00487D31"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What percentage of these unsuccessful Math B</w:t>
      </w:r>
      <w:r w:rsidR="004667BB">
        <w:rPr>
          <w:rFonts w:ascii="Times New Roman" w:hAnsi="Times New Roman" w:cs="Times New Roman"/>
          <w:sz w:val="24"/>
          <w:szCs w:val="24"/>
        </w:rPr>
        <w:t>22</w:t>
      </w:r>
      <w:r>
        <w:rPr>
          <w:rFonts w:ascii="Times New Roman" w:hAnsi="Times New Roman" w:cs="Times New Roman"/>
          <w:sz w:val="24"/>
          <w:szCs w:val="24"/>
        </w:rPr>
        <w:t xml:space="preserve"> students navigate </w:t>
      </w:r>
      <w:r w:rsidR="00D05098">
        <w:rPr>
          <w:rFonts w:ascii="Times New Roman" w:hAnsi="Times New Roman" w:cs="Times New Roman"/>
          <w:sz w:val="24"/>
          <w:szCs w:val="24"/>
        </w:rPr>
        <w:t>backwards in the curriculum to a quantitative course at the associate-level but below the transfer-level</w:t>
      </w:r>
      <w:r w:rsidR="004E59B0">
        <w:rPr>
          <w:rFonts w:ascii="Times New Roman" w:hAnsi="Times New Roman" w:cs="Times New Roman"/>
          <w:sz w:val="24"/>
          <w:szCs w:val="24"/>
        </w:rPr>
        <w:t>, within the one-year time frame</w:t>
      </w:r>
      <w:r w:rsidR="00D05098">
        <w:rPr>
          <w:rFonts w:ascii="Times New Roman" w:hAnsi="Times New Roman" w:cs="Times New Roman"/>
          <w:sz w:val="24"/>
          <w:szCs w:val="24"/>
        </w:rPr>
        <w:t xml:space="preserve">?  This question is answered by the </w:t>
      </w:r>
      <w:r w:rsidR="004667BB">
        <w:rPr>
          <w:rFonts w:ascii="Times New Roman" w:hAnsi="Times New Roman" w:cs="Times New Roman"/>
          <w:sz w:val="24"/>
          <w:szCs w:val="24"/>
        </w:rPr>
        <w:t>8</w:t>
      </w:r>
      <w:r w:rsidR="00C571C5">
        <w:rPr>
          <w:rFonts w:ascii="Times New Roman" w:hAnsi="Times New Roman" w:cs="Times New Roman"/>
          <w:sz w:val="24"/>
          <w:szCs w:val="24"/>
        </w:rPr>
        <w:t xml:space="preserve">-percentage-point </w:t>
      </w:r>
      <w:r w:rsidR="00D05098">
        <w:rPr>
          <w:rFonts w:ascii="Times New Roman" w:hAnsi="Times New Roman" w:cs="Times New Roman"/>
          <w:sz w:val="24"/>
          <w:szCs w:val="24"/>
        </w:rPr>
        <w:t xml:space="preserve">difference between the </w:t>
      </w:r>
      <w:r w:rsidR="004667BB">
        <w:rPr>
          <w:rFonts w:ascii="Times New Roman" w:hAnsi="Times New Roman" w:cs="Times New Roman"/>
          <w:sz w:val="24"/>
          <w:szCs w:val="24"/>
        </w:rPr>
        <w:t>35</w:t>
      </w:r>
      <w:r w:rsidR="00D05098">
        <w:rPr>
          <w:rFonts w:ascii="Times New Roman" w:hAnsi="Times New Roman" w:cs="Times New Roman"/>
          <w:sz w:val="24"/>
          <w:szCs w:val="24"/>
        </w:rPr>
        <w:t xml:space="preserve">% chance of achieving associate- or transfer-level competency (combined) and the </w:t>
      </w:r>
      <w:r w:rsidR="004667BB">
        <w:rPr>
          <w:rFonts w:ascii="Times New Roman" w:hAnsi="Times New Roman" w:cs="Times New Roman"/>
          <w:sz w:val="24"/>
          <w:szCs w:val="24"/>
        </w:rPr>
        <w:t>27</w:t>
      </w:r>
      <w:r w:rsidR="00D05098">
        <w:rPr>
          <w:rFonts w:ascii="Times New Roman" w:hAnsi="Times New Roman" w:cs="Times New Roman"/>
          <w:sz w:val="24"/>
          <w:szCs w:val="24"/>
        </w:rPr>
        <w:t xml:space="preserve">% chance of achieving transfer-level competency (distinct from associate-level).  </w:t>
      </w:r>
      <w:r w:rsidR="00C571C5">
        <w:rPr>
          <w:rFonts w:ascii="Times New Roman" w:hAnsi="Times New Roman" w:cs="Times New Roman"/>
          <w:sz w:val="24"/>
          <w:szCs w:val="24"/>
        </w:rPr>
        <w:t xml:space="preserve">The predictions indicate that about </w:t>
      </w:r>
      <w:r w:rsidR="005649F1">
        <w:rPr>
          <w:rFonts w:ascii="Times New Roman" w:hAnsi="Times New Roman" w:cs="Times New Roman"/>
          <w:sz w:val="24"/>
          <w:szCs w:val="24"/>
        </w:rPr>
        <w:t>11</w:t>
      </w:r>
      <w:r w:rsidR="00C571C5">
        <w:rPr>
          <w:rFonts w:ascii="Times New Roman" w:hAnsi="Times New Roman" w:cs="Times New Roman"/>
          <w:sz w:val="24"/>
          <w:szCs w:val="24"/>
        </w:rPr>
        <w:t xml:space="preserve">% of </w:t>
      </w:r>
      <w:r w:rsidR="00910E77">
        <w:rPr>
          <w:rFonts w:ascii="Times New Roman" w:hAnsi="Times New Roman" w:cs="Times New Roman"/>
          <w:sz w:val="24"/>
          <w:szCs w:val="24"/>
        </w:rPr>
        <w:t xml:space="preserve">students </w:t>
      </w:r>
      <w:r w:rsidR="00C571C5">
        <w:rPr>
          <w:rFonts w:ascii="Times New Roman" w:hAnsi="Times New Roman" w:cs="Times New Roman"/>
          <w:sz w:val="24"/>
          <w:szCs w:val="24"/>
        </w:rPr>
        <w:t xml:space="preserve">with the </w:t>
      </w:r>
      <w:r w:rsidR="00436F44">
        <w:rPr>
          <w:rFonts w:ascii="Times New Roman" w:hAnsi="Times New Roman" w:cs="Times New Roman"/>
          <w:sz w:val="24"/>
          <w:szCs w:val="24"/>
        </w:rPr>
        <w:t>specified</w:t>
      </w:r>
      <w:r w:rsidR="00C571C5">
        <w:rPr>
          <w:rFonts w:ascii="Times New Roman" w:hAnsi="Times New Roman" w:cs="Times New Roman"/>
          <w:sz w:val="24"/>
          <w:szCs w:val="24"/>
        </w:rPr>
        <w:t xml:space="preserve"> characteristics who </w:t>
      </w:r>
      <w:r w:rsidR="005649F1">
        <w:rPr>
          <w:rFonts w:ascii="Times New Roman" w:hAnsi="Times New Roman" w:cs="Times New Roman"/>
          <w:sz w:val="24"/>
          <w:szCs w:val="24"/>
        </w:rPr>
        <w:t xml:space="preserve">begin </w:t>
      </w:r>
      <w:r w:rsidR="004E59B0">
        <w:rPr>
          <w:rFonts w:ascii="Times New Roman" w:hAnsi="Times New Roman" w:cs="Times New Roman"/>
          <w:sz w:val="24"/>
          <w:szCs w:val="24"/>
        </w:rPr>
        <w:t>in</w:t>
      </w:r>
      <w:r w:rsidR="005649F1">
        <w:rPr>
          <w:rFonts w:ascii="Times New Roman" w:hAnsi="Times New Roman" w:cs="Times New Roman"/>
          <w:sz w:val="24"/>
          <w:szCs w:val="24"/>
        </w:rPr>
        <w:t xml:space="preserve"> </w:t>
      </w:r>
      <w:r w:rsidR="00C571C5">
        <w:rPr>
          <w:rFonts w:ascii="Times New Roman" w:hAnsi="Times New Roman" w:cs="Times New Roman"/>
          <w:sz w:val="24"/>
          <w:szCs w:val="24"/>
        </w:rPr>
        <w:t>Math B</w:t>
      </w:r>
      <w:r w:rsidR="005649F1">
        <w:rPr>
          <w:rFonts w:ascii="Times New Roman" w:hAnsi="Times New Roman" w:cs="Times New Roman"/>
          <w:sz w:val="24"/>
          <w:szCs w:val="24"/>
        </w:rPr>
        <w:t>22</w:t>
      </w:r>
      <w:r w:rsidR="00C571C5">
        <w:rPr>
          <w:rFonts w:ascii="Times New Roman" w:hAnsi="Times New Roman" w:cs="Times New Roman"/>
          <w:sz w:val="24"/>
          <w:szCs w:val="24"/>
        </w:rPr>
        <w:t xml:space="preserve"> and who do not succeed in this or any other transfer-level quantitative course </w:t>
      </w:r>
      <w:r w:rsidR="00096CDF">
        <w:rPr>
          <w:rFonts w:ascii="Times New Roman" w:hAnsi="Times New Roman" w:cs="Times New Roman"/>
          <w:sz w:val="24"/>
          <w:szCs w:val="24"/>
        </w:rPr>
        <w:t xml:space="preserve">are expected to navigate </w:t>
      </w:r>
      <w:r w:rsidR="00C571C5">
        <w:rPr>
          <w:rFonts w:ascii="Times New Roman" w:hAnsi="Times New Roman" w:cs="Times New Roman"/>
          <w:sz w:val="24"/>
          <w:szCs w:val="24"/>
        </w:rPr>
        <w:t xml:space="preserve">backwards </w:t>
      </w:r>
      <w:r w:rsidR="00096CDF">
        <w:rPr>
          <w:rFonts w:ascii="Times New Roman" w:hAnsi="Times New Roman" w:cs="Times New Roman"/>
          <w:sz w:val="24"/>
          <w:szCs w:val="24"/>
        </w:rPr>
        <w:t xml:space="preserve">to complete a course </w:t>
      </w:r>
      <w:r w:rsidR="00280A74">
        <w:rPr>
          <w:rFonts w:ascii="Times New Roman" w:hAnsi="Times New Roman" w:cs="Times New Roman"/>
          <w:sz w:val="24"/>
          <w:szCs w:val="24"/>
        </w:rPr>
        <w:t>that satisfies</w:t>
      </w:r>
      <w:r w:rsidR="00096CDF">
        <w:rPr>
          <w:rFonts w:ascii="Times New Roman" w:hAnsi="Times New Roman" w:cs="Times New Roman"/>
          <w:sz w:val="24"/>
          <w:szCs w:val="24"/>
        </w:rPr>
        <w:t xml:space="preserve"> associate-level but not transfer-level competency</w:t>
      </w:r>
      <w:r w:rsidR="00217775">
        <w:rPr>
          <w:rFonts w:ascii="Times New Roman" w:hAnsi="Times New Roman" w:cs="Times New Roman"/>
          <w:sz w:val="24"/>
          <w:szCs w:val="24"/>
        </w:rPr>
        <w:t xml:space="preserve"> within the one-year time frame</w:t>
      </w:r>
      <w:r w:rsidR="00096CDF">
        <w:rPr>
          <w:rFonts w:ascii="Times New Roman" w:hAnsi="Times New Roman" w:cs="Times New Roman"/>
          <w:sz w:val="24"/>
          <w:szCs w:val="24"/>
        </w:rPr>
        <w:t>.</w:t>
      </w:r>
      <w:r w:rsidR="00910E77">
        <w:rPr>
          <w:rStyle w:val="FootnoteReference"/>
          <w:rFonts w:ascii="Times New Roman" w:hAnsi="Times New Roman" w:cs="Times New Roman"/>
          <w:sz w:val="24"/>
          <w:szCs w:val="24"/>
        </w:rPr>
        <w:footnoteReference w:id="8"/>
      </w:r>
      <w:r w:rsidR="00096CDF">
        <w:rPr>
          <w:rFonts w:ascii="Times New Roman" w:hAnsi="Times New Roman" w:cs="Times New Roman"/>
          <w:sz w:val="24"/>
          <w:szCs w:val="24"/>
        </w:rPr>
        <w:t xml:space="preserve">  Therefore, </w:t>
      </w:r>
      <w:r w:rsidR="005649F1">
        <w:rPr>
          <w:rFonts w:ascii="Times New Roman" w:hAnsi="Times New Roman" w:cs="Times New Roman"/>
          <w:sz w:val="24"/>
          <w:szCs w:val="24"/>
        </w:rPr>
        <w:t>89</w:t>
      </w:r>
      <w:r w:rsidR="00096CDF">
        <w:rPr>
          <w:rFonts w:ascii="Times New Roman" w:hAnsi="Times New Roman" w:cs="Times New Roman"/>
          <w:sz w:val="24"/>
          <w:szCs w:val="24"/>
        </w:rPr>
        <w:t>% of students who begin in Math B</w:t>
      </w:r>
      <w:r w:rsidR="005649F1">
        <w:rPr>
          <w:rFonts w:ascii="Times New Roman" w:hAnsi="Times New Roman" w:cs="Times New Roman"/>
          <w:sz w:val="24"/>
          <w:szCs w:val="24"/>
        </w:rPr>
        <w:t>22</w:t>
      </w:r>
      <w:r w:rsidR="00096CDF">
        <w:rPr>
          <w:rFonts w:ascii="Times New Roman" w:hAnsi="Times New Roman" w:cs="Times New Roman"/>
          <w:sz w:val="24"/>
          <w:szCs w:val="24"/>
        </w:rPr>
        <w:t xml:space="preserve"> </w:t>
      </w:r>
      <w:r w:rsidR="00280A74">
        <w:rPr>
          <w:rFonts w:ascii="Times New Roman" w:hAnsi="Times New Roman" w:cs="Times New Roman"/>
          <w:sz w:val="24"/>
          <w:szCs w:val="24"/>
        </w:rPr>
        <w:t xml:space="preserve">and do not complete this course or any other transfer-level </w:t>
      </w:r>
      <w:r w:rsidR="008E0C7B">
        <w:rPr>
          <w:rFonts w:ascii="Times New Roman" w:hAnsi="Times New Roman" w:cs="Times New Roman"/>
          <w:sz w:val="24"/>
          <w:szCs w:val="24"/>
        </w:rPr>
        <w:t xml:space="preserve">quantitative course successfully are expected to </w:t>
      </w:r>
      <w:r w:rsidR="00F1591C">
        <w:rPr>
          <w:rFonts w:ascii="Times New Roman" w:hAnsi="Times New Roman" w:cs="Times New Roman"/>
          <w:sz w:val="24"/>
          <w:szCs w:val="24"/>
        </w:rPr>
        <w:t xml:space="preserve">end the year </w:t>
      </w:r>
      <w:r w:rsidR="00436F44">
        <w:rPr>
          <w:rFonts w:ascii="Times New Roman" w:hAnsi="Times New Roman" w:cs="Times New Roman"/>
          <w:sz w:val="24"/>
          <w:szCs w:val="24"/>
        </w:rPr>
        <w:t xml:space="preserve">beginning with </w:t>
      </w:r>
      <w:r w:rsidR="00F1591C">
        <w:rPr>
          <w:rFonts w:ascii="Times New Roman" w:hAnsi="Times New Roman" w:cs="Times New Roman"/>
          <w:sz w:val="24"/>
          <w:szCs w:val="24"/>
        </w:rPr>
        <w:t>their first quantitative course</w:t>
      </w:r>
      <w:r w:rsidR="00423D07">
        <w:rPr>
          <w:rFonts w:ascii="Times New Roman" w:hAnsi="Times New Roman" w:cs="Times New Roman"/>
          <w:sz w:val="24"/>
          <w:szCs w:val="24"/>
        </w:rPr>
        <w:t xml:space="preserve"> </w:t>
      </w:r>
      <w:r w:rsidR="00423D07" w:rsidRPr="002A66A8">
        <w:rPr>
          <w:rFonts w:ascii="Times New Roman" w:hAnsi="Times New Roman" w:cs="Times New Roman"/>
          <w:sz w:val="24"/>
          <w:szCs w:val="24"/>
        </w:rPr>
        <w:t xml:space="preserve">without </w:t>
      </w:r>
      <w:r w:rsidR="003A415A" w:rsidRPr="0072729B">
        <w:rPr>
          <w:rFonts w:ascii="Times New Roman" w:hAnsi="Times New Roman" w:cs="Times New Roman"/>
          <w:sz w:val="24"/>
          <w:szCs w:val="24"/>
        </w:rPr>
        <w:t>completing</w:t>
      </w:r>
      <w:r w:rsidR="00F1591C" w:rsidRPr="002A66A8">
        <w:rPr>
          <w:rFonts w:ascii="Times New Roman" w:hAnsi="Times New Roman" w:cs="Times New Roman"/>
          <w:sz w:val="24"/>
          <w:szCs w:val="24"/>
        </w:rPr>
        <w:t xml:space="preserve"> </w:t>
      </w:r>
      <w:r w:rsidR="003A415A" w:rsidRPr="002A66A8">
        <w:rPr>
          <w:rFonts w:ascii="Times New Roman" w:hAnsi="Times New Roman" w:cs="Times New Roman"/>
          <w:sz w:val="24"/>
          <w:szCs w:val="24"/>
        </w:rPr>
        <w:t>any</w:t>
      </w:r>
      <w:r w:rsidR="00F1591C" w:rsidRPr="002A66A8">
        <w:rPr>
          <w:rFonts w:ascii="Times New Roman" w:hAnsi="Times New Roman" w:cs="Times New Roman"/>
          <w:sz w:val="24"/>
          <w:szCs w:val="24"/>
        </w:rPr>
        <w:t xml:space="preserve"> </w:t>
      </w:r>
      <w:r w:rsidR="008E0C7B" w:rsidRPr="002A66A8">
        <w:rPr>
          <w:rFonts w:ascii="Times New Roman" w:hAnsi="Times New Roman" w:cs="Times New Roman"/>
          <w:sz w:val="24"/>
          <w:szCs w:val="24"/>
        </w:rPr>
        <w:t xml:space="preserve">associate- or transfer-level </w:t>
      </w:r>
      <w:r w:rsidR="00F1591C" w:rsidRPr="002A66A8">
        <w:rPr>
          <w:rFonts w:ascii="Times New Roman" w:hAnsi="Times New Roman" w:cs="Times New Roman"/>
          <w:sz w:val="24"/>
          <w:szCs w:val="24"/>
        </w:rPr>
        <w:t xml:space="preserve">quantitative </w:t>
      </w:r>
      <w:r w:rsidR="008E0C7B" w:rsidRPr="002A66A8">
        <w:rPr>
          <w:rFonts w:ascii="Times New Roman" w:hAnsi="Times New Roman" w:cs="Times New Roman"/>
          <w:sz w:val="24"/>
          <w:szCs w:val="24"/>
        </w:rPr>
        <w:t>course successfully</w:t>
      </w:r>
      <w:r w:rsidR="008E0C7B" w:rsidRPr="003A2D54">
        <w:rPr>
          <w:rFonts w:ascii="Times New Roman" w:hAnsi="Times New Roman" w:cs="Times New Roman"/>
          <w:sz w:val="24"/>
          <w:szCs w:val="24"/>
        </w:rPr>
        <w:t xml:space="preserve">.  </w:t>
      </w:r>
      <w:r w:rsidR="00436F44" w:rsidRPr="003A2D54">
        <w:rPr>
          <w:rFonts w:ascii="Times New Roman" w:hAnsi="Times New Roman" w:cs="Times New Roman"/>
          <w:sz w:val="24"/>
          <w:szCs w:val="24"/>
        </w:rPr>
        <w:t>Overall</w:t>
      </w:r>
      <w:r w:rsidR="006B5C34" w:rsidRPr="003A2D54">
        <w:rPr>
          <w:rFonts w:ascii="Times New Roman" w:hAnsi="Times New Roman" w:cs="Times New Roman"/>
          <w:sz w:val="24"/>
          <w:szCs w:val="24"/>
        </w:rPr>
        <w:t xml:space="preserve">, </w:t>
      </w:r>
      <w:r w:rsidR="005649F1">
        <w:rPr>
          <w:rFonts w:ascii="Times New Roman" w:hAnsi="Times New Roman" w:cs="Times New Roman"/>
          <w:sz w:val="24"/>
          <w:szCs w:val="24"/>
        </w:rPr>
        <w:t>65</w:t>
      </w:r>
      <w:r w:rsidR="006B5C34" w:rsidRPr="003A2D54">
        <w:rPr>
          <w:rFonts w:ascii="Times New Roman" w:hAnsi="Times New Roman" w:cs="Times New Roman"/>
          <w:sz w:val="24"/>
          <w:szCs w:val="24"/>
        </w:rPr>
        <w:t xml:space="preserve">% of </w:t>
      </w:r>
      <w:r w:rsidR="00436F44" w:rsidRPr="003A2D54">
        <w:rPr>
          <w:rFonts w:ascii="Times New Roman" w:hAnsi="Times New Roman" w:cs="Times New Roman"/>
          <w:sz w:val="24"/>
          <w:szCs w:val="24"/>
        </w:rPr>
        <w:t xml:space="preserve">the students with the specified </w:t>
      </w:r>
      <w:r w:rsidR="00436F44" w:rsidRPr="003A2D54">
        <w:rPr>
          <w:rFonts w:ascii="Times New Roman" w:hAnsi="Times New Roman" w:cs="Times New Roman"/>
          <w:sz w:val="24"/>
          <w:szCs w:val="24"/>
        </w:rPr>
        <w:lastRenderedPageBreak/>
        <w:t>characteristics who enter the curriculum through Math B</w:t>
      </w:r>
      <w:r w:rsidR="005649F1">
        <w:rPr>
          <w:rFonts w:ascii="Times New Roman" w:hAnsi="Times New Roman" w:cs="Times New Roman"/>
          <w:sz w:val="24"/>
          <w:szCs w:val="24"/>
        </w:rPr>
        <w:t>22</w:t>
      </w:r>
      <w:r w:rsidR="00436F44" w:rsidRPr="003A2D54">
        <w:rPr>
          <w:rFonts w:ascii="Times New Roman" w:hAnsi="Times New Roman" w:cs="Times New Roman"/>
          <w:sz w:val="24"/>
          <w:szCs w:val="24"/>
        </w:rPr>
        <w:t xml:space="preserve"> are expected to end the first year </w:t>
      </w:r>
      <w:r w:rsidR="00436F44" w:rsidRPr="0072729B">
        <w:rPr>
          <w:rFonts w:ascii="Times New Roman" w:hAnsi="Times New Roman" w:cs="Times New Roman"/>
          <w:sz w:val="24"/>
          <w:szCs w:val="24"/>
        </w:rPr>
        <w:t xml:space="preserve">completing </w:t>
      </w:r>
      <w:r w:rsidR="005649F1">
        <w:rPr>
          <w:rFonts w:ascii="Times New Roman" w:hAnsi="Times New Roman" w:cs="Times New Roman"/>
          <w:sz w:val="24"/>
          <w:szCs w:val="24"/>
        </w:rPr>
        <w:t xml:space="preserve">neither an </w:t>
      </w:r>
      <w:r w:rsidR="00436F44" w:rsidRPr="0072729B">
        <w:rPr>
          <w:rFonts w:ascii="Times New Roman" w:hAnsi="Times New Roman" w:cs="Times New Roman"/>
          <w:sz w:val="24"/>
          <w:szCs w:val="24"/>
        </w:rPr>
        <w:t>associate-</w:t>
      </w:r>
      <w:r w:rsidR="009516CE">
        <w:rPr>
          <w:rFonts w:ascii="Times New Roman" w:hAnsi="Times New Roman" w:cs="Times New Roman"/>
          <w:sz w:val="24"/>
          <w:szCs w:val="24"/>
        </w:rPr>
        <w:t>level</w:t>
      </w:r>
      <w:r w:rsidR="00436F44" w:rsidRPr="0072729B">
        <w:rPr>
          <w:rFonts w:ascii="Times New Roman" w:hAnsi="Times New Roman" w:cs="Times New Roman"/>
          <w:sz w:val="24"/>
          <w:szCs w:val="24"/>
        </w:rPr>
        <w:t xml:space="preserve"> </w:t>
      </w:r>
      <w:r w:rsidR="005649F1">
        <w:rPr>
          <w:rFonts w:ascii="Times New Roman" w:hAnsi="Times New Roman" w:cs="Times New Roman"/>
          <w:sz w:val="24"/>
          <w:szCs w:val="24"/>
        </w:rPr>
        <w:t>n</w:t>
      </w:r>
      <w:r w:rsidR="00436F44" w:rsidRPr="0072729B">
        <w:rPr>
          <w:rFonts w:ascii="Times New Roman" w:hAnsi="Times New Roman" w:cs="Times New Roman"/>
          <w:sz w:val="24"/>
          <w:szCs w:val="24"/>
        </w:rPr>
        <w:t xml:space="preserve">or </w:t>
      </w:r>
      <w:r w:rsidR="009516CE">
        <w:rPr>
          <w:rFonts w:ascii="Times New Roman" w:hAnsi="Times New Roman" w:cs="Times New Roman"/>
          <w:sz w:val="24"/>
          <w:szCs w:val="24"/>
        </w:rPr>
        <w:t xml:space="preserve">a </w:t>
      </w:r>
      <w:r w:rsidR="00436F44" w:rsidRPr="0072729B">
        <w:rPr>
          <w:rFonts w:ascii="Times New Roman" w:hAnsi="Times New Roman" w:cs="Times New Roman"/>
          <w:sz w:val="24"/>
          <w:szCs w:val="24"/>
        </w:rPr>
        <w:t>transfer-level quantitative course successfully</w:t>
      </w:r>
      <w:r w:rsidR="00436F44">
        <w:rPr>
          <w:rFonts w:ascii="Times New Roman" w:hAnsi="Times New Roman" w:cs="Times New Roman"/>
          <w:sz w:val="24"/>
          <w:szCs w:val="24"/>
        </w:rPr>
        <w:t xml:space="preserve">. </w:t>
      </w:r>
    </w:p>
    <w:p w14:paraId="42B65672" w14:textId="77777777" w:rsidR="00436F44" w:rsidRDefault="00436F44" w:rsidP="00632B82">
      <w:pPr>
        <w:spacing w:after="0" w:line="240" w:lineRule="auto"/>
        <w:rPr>
          <w:rFonts w:ascii="Times New Roman" w:hAnsi="Times New Roman" w:cs="Times New Roman"/>
          <w:sz w:val="24"/>
          <w:szCs w:val="24"/>
        </w:rPr>
      </w:pPr>
    </w:p>
    <w:p w14:paraId="1E8A502F" w14:textId="0098B0F8" w:rsidR="00DB75CA" w:rsidRDefault="004E59B0"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Considering this example, o</w:t>
      </w:r>
      <w:r w:rsidR="0029460B">
        <w:rPr>
          <w:rFonts w:ascii="Times New Roman" w:hAnsi="Times New Roman" w:cs="Times New Roman"/>
          <w:sz w:val="24"/>
          <w:szCs w:val="24"/>
        </w:rPr>
        <w:t xml:space="preserve">ne potential line of research concerns any unforeseen </w:t>
      </w:r>
      <w:r w:rsidR="00CE1252">
        <w:rPr>
          <w:rFonts w:ascii="Times New Roman" w:hAnsi="Times New Roman" w:cs="Times New Roman"/>
          <w:sz w:val="24"/>
          <w:szCs w:val="24"/>
        </w:rPr>
        <w:t xml:space="preserve">consequences </w:t>
      </w:r>
      <w:r w:rsidR="0029460B">
        <w:rPr>
          <w:rFonts w:ascii="Times New Roman" w:hAnsi="Times New Roman" w:cs="Times New Roman"/>
          <w:sz w:val="24"/>
          <w:szCs w:val="24"/>
        </w:rPr>
        <w:t xml:space="preserve">to the </w:t>
      </w:r>
      <w:r w:rsidR="00580784">
        <w:rPr>
          <w:rFonts w:ascii="Times New Roman" w:hAnsi="Times New Roman" w:cs="Times New Roman"/>
          <w:sz w:val="24"/>
          <w:szCs w:val="24"/>
        </w:rPr>
        <w:t xml:space="preserve">elevated risk of course failure </w:t>
      </w:r>
      <w:r w:rsidR="00C20230">
        <w:rPr>
          <w:rFonts w:ascii="Times New Roman" w:hAnsi="Times New Roman" w:cs="Times New Roman"/>
          <w:sz w:val="24"/>
          <w:szCs w:val="24"/>
        </w:rPr>
        <w:t xml:space="preserve">faced by </w:t>
      </w:r>
      <w:r w:rsidR="00580784">
        <w:rPr>
          <w:rFonts w:ascii="Times New Roman" w:hAnsi="Times New Roman" w:cs="Times New Roman"/>
          <w:sz w:val="24"/>
          <w:szCs w:val="24"/>
        </w:rPr>
        <w:t xml:space="preserve">minimally </w:t>
      </w:r>
      <w:r w:rsidR="006B519F">
        <w:rPr>
          <w:rFonts w:ascii="Times New Roman" w:hAnsi="Times New Roman" w:cs="Times New Roman"/>
          <w:sz w:val="24"/>
          <w:szCs w:val="24"/>
        </w:rPr>
        <w:t xml:space="preserve">or modestly </w:t>
      </w:r>
      <w:r w:rsidR="00580784">
        <w:rPr>
          <w:rFonts w:ascii="Times New Roman" w:hAnsi="Times New Roman" w:cs="Times New Roman"/>
          <w:sz w:val="24"/>
          <w:szCs w:val="24"/>
        </w:rPr>
        <w:t xml:space="preserve">prepared students </w:t>
      </w:r>
      <w:r w:rsidR="00C20230">
        <w:rPr>
          <w:rFonts w:ascii="Times New Roman" w:hAnsi="Times New Roman" w:cs="Times New Roman"/>
          <w:sz w:val="24"/>
          <w:szCs w:val="24"/>
        </w:rPr>
        <w:t xml:space="preserve">who </w:t>
      </w:r>
      <w:r w:rsidR="00812E48">
        <w:rPr>
          <w:rFonts w:ascii="Times New Roman" w:hAnsi="Times New Roman" w:cs="Times New Roman"/>
          <w:sz w:val="24"/>
          <w:szCs w:val="24"/>
        </w:rPr>
        <w:t xml:space="preserve">begin in </w:t>
      </w:r>
      <w:r w:rsidR="003B23C6">
        <w:rPr>
          <w:rFonts w:ascii="Times New Roman" w:hAnsi="Times New Roman" w:cs="Times New Roman"/>
          <w:sz w:val="24"/>
          <w:szCs w:val="24"/>
        </w:rPr>
        <w:t xml:space="preserve">certain </w:t>
      </w:r>
      <w:r w:rsidR="00C20230">
        <w:rPr>
          <w:rFonts w:ascii="Times New Roman" w:hAnsi="Times New Roman" w:cs="Times New Roman"/>
          <w:sz w:val="24"/>
          <w:szCs w:val="24"/>
        </w:rPr>
        <w:t xml:space="preserve">transfer-level </w:t>
      </w:r>
      <w:r w:rsidR="00CE1252">
        <w:rPr>
          <w:rFonts w:ascii="Times New Roman" w:hAnsi="Times New Roman" w:cs="Times New Roman"/>
          <w:sz w:val="24"/>
          <w:szCs w:val="24"/>
        </w:rPr>
        <w:t xml:space="preserve">quantitative </w:t>
      </w:r>
      <w:r w:rsidR="00C20230">
        <w:rPr>
          <w:rFonts w:ascii="Times New Roman" w:hAnsi="Times New Roman" w:cs="Times New Roman"/>
          <w:sz w:val="24"/>
          <w:szCs w:val="24"/>
        </w:rPr>
        <w:t>course</w:t>
      </w:r>
      <w:r w:rsidR="003B23C6">
        <w:rPr>
          <w:rFonts w:ascii="Times New Roman" w:hAnsi="Times New Roman" w:cs="Times New Roman"/>
          <w:sz w:val="24"/>
          <w:szCs w:val="24"/>
        </w:rPr>
        <w:t>s</w:t>
      </w:r>
      <w:r w:rsidR="00A323C3">
        <w:rPr>
          <w:rFonts w:ascii="Times New Roman" w:hAnsi="Times New Roman" w:cs="Times New Roman"/>
          <w:sz w:val="24"/>
          <w:szCs w:val="24"/>
        </w:rPr>
        <w:t xml:space="preserve">.  </w:t>
      </w:r>
      <w:r w:rsidR="0029460B">
        <w:rPr>
          <w:rFonts w:ascii="Times New Roman" w:hAnsi="Times New Roman" w:cs="Times New Roman"/>
          <w:sz w:val="24"/>
          <w:szCs w:val="24"/>
        </w:rPr>
        <w:t>Clearly, t</w:t>
      </w:r>
      <w:r w:rsidR="006F26B4">
        <w:rPr>
          <w:rFonts w:ascii="Times New Roman" w:hAnsi="Times New Roman" w:cs="Times New Roman"/>
          <w:sz w:val="24"/>
          <w:szCs w:val="24"/>
        </w:rPr>
        <w:t xml:space="preserve">he best chance of achieving transfer-level </w:t>
      </w:r>
      <w:r w:rsidR="00812E48">
        <w:rPr>
          <w:rFonts w:ascii="Times New Roman" w:hAnsi="Times New Roman" w:cs="Times New Roman"/>
          <w:sz w:val="24"/>
          <w:szCs w:val="24"/>
        </w:rPr>
        <w:t xml:space="preserve">quantitative </w:t>
      </w:r>
      <w:r w:rsidR="006F26B4">
        <w:rPr>
          <w:rFonts w:ascii="Times New Roman" w:hAnsi="Times New Roman" w:cs="Times New Roman"/>
          <w:sz w:val="24"/>
          <w:szCs w:val="24"/>
        </w:rPr>
        <w:t xml:space="preserve">competency for these students </w:t>
      </w:r>
      <w:r w:rsidR="0029460B">
        <w:rPr>
          <w:rFonts w:ascii="Times New Roman" w:hAnsi="Times New Roman" w:cs="Times New Roman"/>
          <w:sz w:val="24"/>
          <w:szCs w:val="24"/>
        </w:rPr>
        <w:t xml:space="preserve">is to start </w:t>
      </w:r>
      <w:r w:rsidR="006B519F">
        <w:rPr>
          <w:rFonts w:ascii="Times New Roman" w:hAnsi="Times New Roman" w:cs="Times New Roman"/>
          <w:sz w:val="24"/>
          <w:szCs w:val="24"/>
        </w:rPr>
        <w:t xml:space="preserve">with </w:t>
      </w:r>
      <w:r w:rsidR="00CE1252">
        <w:rPr>
          <w:rFonts w:ascii="Times New Roman" w:hAnsi="Times New Roman" w:cs="Times New Roman"/>
          <w:sz w:val="24"/>
          <w:szCs w:val="24"/>
        </w:rPr>
        <w:t xml:space="preserve">a </w:t>
      </w:r>
      <w:r w:rsidR="00BD7B0B">
        <w:rPr>
          <w:rFonts w:ascii="Times New Roman" w:hAnsi="Times New Roman" w:cs="Times New Roman"/>
          <w:sz w:val="24"/>
          <w:szCs w:val="24"/>
        </w:rPr>
        <w:t>transfer-level course</w:t>
      </w:r>
      <w:r w:rsidR="0029460B">
        <w:rPr>
          <w:rFonts w:ascii="Times New Roman" w:hAnsi="Times New Roman" w:cs="Times New Roman"/>
          <w:sz w:val="24"/>
          <w:szCs w:val="24"/>
        </w:rPr>
        <w:t xml:space="preserve">.  However, </w:t>
      </w:r>
      <w:r w:rsidR="00812E48">
        <w:rPr>
          <w:rFonts w:ascii="Times New Roman" w:hAnsi="Times New Roman" w:cs="Times New Roman"/>
          <w:sz w:val="24"/>
          <w:szCs w:val="24"/>
        </w:rPr>
        <w:t xml:space="preserve">the limited evidence presented here suggests that </w:t>
      </w:r>
      <w:r w:rsidR="00CE1252">
        <w:rPr>
          <w:rFonts w:ascii="Times New Roman" w:hAnsi="Times New Roman" w:cs="Times New Roman"/>
          <w:sz w:val="24"/>
          <w:szCs w:val="24"/>
        </w:rPr>
        <w:t>an</w:t>
      </w:r>
      <w:r w:rsidR="00812E48">
        <w:rPr>
          <w:rFonts w:ascii="Times New Roman" w:hAnsi="Times New Roman" w:cs="Times New Roman"/>
          <w:sz w:val="24"/>
          <w:szCs w:val="24"/>
        </w:rPr>
        <w:t xml:space="preserve"> elevated risk of course failure also may increase the</w:t>
      </w:r>
      <w:r w:rsidR="00CE1252">
        <w:rPr>
          <w:rFonts w:ascii="Times New Roman" w:hAnsi="Times New Roman" w:cs="Times New Roman"/>
          <w:sz w:val="24"/>
          <w:szCs w:val="24"/>
        </w:rPr>
        <w:t>ir</w:t>
      </w:r>
      <w:r w:rsidR="00812E48">
        <w:rPr>
          <w:rFonts w:ascii="Times New Roman" w:hAnsi="Times New Roman" w:cs="Times New Roman"/>
          <w:sz w:val="24"/>
          <w:szCs w:val="24"/>
        </w:rPr>
        <w:t xml:space="preserve"> chances of completing neither a transfer-level nor an associate-level quantitative course, at least w</w:t>
      </w:r>
      <w:r w:rsidR="00CE1252">
        <w:rPr>
          <w:rFonts w:ascii="Times New Roman" w:hAnsi="Times New Roman" w:cs="Times New Roman"/>
          <w:sz w:val="24"/>
          <w:szCs w:val="24"/>
        </w:rPr>
        <w:t xml:space="preserve">ithin the one-year time frame. </w:t>
      </w:r>
      <w:r w:rsidR="0029460B">
        <w:rPr>
          <w:rFonts w:ascii="Times New Roman" w:hAnsi="Times New Roman" w:cs="Times New Roman"/>
          <w:sz w:val="24"/>
          <w:szCs w:val="24"/>
        </w:rPr>
        <w:t xml:space="preserve"> </w:t>
      </w:r>
      <w:r w:rsidR="00F1327C">
        <w:rPr>
          <w:rFonts w:ascii="Times New Roman" w:hAnsi="Times New Roman" w:cs="Times New Roman"/>
          <w:sz w:val="24"/>
          <w:szCs w:val="24"/>
        </w:rPr>
        <w:t xml:space="preserve">Indeed, it is not inconceivable that a change in placement practices could </w:t>
      </w:r>
      <w:r w:rsidR="00BD7B0B" w:rsidRPr="0072729B">
        <w:rPr>
          <w:rFonts w:ascii="Times New Roman" w:hAnsi="Times New Roman" w:cs="Times New Roman"/>
          <w:i/>
          <w:sz w:val="24"/>
          <w:szCs w:val="24"/>
        </w:rPr>
        <w:t>simultaneously</w:t>
      </w:r>
      <w:r w:rsidR="00F1327C">
        <w:rPr>
          <w:rFonts w:ascii="Times New Roman" w:hAnsi="Times New Roman" w:cs="Times New Roman"/>
          <w:sz w:val="24"/>
          <w:szCs w:val="24"/>
        </w:rPr>
        <w:t xml:space="preserve"> </w:t>
      </w:r>
      <w:r w:rsidR="001468A2">
        <w:rPr>
          <w:rFonts w:ascii="Times New Roman" w:hAnsi="Times New Roman" w:cs="Times New Roman"/>
          <w:sz w:val="24"/>
          <w:szCs w:val="24"/>
        </w:rPr>
        <w:t xml:space="preserve">(1) </w:t>
      </w:r>
      <w:r w:rsidR="00F1327C">
        <w:rPr>
          <w:rFonts w:ascii="Times New Roman" w:hAnsi="Times New Roman" w:cs="Times New Roman"/>
          <w:sz w:val="24"/>
          <w:szCs w:val="24"/>
        </w:rPr>
        <w:t xml:space="preserve">elevate students’ chances of completing a transfer-level </w:t>
      </w:r>
      <w:r w:rsidR="00BD7B0B">
        <w:rPr>
          <w:rFonts w:ascii="Times New Roman" w:hAnsi="Times New Roman" w:cs="Times New Roman"/>
          <w:sz w:val="24"/>
          <w:szCs w:val="24"/>
        </w:rPr>
        <w:t xml:space="preserve">quantitative </w:t>
      </w:r>
      <w:r w:rsidR="00F1327C">
        <w:rPr>
          <w:rFonts w:ascii="Times New Roman" w:hAnsi="Times New Roman" w:cs="Times New Roman"/>
          <w:sz w:val="24"/>
          <w:szCs w:val="24"/>
        </w:rPr>
        <w:t>course</w:t>
      </w:r>
      <w:r w:rsidR="001468A2">
        <w:rPr>
          <w:rFonts w:ascii="Times New Roman" w:hAnsi="Times New Roman" w:cs="Times New Roman"/>
          <w:sz w:val="24"/>
          <w:szCs w:val="24"/>
        </w:rPr>
        <w:t xml:space="preserve">, (2) elevate their chances of experiencing a course failure or obligatory withdrawal in anticipation of course failure, </w:t>
      </w:r>
      <w:r w:rsidR="00B24571">
        <w:rPr>
          <w:rFonts w:ascii="Times New Roman" w:hAnsi="Times New Roman" w:cs="Times New Roman"/>
          <w:sz w:val="24"/>
          <w:szCs w:val="24"/>
        </w:rPr>
        <w:t xml:space="preserve">resulting in an </w:t>
      </w:r>
      <w:r w:rsidR="00F1327C">
        <w:rPr>
          <w:rFonts w:ascii="Times New Roman" w:hAnsi="Times New Roman" w:cs="Times New Roman"/>
          <w:sz w:val="24"/>
          <w:szCs w:val="24"/>
        </w:rPr>
        <w:t>elevate</w:t>
      </w:r>
      <w:r w:rsidR="00B24571">
        <w:rPr>
          <w:rFonts w:ascii="Times New Roman" w:hAnsi="Times New Roman" w:cs="Times New Roman"/>
          <w:sz w:val="24"/>
          <w:szCs w:val="24"/>
        </w:rPr>
        <w:t>d</w:t>
      </w:r>
      <w:r w:rsidR="00F1327C">
        <w:rPr>
          <w:rFonts w:ascii="Times New Roman" w:hAnsi="Times New Roman" w:cs="Times New Roman"/>
          <w:sz w:val="24"/>
          <w:szCs w:val="24"/>
        </w:rPr>
        <w:t xml:space="preserve"> risk of complet</w:t>
      </w:r>
      <w:r w:rsidR="00BD7B0B">
        <w:rPr>
          <w:rFonts w:ascii="Times New Roman" w:hAnsi="Times New Roman" w:cs="Times New Roman"/>
          <w:sz w:val="24"/>
          <w:szCs w:val="24"/>
        </w:rPr>
        <w:t>ing</w:t>
      </w:r>
      <w:r w:rsidR="00F1327C">
        <w:rPr>
          <w:rFonts w:ascii="Times New Roman" w:hAnsi="Times New Roman" w:cs="Times New Roman"/>
          <w:sz w:val="24"/>
          <w:szCs w:val="24"/>
        </w:rPr>
        <w:t xml:space="preserve"> </w:t>
      </w:r>
      <w:r w:rsidR="00BD7B0B">
        <w:rPr>
          <w:rFonts w:ascii="Times New Roman" w:hAnsi="Times New Roman" w:cs="Times New Roman"/>
          <w:sz w:val="24"/>
          <w:szCs w:val="24"/>
        </w:rPr>
        <w:t xml:space="preserve">neither </w:t>
      </w:r>
      <w:r w:rsidR="00F1327C">
        <w:rPr>
          <w:rFonts w:ascii="Times New Roman" w:hAnsi="Times New Roman" w:cs="Times New Roman"/>
          <w:sz w:val="24"/>
          <w:szCs w:val="24"/>
        </w:rPr>
        <w:t xml:space="preserve">a transfer-level </w:t>
      </w:r>
      <w:r w:rsidR="00BD7B0B">
        <w:rPr>
          <w:rFonts w:ascii="Times New Roman" w:hAnsi="Times New Roman" w:cs="Times New Roman"/>
          <w:sz w:val="24"/>
          <w:szCs w:val="24"/>
        </w:rPr>
        <w:t xml:space="preserve">nor associate-level course.  Thus, further research is needed on the extent to which </w:t>
      </w:r>
      <w:r w:rsidR="001468A2">
        <w:rPr>
          <w:rFonts w:ascii="Times New Roman" w:hAnsi="Times New Roman" w:cs="Times New Roman"/>
          <w:sz w:val="24"/>
          <w:szCs w:val="24"/>
        </w:rPr>
        <w:t xml:space="preserve">placing students with the goal of maximizing one-year throughput to transfer-level quantitative competency may increase the </w:t>
      </w:r>
      <w:r w:rsidR="00522BA6">
        <w:rPr>
          <w:rFonts w:ascii="Times New Roman" w:hAnsi="Times New Roman" w:cs="Times New Roman"/>
          <w:sz w:val="24"/>
          <w:szCs w:val="24"/>
        </w:rPr>
        <w:t>proportion</w:t>
      </w:r>
      <w:r w:rsidR="001468A2">
        <w:rPr>
          <w:rFonts w:ascii="Times New Roman" w:hAnsi="Times New Roman" w:cs="Times New Roman"/>
          <w:sz w:val="24"/>
          <w:szCs w:val="24"/>
        </w:rPr>
        <w:t xml:space="preserve"> </w:t>
      </w:r>
      <w:r w:rsidR="00B24571">
        <w:rPr>
          <w:rFonts w:ascii="Times New Roman" w:hAnsi="Times New Roman" w:cs="Times New Roman"/>
          <w:sz w:val="24"/>
          <w:szCs w:val="24"/>
        </w:rPr>
        <w:t xml:space="preserve">of students who experience a course failure in their academic career, and, in turn, </w:t>
      </w:r>
      <w:r w:rsidR="009E4C3A">
        <w:rPr>
          <w:rFonts w:ascii="Times New Roman" w:hAnsi="Times New Roman" w:cs="Times New Roman"/>
          <w:sz w:val="24"/>
          <w:szCs w:val="24"/>
        </w:rPr>
        <w:t>any</w:t>
      </w:r>
      <w:r w:rsidR="00522BA6">
        <w:rPr>
          <w:rFonts w:ascii="Times New Roman" w:hAnsi="Times New Roman" w:cs="Times New Roman"/>
          <w:sz w:val="24"/>
          <w:szCs w:val="24"/>
        </w:rPr>
        <w:t xml:space="preserve"> consequences of such an increase if it is </w:t>
      </w:r>
      <w:r w:rsidR="009E4C3A">
        <w:rPr>
          <w:rFonts w:ascii="Times New Roman" w:hAnsi="Times New Roman" w:cs="Times New Roman"/>
          <w:sz w:val="24"/>
          <w:szCs w:val="24"/>
        </w:rPr>
        <w:t>found to be occurring</w:t>
      </w:r>
      <w:r w:rsidR="00227133">
        <w:rPr>
          <w:rFonts w:ascii="Times New Roman" w:hAnsi="Times New Roman" w:cs="Times New Roman"/>
          <w:sz w:val="24"/>
          <w:szCs w:val="24"/>
        </w:rPr>
        <w:t xml:space="preserve">.  </w:t>
      </w:r>
    </w:p>
    <w:p w14:paraId="29894D9C" w14:textId="77777777" w:rsidR="00DB75CA" w:rsidRDefault="00DB75CA" w:rsidP="00632B82">
      <w:pPr>
        <w:spacing w:after="0" w:line="240" w:lineRule="auto"/>
        <w:rPr>
          <w:rFonts w:ascii="Times New Roman" w:hAnsi="Times New Roman" w:cs="Times New Roman"/>
          <w:sz w:val="24"/>
          <w:szCs w:val="24"/>
        </w:rPr>
      </w:pPr>
    </w:p>
    <w:p w14:paraId="50B59071" w14:textId="2A151C3B" w:rsidR="00BF1A6F" w:rsidRDefault="00BF1A6F" w:rsidP="00BF1A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said, it is important to note that this study is retrospective in nature, using data that largely preceded the implementation of AB705.  The implementation of AB705 calls for transfer-level placement </w:t>
      </w:r>
      <w:r w:rsidRPr="0082328E">
        <w:rPr>
          <w:rFonts w:ascii="Times New Roman" w:hAnsi="Times New Roman" w:cs="Times New Roman"/>
          <w:i/>
          <w:sz w:val="24"/>
          <w:szCs w:val="24"/>
        </w:rPr>
        <w:t>with academic or concurrent support</w:t>
      </w:r>
      <w:r>
        <w:rPr>
          <w:rFonts w:ascii="Times New Roman" w:hAnsi="Times New Roman" w:cs="Times New Roman"/>
          <w:sz w:val="24"/>
          <w:szCs w:val="24"/>
        </w:rPr>
        <w:t xml:space="preserve"> for minimally or moderately prepared students.  To the extent that these supports are implemented effectively, one would expect them to mitigate any elevated risk of course failure.  The many ways in which these supports may be implemented and the resulting effects on students’ chances of success constitute a rich line of future inquiry.</w:t>
      </w:r>
    </w:p>
    <w:p w14:paraId="3ADF30E1" w14:textId="77777777" w:rsidR="00BF1A6F" w:rsidRDefault="00BF1A6F" w:rsidP="00632B82">
      <w:pPr>
        <w:spacing w:after="0" w:line="240" w:lineRule="auto"/>
        <w:rPr>
          <w:rFonts w:ascii="Times New Roman" w:hAnsi="Times New Roman" w:cs="Times New Roman"/>
          <w:sz w:val="24"/>
          <w:szCs w:val="24"/>
        </w:rPr>
      </w:pPr>
    </w:p>
    <w:p w14:paraId="285886DD" w14:textId="74D866A0" w:rsidR="00227133" w:rsidRDefault="00BF1A6F"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potential line of research is </w:t>
      </w:r>
      <w:r w:rsidR="00DB75CA">
        <w:rPr>
          <w:rFonts w:ascii="Times New Roman" w:hAnsi="Times New Roman" w:cs="Times New Roman"/>
          <w:sz w:val="24"/>
          <w:szCs w:val="24"/>
        </w:rPr>
        <w:t xml:space="preserve">investigating how limiting </w:t>
      </w:r>
      <w:r>
        <w:rPr>
          <w:rFonts w:ascii="Times New Roman" w:hAnsi="Times New Roman" w:cs="Times New Roman"/>
          <w:sz w:val="24"/>
          <w:szCs w:val="24"/>
        </w:rPr>
        <w:t>the observation</w:t>
      </w:r>
      <w:r w:rsidR="00DB75CA">
        <w:rPr>
          <w:rFonts w:ascii="Times New Roman" w:hAnsi="Times New Roman" w:cs="Times New Roman"/>
          <w:sz w:val="24"/>
          <w:szCs w:val="24"/>
        </w:rPr>
        <w:t xml:space="preserve"> of outcomes to a one-year time frame may distort conclusions</w:t>
      </w:r>
      <w:r w:rsidR="009E4C3A">
        <w:rPr>
          <w:rFonts w:ascii="Times New Roman" w:hAnsi="Times New Roman" w:cs="Times New Roman"/>
          <w:sz w:val="24"/>
          <w:szCs w:val="24"/>
        </w:rPr>
        <w:t xml:space="preserve"> drawn from analyses such as that presented here</w:t>
      </w:r>
      <w:r w:rsidR="00DB75CA">
        <w:rPr>
          <w:rFonts w:ascii="Times New Roman" w:hAnsi="Times New Roman" w:cs="Times New Roman"/>
          <w:sz w:val="24"/>
          <w:szCs w:val="24"/>
        </w:rPr>
        <w:t xml:space="preserve">.  In particular, the illustration of Math B70 versus Math B22 indicated a very low rate of achievement of associate-level competency among students who begin in Math B22 but do not complete it successfully.  However, the one-year observation </w:t>
      </w:r>
      <w:r w:rsidR="00F014A1">
        <w:rPr>
          <w:rFonts w:ascii="Times New Roman" w:hAnsi="Times New Roman" w:cs="Times New Roman"/>
          <w:sz w:val="24"/>
          <w:szCs w:val="24"/>
        </w:rPr>
        <w:t xml:space="preserve">window for outcomes </w:t>
      </w:r>
      <w:r w:rsidR="0052464A">
        <w:rPr>
          <w:rFonts w:ascii="Times New Roman" w:hAnsi="Times New Roman" w:cs="Times New Roman"/>
          <w:sz w:val="24"/>
          <w:szCs w:val="24"/>
        </w:rPr>
        <w:t xml:space="preserve">may </w:t>
      </w:r>
      <w:r w:rsidR="00F014A1">
        <w:rPr>
          <w:rFonts w:ascii="Times New Roman" w:hAnsi="Times New Roman" w:cs="Times New Roman"/>
          <w:sz w:val="24"/>
          <w:szCs w:val="24"/>
        </w:rPr>
        <w:t xml:space="preserve">artificially </w:t>
      </w:r>
      <w:r>
        <w:rPr>
          <w:rFonts w:ascii="Times New Roman" w:hAnsi="Times New Roman" w:cs="Times New Roman"/>
          <w:sz w:val="24"/>
          <w:szCs w:val="24"/>
        </w:rPr>
        <w:t>depress</w:t>
      </w:r>
      <w:r w:rsidR="00F014A1">
        <w:rPr>
          <w:rFonts w:ascii="Times New Roman" w:hAnsi="Times New Roman" w:cs="Times New Roman"/>
          <w:sz w:val="24"/>
          <w:szCs w:val="24"/>
        </w:rPr>
        <w:t xml:space="preserve"> </w:t>
      </w:r>
      <w:r>
        <w:rPr>
          <w:rFonts w:ascii="Times New Roman" w:hAnsi="Times New Roman" w:cs="Times New Roman"/>
          <w:sz w:val="24"/>
          <w:szCs w:val="24"/>
        </w:rPr>
        <w:t xml:space="preserve">observed </w:t>
      </w:r>
      <w:r w:rsidR="009E4C3A">
        <w:rPr>
          <w:rFonts w:ascii="Times New Roman" w:hAnsi="Times New Roman" w:cs="Times New Roman"/>
          <w:sz w:val="24"/>
          <w:szCs w:val="24"/>
        </w:rPr>
        <w:t xml:space="preserve">rates of </w:t>
      </w:r>
      <w:r w:rsidR="00F014A1">
        <w:rPr>
          <w:rFonts w:ascii="Times New Roman" w:hAnsi="Times New Roman" w:cs="Times New Roman"/>
          <w:sz w:val="24"/>
          <w:szCs w:val="24"/>
        </w:rPr>
        <w:t xml:space="preserve">achievement among students who did not succeed in their first quantitative course, with a greater share of them eventually completing an associate- or transfer-level course if a sufficient observation window is allowed.  </w:t>
      </w:r>
      <w:r w:rsidR="00E20ED2">
        <w:rPr>
          <w:rFonts w:ascii="Times New Roman" w:hAnsi="Times New Roman" w:cs="Times New Roman"/>
          <w:sz w:val="24"/>
          <w:szCs w:val="24"/>
        </w:rPr>
        <w:t xml:space="preserve">Investigating outcomes over </w:t>
      </w:r>
      <w:r w:rsidR="00DB3A59">
        <w:rPr>
          <w:rFonts w:ascii="Times New Roman" w:hAnsi="Times New Roman" w:cs="Times New Roman"/>
          <w:sz w:val="24"/>
          <w:szCs w:val="24"/>
        </w:rPr>
        <w:t xml:space="preserve">one year plus one regular term, and </w:t>
      </w:r>
      <w:r w:rsidR="009516CE">
        <w:rPr>
          <w:rFonts w:ascii="Times New Roman" w:hAnsi="Times New Roman" w:cs="Times New Roman"/>
          <w:sz w:val="24"/>
          <w:szCs w:val="24"/>
        </w:rPr>
        <w:t xml:space="preserve">also </w:t>
      </w:r>
      <w:r w:rsidR="00DB3A59">
        <w:rPr>
          <w:rFonts w:ascii="Times New Roman" w:hAnsi="Times New Roman" w:cs="Times New Roman"/>
          <w:sz w:val="24"/>
          <w:szCs w:val="24"/>
        </w:rPr>
        <w:t>over two years, would be informative</w:t>
      </w:r>
      <w:r w:rsidR="009E4C3A">
        <w:rPr>
          <w:rFonts w:ascii="Times New Roman" w:hAnsi="Times New Roman" w:cs="Times New Roman"/>
          <w:sz w:val="24"/>
          <w:szCs w:val="24"/>
        </w:rPr>
        <w:t xml:space="preserve"> for understanding </w:t>
      </w:r>
      <w:r w:rsidR="00825545">
        <w:rPr>
          <w:rFonts w:ascii="Times New Roman" w:hAnsi="Times New Roman" w:cs="Times New Roman"/>
          <w:sz w:val="24"/>
          <w:szCs w:val="24"/>
        </w:rPr>
        <w:t xml:space="preserve">the experiences and outcomes of </w:t>
      </w:r>
      <w:r w:rsidR="009E4C3A">
        <w:rPr>
          <w:rFonts w:ascii="Times New Roman" w:hAnsi="Times New Roman" w:cs="Times New Roman"/>
          <w:sz w:val="24"/>
          <w:szCs w:val="24"/>
        </w:rPr>
        <w:t xml:space="preserve">students who do not succeed in their first </w:t>
      </w:r>
      <w:r w:rsidR="00825545">
        <w:rPr>
          <w:rFonts w:ascii="Times New Roman" w:hAnsi="Times New Roman" w:cs="Times New Roman"/>
          <w:sz w:val="24"/>
          <w:szCs w:val="24"/>
        </w:rPr>
        <w:t>quantitative course</w:t>
      </w:r>
      <w:r w:rsidR="00DB3A59">
        <w:rPr>
          <w:rFonts w:ascii="Times New Roman" w:hAnsi="Times New Roman" w:cs="Times New Roman"/>
          <w:sz w:val="24"/>
          <w:szCs w:val="24"/>
        </w:rPr>
        <w:t>.</w:t>
      </w:r>
    </w:p>
    <w:p w14:paraId="4E23E0E5" w14:textId="77777777" w:rsidR="00227133" w:rsidRDefault="00227133" w:rsidP="00632B82">
      <w:pPr>
        <w:spacing w:after="0" w:line="240" w:lineRule="auto"/>
        <w:rPr>
          <w:rFonts w:ascii="Times New Roman" w:hAnsi="Times New Roman" w:cs="Times New Roman"/>
          <w:sz w:val="24"/>
          <w:szCs w:val="24"/>
        </w:rPr>
      </w:pPr>
    </w:p>
    <w:p w14:paraId="109C69B6" w14:textId="4042555E" w:rsidR="00227133" w:rsidRDefault="00BF1A6F" w:rsidP="00632B82">
      <w:pPr>
        <w:spacing w:after="0" w:line="240" w:lineRule="auto"/>
        <w:rPr>
          <w:rFonts w:ascii="Times New Roman" w:hAnsi="Times New Roman" w:cs="Times New Roman"/>
          <w:sz w:val="24"/>
          <w:szCs w:val="24"/>
        </w:rPr>
      </w:pPr>
      <w:r>
        <w:rPr>
          <w:rFonts w:ascii="Times New Roman" w:hAnsi="Times New Roman" w:cs="Times New Roman"/>
          <w:sz w:val="24"/>
          <w:szCs w:val="24"/>
        </w:rPr>
        <w:t>Finally, this study did not account for the possibility that some of the students who were observed to have not achieved a given outcome (</w:t>
      </w:r>
      <w:r w:rsidR="00E16EE2">
        <w:rPr>
          <w:rFonts w:ascii="Times New Roman" w:hAnsi="Times New Roman" w:cs="Times New Roman"/>
          <w:sz w:val="24"/>
          <w:szCs w:val="24"/>
        </w:rPr>
        <w:t xml:space="preserve">a given level of competency) may have left </w:t>
      </w:r>
      <w:r w:rsidR="00DB3A59">
        <w:rPr>
          <w:rFonts w:ascii="Times New Roman" w:hAnsi="Times New Roman" w:cs="Times New Roman"/>
          <w:sz w:val="24"/>
          <w:szCs w:val="24"/>
        </w:rPr>
        <w:t>BC</w:t>
      </w:r>
      <w:r w:rsidR="00E16EE2">
        <w:rPr>
          <w:rFonts w:ascii="Times New Roman" w:hAnsi="Times New Roman" w:cs="Times New Roman"/>
          <w:sz w:val="24"/>
          <w:szCs w:val="24"/>
        </w:rPr>
        <w:t xml:space="preserve"> during the first year </w:t>
      </w:r>
      <w:r w:rsidR="00DB3A59">
        <w:rPr>
          <w:rFonts w:ascii="Times New Roman" w:hAnsi="Times New Roman" w:cs="Times New Roman"/>
          <w:sz w:val="24"/>
          <w:szCs w:val="24"/>
        </w:rPr>
        <w:t xml:space="preserve">following (beginning with) their first quantitative course in order to transfer to a four-year institution.  Some also may have completed a postsecondary certificate and sought immediate employment.  These successful outcomes would be counted as </w:t>
      </w:r>
      <w:r w:rsidR="00825545">
        <w:rPr>
          <w:rFonts w:ascii="Times New Roman" w:hAnsi="Times New Roman" w:cs="Times New Roman"/>
          <w:sz w:val="24"/>
          <w:szCs w:val="24"/>
        </w:rPr>
        <w:t xml:space="preserve">unsuccessful outcomes </w:t>
      </w:r>
      <w:r w:rsidR="00DB3A59">
        <w:rPr>
          <w:rFonts w:ascii="Times New Roman" w:hAnsi="Times New Roman" w:cs="Times New Roman"/>
          <w:sz w:val="24"/>
          <w:szCs w:val="24"/>
        </w:rPr>
        <w:t xml:space="preserve">in the analysis </w:t>
      </w:r>
      <w:r w:rsidR="00825545">
        <w:rPr>
          <w:rFonts w:ascii="Times New Roman" w:hAnsi="Times New Roman" w:cs="Times New Roman"/>
          <w:sz w:val="24"/>
          <w:szCs w:val="24"/>
        </w:rPr>
        <w:t xml:space="preserve">presented </w:t>
      </w:r>
      <w:r w:rsidR="00DB3A59">
        <w:rPr>
          <w:rFonts w:ascii="Times New Roman" w:hAnsi="Times New Roman" w:cs="Times New Roman"/>
          <w:sz w:val="24"/>
          <w:szCs w:val="24"/>
        </w:rPr>
        <w:t>here</w:t>
      </w:r>
      <w:r w:rsidR="002B7A20">
        <w:rPr>
          <w:rFonts w:ascii="Times New Roman" w:hAnsi="Times New Roman" w:cs="Times New Roman"/>
          <w:sz w:val="24"/>
          <w:szCs w:val="24"/>
        </w:rPr>
        <w:t xml:space="preserve">.  Future research </w:t>
      </w:r>
      <w:r w:rsidR="00825545">
        <w:rPr>
          <w:rFonts w:ascii="Times New Roman" w:hAnsi="Times New Roman" w:cs="Times New Roman"/>
          <w:sz w:val="24"/>
          <w:szCs w:val="24"/>
        </w:rPr>
        <w:t xml:space="preserve">should investigate the extent to which </w:t>
      </w:r>
      <w:r w:rsidR="0007131D">
        <w:rPr>
          <w:rFonts w:ascii="Times New Roman" w:hAnsi="Times New Roman" w:cs="Times New Roman"/>
          <w:sz w:val="24"/>
          <w:szCs w:val="24"/>
        </w:rPr>
        <w:t xml:space="preserve">such </w:t>
      </w:r>
      <w:r w:rsidR="00825545">
        <w:rPr>
          <w:rFonts w:ascii="Times New Roman" w:hAnsi="Times New Roman" w:cs="Times New Roman"/>
          <w:sz w:val="24"/>
          <w:szCs w:val="24"/>
        </w:rPr>
        <w:t>alternative successful outcomes occur in lieu of the achievement of particular levels of quantitative competency</w:t>
      </w:r>
      <w:r w:rsidR="0007131D">
        <w:rPr>
          <w:rFonts w:ascii="Times New Roman" w:hAnsi="Times New Roman" w:cs="Times New Roman"/>
          <w:sz w:val="24"/>
          <w:szCs w:val="24"/>
        </w:rPr>
        <w:t>.  Likewise, f</w:t>
      </w:r>
      <w:r w:rsidR="00423143">
        <w:rPr>
          <w:rFonts w:ascii="Times New Roman" w:hAnsi="Times New Roman" w:cs="Times New Roman"/>
          <w:sz w:val="24"/>
          <w:szCs w:val="24"/>
        </w:rPr>
        <w:t>uture analyses should account and adjust for these alternative successful outcomes.</w:t>
      </w:r>
    </w:p>
    <w:p w14:paraId="21A2AE5E" w14:textId="77777777" w:rsidR="006F26B4" w:rsidRDefault="006F26B4" w:rsidP="00632B82">
      <w:pPr>
        <w:spacing w:after="0" w:line="240" w:lineRule="auto"/>
        <w:rPr>
          <w:rFonts w:ascii="Times New Roman" w:hAnsi="Times New Roman" w:cs="Times New Roman"/>
          <w:sz w:val="24"/>
          <w:szCs w:val="24"/>
        </w:rPr>
      </w:pPr>
    </w:p>
    <w:p w14:paraId="741035DC" w14:textId="6E0FBEE1" w:rsidR="00423143" w:rsidRPr="00347697" w:rsidRDefault="00423143" w:rsidP="0042314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7.2</w:t>
      </w:r>
      <w:r w:rsidRPr="00C92B8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English</w:t>
      </w:r>
    </w:p>
    <w:p w14:paraId="2CEF3561" w14:textId="77777777" w:rsidR="00423143" w:rsidRDefault="00423143" w:rsidP="00423143">
      <w:pPr>
        <w:spacing w:after="0" w:line="240" w:lineRule="auto"/>
        <w:rPr>
          <w:rFonts w:ascii="Times New Roman" w:hAnsi="Times New Roman" w:cs="Times New Roman"/>
          <w:sz w:val="24"/>
          <w:szCs w:val="24"/>
        </w:rPr>
      </w:pPr>
    </w:p>
    <w:p w14:paraId="6FDF98D6" w14:textId="77777777" w:rsidR="00423143" w:rsidRPr="0082328E" w:rsidRDefault="00423143" w:rsidP="00423143">
      <w:pPr>
        <w:spacing w:after="0" w:line="240" w:lineRule="auto"/>
        <w:rPr>
          <w:rFonts w:ascii="Times New Roman" w:hAnsi="Times New Roman" w:cs="Times New Roman"/>
          <w:sz w:val="24"/>
          <w:szCs w:val="24"/>
          <w:u w:val="single"/>
        </w:rPr>
      </w:pPr>
      <w:r w:rsidRPr="0082328E">
        <w:rPr>
          <w:rFonts w:ascii="Times New Roman" w:hAnsi="Times New Roman" w:cs="Times New Roman"/>
          <w:sz w:val="24"/>
          <w:szCs w:val="24"/>
          <w:u w:val="single"/>
        </w:rPr>
        <w:t>Questions</w:t>
      </w:r>
    </w:p>
    <w:p w14:paraId="6FF73855" w14:textId="77777777" w:rsidR="00423143" w:rsidRPr="0082328E" w:rsidRDefault="00423143" w:rsidP="00423143">
      <w:pPr>
        <w:spacing w:after="0" w:line="240" w:lineRule="auto"/>
        <w:rPr>
          <w:rFonts w:ascii="Times New Roman" w:hAnsi="Times New Roman" w:cs="Times New Roman"/>
          <w:sz w:val="24"/>
          <w:szCs w:val="24"/>
        </w:rPr>
      </w:pPr>
    </w:p>
    <w:p w14:paraId="7A3918F9" w14:textId="77777777" w:rsidR="00423143" w:rsidRPr="0082328E" w:rsidRDefault="00423143" w:rsidP="00423143">
      <w:pPr>
        <w:spacing w:after="0" w:line="240" w:lineRule="auto"/>
        <w:rPr>
          <w:rFonts w:ascii="Times New Roman" w:hAnsi="Times New Roman" w:cs="Times New Roman"/>
          <w:color w:val="000000" w:themeColor="text1"/>
          <w:sz w:val="24"/>
          <w:szCs w:val="24"/>
        </w:rPr>
      </w:pPr>
      <w:r w:rsidRPr="0082328E">
        <w:rPr>
          <w:rFonts w:ascii="Times New Roman" w:hAnsi="Times New Roman" w:cs="Times New Roman"/>
          <w:color w:val="000000" w:themeColor="text1"/>
          <w:sz w:val="24"/>
          <w:szCs w:val="24"/>
        </w:rPr>
        <w:t>This section poses the following questions:</w:t>
      </w:r>
    </w:p>
    <w:p w14:paraId="7B8011A6" w14:textId="567BC637" w:rsidR="00423143" w:rsidRPr="0082328E" w:rsidRDefault="00423143" w:rsidP="00EF6CD7">
      <w:pPr>
        <w:pStyle w:val="ListParagraph"/>
        <w:numPr>
          <w:ilvl w:val="0"/>
          <w:numId w:val="17"/>
        </w:numPr>
        <w:spacing w:after="0" w:line="240" w:lineRule="auto"/>
        <w:rPr>
          <w:rFonts w:ascii="Times New Roman" w:hAnsi="Times New Roman" w:cs="Times New Roman"/>
          <w:color w:val="000000" w:themeColor="text1"/>
          <w:sz w:val="24"/>
          <w:szCs w:val="24"/>
        </w:rPr>
      </w:pPr>
      <w:r w:rsidRPr="0082328E">
        <w:rPr>
          <w:rFonts w:ascii="Times New Roman" w:hAnsi="Times New Roman" w:cs="Times New Roman"/>
          <w:color w:val="000000" w:themeColor="text1"/>
          <w:sz w:val="24"/>
          <w:szCs w:val="24"/>
        </w:rPr>
        <w:t xml:space="preserve">How is high school </w:t>
      </w:r>
      <w:r w:rsidRPr="0082328E">
        <w:rPr>
          <w:rFonts w:ascii="Times New Roman" w:hAnsi="Times New Roman" w:cs="Times New Roman"/>
          <w:sz w:val="24"/>
          <w:szCs w:val="24"/>
        </w:rPr>
        <w:t>achievement</w:t>
      </w:r>
      <w:r>
        <w:rPr>
          <w:rFonts w:ascii="Times New Roman" w:hAnsi="Times New Roman" w:cs="Times New Roman"/>
          <w:sz w:val="24"/>
          <w:szCs w:val="24"/>
        </w:rPr>
        <w:t xml:space="preserve"> </w:t>
      </w:r>
      <w:r w:rsidRPr="006C04FB">
        <w:rPr>
          <w:rFonts w:ascii="Times New Roman" w:hAnsi="Times New Roman" w:cs="Times New Roman"/>
          <w:color w:val="000000" w:themeColor="text1"/>
          <w:sz w:val="24"/>
          <w:szCs w:val="24"/>
        </w:rPr>
        <w:t xml:space="preserve">associated with point </w:t>
      </w:r>
      <w:r w:rsidR="00FC4927">
        <w:rPr>
          <w:rFonts w:ascii="Times New Roman" w:hAnsi="Times New Roman" w:cs="Times New Roman"/>
          <w:color w:val="000000" w:themeColor="text1"/>
          <w:sz w:val="24"/>
          <w:szCs w:val="24"/>
        </w:rPr>
        <w:t xml:space="preserve">of entry </w:t>
      </w:r>
      <w:r w:rsidRPr="006C04FB">
        <w:rPr>
          <w:rFonts w:ascii="Times New Roman" w:hAnsi="Times New Roman" w:cs="Times New Roman"/>
          <w:color w:val="000000" w:themeColor="text1"/>
          <w:sz w:val="24"/>
          <w:szCs w:val="24"/>
        </w:rPr>
        <w:t xml:space="preserve">to the </w:t>
      </w:r>
      <w:r>
        <w:rPr>
          <w:rFonts w:ascii="Times New Roman" w:hAnsi="Times New Roman" w:cs="Times New Roman"/>
          <w:color w:val="000000" w:themeColor="text1"/>
          <w:sz w:val="24"/>
          <w:szCs w:val="24"/>
        </w:rPr>
        <w:t>English</w:t>
      </w:r>
      <w:r w:rsidRPr="006C04FB">
        <w:rPr>
          <w:rFonts w:ascii="Times New Roman" w:hAnsi="Times New Roman" w:cs="Times New Roman"/>
          <w:color w:val="000000" w:themeColor="text1"/>
          <w:sz w:val="24"/>
          <w:szCs w:val="24"/>
        </w:rPr>
        <w:t xml:space="preserve"> curriculum</w:t>
      </w:r>
      <w:r w:rsidRPr="0082328E">
        <w:rPr>
          <w:rFonts w:ascii="Times New Roman" w:hAnsi="Times New Roman" w:cs="Times New Roman"/>
          <w:sz w:val="24"/>
          <w:szCs w:val="24"/>
        </w:rPr>
        <w:t>,</w:t>
      </w:r>
      <w:r>
        <w:rPr>
          <w:rFonts w:ascii="Times New Roman" w:hAnsi="Times New Roman" w:cs="Times New Roman"/>
          <w:sz w:val="24"/>
          <w:szCs w:val="24"/>
        </w:rPr>
        <w:t xml:space="preserve"> focusing specifically on </w:t>
      </w:r>
      <w:r w:rsidRPr="0082328E">
        <w:rPr>
          <w:rFonts w:ascii="Times New Roman" w:hAnsi="Times New Roman" w:cs="Times New Roman"/>
          <w:sz w:val="24"/>
          <w:szCs w:val="24"/>
        </w:rPr>
        <w:t>cumulative high</w:t>
      </w:r>
      <w:r w:rsidRPr="00DB3192">
        <w:rPr>
          <w:rFonts w:ascii="Times New Roman" w:hAnsi="Times New Roman" w:cs="Times New Roman"/>
          <w:sz w:val="24"/>
          <w:szCs w:val="24"/>
        </w:rPr>
        <w:t xml:space="preserve"> school grade point average (</w:t>
      </w:r>
      <w:r w:rsidRPr="0082328E">
        <w:rPr>
          <w:rFonts w:ascii="Times New Roman" w:hAnsi="Times New Roman" w:cs="Times New Roman"/>
          <w:sz w:val="24"/>
          <w:szCs w:val="24"/>
        </w:rPr>
        <w:t>GPA)</w:t>
      </w:r>
      <w:r>
        <w:rPr>
          <w:rFonts w:ascii="Times New Roman" w:hAnsi="Times New Roman" w:cs="Times New Roman"/>
          <w:sz w:val="24"/>
          <w:szCs w:val="24"/>
        </w:rPr>
        <w:t xml:space="preserve"> as the measure of high school achievement</w:t>
      </w:r>
      <w:r w:rsidRPr="0082328E">
        <w:rPr>
          <w:rFonts w:ascii="Times New Roman" w:hAnsi="Times New Roman" w:cs="Times New Roman"/>
          <w:color w:val="000000" w:themeColor="text1"/>
          <w:sz w:val="24"/>
          <w:szCs w:val="24"/>
        </w:rPr>
        <w:t>?</w:t>
      </w:r>
    </w:p>
    <w:p w14:paraId="7B31FD9E" w14:textId="6FDDAA66" w:rsidR="00423143" w:rsidRPr="0082328E" w:rsidRDefault="00423143" w:rsidP="00EF6CD7">
      <w:pPr>
        <w:pStyle w:val="ListParagraph"/>
        <w:numPr>
          <w:ilvl w:val="0"/>
          <w:numId w:val="17"/>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does the </w:t>
      </w:r>
      <w:r w:rsidRPr="0082328E">
        <w:rPr>
          <w:rFonts w:ascii="Times New Roman" w:hAnsi="Times New Roman" w:cs="Times New Roman"/>
          <w:color w:val="000000" w:themeColor="text1"/>
          <w:sz w:val="24"/>
          <w:szCs w:val="24"/>
        </w:rPr>
        <w:t xml:space="preserve">one-year throughput rate to </w:t>
      </w:r>
      <w:r w:rsidR="00436FD7">
        <w:rPr>
          <w:rFonts w:ascii="Times New Roman" w:hAnsi="Times New Roman" w:cs="Times New Roman"/>
          <w:color w:val="000000" w:themeColor="text1"/>
          <w:sz w:val="24"/>
          <w:szCs w:val="24"/>
        </w:rPr>
        <w:t xml:space="preserve">transfer-level English competency </w:t>
      </w:r>
      <w:r>
        <w:rPr>
          <w:rFonts w:ascii="Times New Roman" w:hAnsi="Times New Roman" w:cs="Times New Roman"/>
          <w:color w:val="000000" w:themeColor="text1"/>
          <w:sz w:val="24"/>
          <w:szCs w:val="24"/>
        </w:rPr>
        <w:t xml:space="preserve">vary across entry points to the curriculum when </w:t>
      </w:r>
      <w:r w:rsidRPr="0082328E">
        <w:rPr>
          <w:rFonts w:ascii="Times New Roman" w:hAnsi="Times New Roman" w:cs="Times New Roman"/>
          <w:color w:val="000000" w:themeColor="text1"/>
          <w:sz w:val="24"/>
          <w:szCs w:val="24"/>
        </w:rPr>
        <w:t>students</w:t>
      </w:r>
      <w:r>
        <w:rPr>
          <w:rFonts w:ascii="Times New Roman" w:hAnsi="Times New Roman" w:cs="Times New Roman"/>
          <w:color w:val="000000" w:themeColor="text1"/>
          <w:sz w:val="24"/>
          <w:szCs w:val="24"/>
        </w:rPr>
        <w:t xml:space="preserve">’ </w:t>
      </w:r>
      <w:r w:rsidRPr="0082328E">
        <w:rPr>
          <w:rFonts w:ascii="Times New Roman" w:hAnsi="Times New Roman" w:cs="Times New Roman"/>
          <w:color w:val="000000" w:themeColor="text1"/>
          <w:sz w:val="24"/>
          <w:szCs w:val="24"/>
        </w:rPr>
        <w:t>high school achievement</w:t>
      </w:r>
      <w:r>
        <w:rPr>
          <w:rFonts w:ascii="Times New Roman" w:hAnsi="Times New Roman" w:cs="Times New Roman"/>
          <w:color w:val="000000" w:themeColor="text1"/>
          <w:sz w:val="24"/>
          <w:szCs w:val="24"/>
        </w:rPr>
        <w:t xml:space="preserve"> is held constant</w:t>
      </w:r>
      <w:r w:rsidRPr="0082328E">
        <w:rPr>
          <w:rFonts w:ascii="Times New Roman" w:hAnsi="Times New Roman" w:cs="Times New Roman"/>
          <w:color w:val="000000" w:themeColor="text1"/>
          <w:sz w:val="24"/>
          <w:szCs w:val="24"/>
        </w:rPr>
        <w:t>?</w:t>
      </w:r>
    </w:p>
    <w:p w14:paraId="4FCB5112" w14:textId="77777777" w:rsidR="00423143" w:rsidRPr="0085342A" w:rsidRDefault="00423143" w:rsidP="00423143">
      <w:pPr>
        <w:spacing w:after="0" w:line="240" w:lineRule="auto"/>
        <w:rPr>
          <w:rFonts w:ascii="Times New Roman" w:hAnsi="Times New Roman" w:cs="Times New Roman"/>
          <w:sz w:val="24"/>
          <w:szCs w:val="24"/>
          <w:highlight w:val="yellow"/>
        </w:rPr>
      </w:pPr>
      <w:r w:rsidRPr="0085342A">
        <w:rPr>
          <w:rFonts w:ascii="Times New Roman" w:hAnsi="Times New Roman" w:cs="Times New Roman"/>
          <w:sz w:val="24"/>
          <w:szCs w:val="24"/>
          <w:highlight w:val="yellow"/>
        </w:rPr>
        <w:t xml:space="preserve"> </w:t>
      </w:r>
    </w:p>
    <w:p w14:paraId="45F1EDEA" w14:textId="77777777" w:rsidR="00423143" w:rsidRPr="006C04FB" w:rsidRDefault="00423143" w:rsidP="0042314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Analytic Strategy</w:t>
      </w:r>
    </w:p>
    <w:p w14:paraId="6D4103B2" w14:textId="77777777" w:rsidR="00423143" w:rsidRPr="0082328E" w:rsidRDefault="00423143" w:rsidP="00423143">
      <w:pPr>
        <w:spacing w:after="0" w:line="240" w:lineRule="auto"/>
        <w:rPr>
          <w:rFonts w:ascii="Times New Roman" w:hAnsi="Times New Roman" w:cs="Times New Roman"/>
          <w:sz w:val="24"/>
          <w:szCs w:val="24"/>
        </w:rPr>
      </w:pPr>
    </w:p>
    <w:p w14:paraId="7237ADC3" w14:textId="28B85D14" w:rsidR="00423143" w:rsidRDefault="0007131D" w:rsidP="004231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analytic strategy for English parallels that of </w:t>
      </w:r>
      <w:r w:rsidR="00436FD7">
        <w:rPr>
          <w:rFonts w:ascii="Times New Roman" w:hAnsi="Times New Roman" w:cs="Times New Roman"/>
          <w:sz w:val="24"/>
          <w:szCs w:val="24"/>
        </w:rPr>
        <w:t>math described in Section 7.1,</w:t>
      </w:r>
      <w:r>
        <w:rPr>
          <w:rFonts w:ascii="Times New Roman" w:hAnsi="Times New Roman" w:cs="Times New Roman"/>
          <w:sz w:val="24"/>
          <w:szCs w:val="24"/>
        </w:rPr>
        <w:t xml:space="preserve"> with the exception that only a single outcome is considered, namely </w:t>
      </w:r>
      <w:r w:rsidR="00423143">
        <w:rPr>
          <w:rFonts w:ascii="Times New Roman" w:hAnsi="Times New Roman" w:cs="Times New Roman"/>
          <w:sz w:val="24"/>
          <w:szCs w:val="24"/>
        </w:rPr>
        <w:t xml:space="preserve">achieving transfer-level </w:t>
      </w:r>
      <w:r w:rsidR="0026336F">
        <w:rPr>
          <w:rFonts w:ascii="Times New Roman" w:hAnsi="Times New Roman" w:cs="Times New Roman"/>
          <w:sz w:val="24"/>
          <w:szCs w:val="24"/>
        </w:rPr>
        <w:t>English</w:t>
      </w:r>
      <w:r w:rsidR="00423143">
        <w:rPr>
          <w:rFonts w:ascii="Times New Roman" w:hAnsi="Times New Roman" w:cs="Times New Roman"/>
          <w:sz w:val="24"/>
          <w:szCs w:val="24"/>
        </w:rPr>
        <w:t xml:space="preserve"> competency within one calendar year of when a student began his/her first </w:t>
      </w:r>
      <w:r>
        <w:rPr>
          <w:rFonts w:ascii="Times New Roman" w:hAnsi="Times New Roman" w:cs="Times New Roman"/>
          <w:sz w:val="24"/>
          <w:szCs w:val="24"/>
        </w:rPr>
        <w:t>English</w:t>
      </w:r>
      <w:r w:rsidR="00423143">
        <w:rPr>
          <w:rFonts w:ascii="Times New Roman" w:hAnsi="Times New Roman" w:cs="Times New Roman"/>
          <w:sz w:val="24"/>
          <w:szCs w:val="24"/>
        </w:rPr>
        <w:t xml:space="preserve"> course at BC.  </w:t>
      </w:r>
      <w:r w:rsidR="0026336F">
        <w:rPr>
          <w:rFonts w:ascii="Times New Roman" w:hAnsi="Times New Roman" w:cs="Times New Roman"/>
          <w:sz w:val="24"/>
          <w:szCs w:val="24"/>
        </w:rPr>
        <w:t xml:space="preserve">As detailed elsewhere in this report, the achievement of transfer-level English competency is defined as the successful completion of any of the following courses:  </w:t>
      </w:r>
      <w:r w:rsidR="0026336F" w:rsidRPr="00865AE9">
        <w:rPr>
          <w:rFonts w:ascii="Times New Roman" w:hAnsi="Times New Roman" w:cs="Times New Roman"/>
          <w:sz w:val="24"/>
          <w:szCs w:val="24"/>
        </w:rPr>
        <w:t>Engl B1A, Engl B1B, Engl B2, Engl B3, or the second half of LRNC B510 (LRNC B510</w:t>
      </w:r>
      <w:r w:rsidR="0026336F" w:rsidRPr="0082328E">
        <w:rPr>
          <w:rFonts w:ascii="Times New Roman" w:hAnsi="Times New Roman" w:cs="Times New Roman"/>
          <w:i/>
          <w:sz w:val="24"/>
          <w:szCs w:val="24"/>
        </w:rPr>
        <w:t>s</w:t>
      </w:r>
      <w:r w:rsidR="0026336F" w:rsidRPr="00865AE9">
        <w:rPr>
          <w:rFonts w:ascii="Times New Roman" w:hAnsi="Times New Roman" w:cs="Times New Roman"/>
          <w:sz w:val="24"/>
          <w:szCs w:val="24"/>
        </w:rPr>
        <w:t>)</w:t>
      </w:r>
      <w:r w:rsidR="0026336F">
        <w:rPr>
          <w:rFonts w:ascii="Times New Roman" w:hAnsi="Times New Roman" w:cs="Times New Roman"/>
          <w:sz w:val="24"/>
          <w:szCs w:val="24"/>
        </w:rPr>
        <w:t xml:space="preserve">.  </w:t>
      </w:r>
      <w:r w:rsidR="00423143">
        <w:rPr>
          <w:rFonts w:ascii="Times New Roman" w:hAnsi="Times New Roman" w:cs="Times New Roman"/>
          <w:sz w:val="24"/>
          <w:szCs w:val="24"/>
        </w:rPr>
        <w:t xml:space="preserve">The sample employed to analyze </w:t>
      </w:r>
      <w:r w:rsidR="0026336F">
        <w:rPr>
          <w:rFonts w:ascii="Times New Roman" w:hAnsi="Times New Roman" w:cs="Times New Roman"/>
          <w:sz w:val="24"/>
          <w:szCs w:val="24"/>
        </w:rPr>
        <w:t xml:space="preserve">this outcome </w:t>
      </w:r>
      <w:r w:rsidR="00423143">
        <w:rPr>
          <w:rFonts w:ascii="Times New Roman" w:hAnsi="Times New Roman" w:cs="Times New Roman"/>
          <w:sz w:val="24"/>
          <w:szCs w:val="24"/>
        </w:rPr>
        <w:t>was described earlier in Section 4.</w:t>
      </w:r>
      <w:r w:rsidR="0026336F">
        <w:rPr>
          <w:rFonts w:ascii="Times New Roman" w:hAnsi="Times New Roman" w:cs="Times New Roman"/>
          <w:sz w:val="24"/>
          <w:szCs w:val="24"/>
        </w:rPr>
        <w:t>5</w:t>
      </w:r>
      <w:r w:rsidR="00423143">
        <w:rPr>
          <w:rFonts w:ascii="Times New Roman" w:hAnsi="Times New Roman" w:cs="Times New Roman"/>
          <w:sz w:val="24"/>
          <w:szCs w:val="24"/>
        </w:rPr>
        <w:t xml:space="preserve">.  </w:t>
      </w:r>
    </w:p>
    <w:p w14:paraId="5D11F378" w14:textId="77777777" w:rsidR="00423143" w:rsidRDefault="00423143" w:rsidP="00423143">
      <w:pPr>
        <w:spacing w:after="0" w:line="240" w:lineRule="auto"/>
        <w:rPr>
          <w:rFonts w:ascii="Times New Roman" w:hAnsi="Times New Roman" w:cs="Times New Roman"/>
          <w:sz w:val="24"/>
          <w:szCs w:val="24"/>
        </w:rPr>
      </w:pPr>
    </w:p>
    <w:p w14:paraId="3AFACCE4" w14:textId="6570151B" w:rsidR="009A7201" w:rsidRDefault="009A7201" w:rsidP="009A7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basic model employed to </w:t>
      </w:r>
      <w:r w:rsidR="009516CE">
        <w:rPr>
          <w:rFonts w:ascii="Times New Roman" w:hAnsi="Times New Roman" w:cs="Times New Roman"/>
          <w:sz w:val="24"/>
          <w:szCs w:val="24"/>
        </w:rPr>
        <w:t>analyze</w:t>
      </w:r>
      <w:r>
        <w:rPr>
          <w:rFonts w:ascii="Times New Roman" w:hAnsi="Times New Roman" w:cs="Times New Roman"/>
          <w:sz w:val="24"/>
          <w:szCs w:val="24"/>
        </w:rPr>
        <w:t xml:space="preserve"> the achievement of English competency parallels that of math:</w:t>
      </w:r>
    </w:p>
    <w:p w14:paraId="42930B50" w14:textId="77777777" w:rsidR="009A7201" w:rsidRDefault="009A7201" w:rsidP="009A7201">
      <w:pPr>
        <w:spacing w:after="0" w:line="240" w:lineRule="auto"/>
        <w:rPr>
          <w:rFonts w:ascii="Times New Roman" w:hAnsi="Times New Roman" w:cs="Times New Roman"/>
          <w:sz w:val="24"/>
          <w:szCs w:val="24"/>
        </w:rPr>
      </w:pPr>
    </w:p>
    <w:p w14:paraId="1E25D6A7" w14:textId="77777777" w:rsidR="009A7201" w:rsidRPr="0082328E" w:rsidRDefault="009A7201" w:rsidP="009A7201">
      <w:pPr>
        <w:spacing w:after="0"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ln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Outcome</m:t>
                      </m:r>
                    </m:e>
                  </m:d>
                </m:num>
                <m:den>
                  <m:r>
                    <w:rPr>
                      <w:rFonts w:ascii="Cambria Math" w:hAnsi="Cambria Math" w:cs="Times New Roman"/>
                      <w:sz w:val="24"/>
                      <w:szCs w:val="24"/>
                    </w:rPr>
                    <m:t>1-P</m:t>
                  </m:r>
                  <m:d>
                    <m:dPr>
                      <m:ctrlPr>
                        <w:rPr>
                          <w:rFonts w:ascii="Cambria Math" w:hAnsi="Cambria Math" w:cs="Times New Roman"/>
                          <w:i/>
                          <w:sz w:val="24"/>
                          <w:szCs w:val="24"/>
                        </w:rPr>
                      </m:ctrlPr>
                    </m:dPr>
                    <m:e>
                      <m:r>
                        <w:rPr>
                          <w:rFonts w:ascii="Cambria Math" w:hAnsi="Cambria Math" w:cs="Times New Roman"/>
                          <w:sz w:val="24"/>
                          <w:szCs w:val="24"/>
                        </w:rPr>
                        <m:t>Outcome</m:t>
                      </m:r>
                    </m:e>
                  </m:d>
                </m:den>
              </m:f>
            </m:e>
          </m:d>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First Engl Course</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First Engl Course*HSGPA</m:t>
              </m:r>
            </m:e>
          </m:d>
        </m:oMath>
      </m:oMathPara>
    </w:p>
    <w:p w14:paraId="2CA88F4C" w14:textId="77777777" w:rsidR="009A7201" w:rsidRPr="0093541A" w:rsidRDefault="009A7201" w:rsidP="009A7201">
      <w:pPr>
        <w:spacing w:after="0" w:line="240" w:lineRule="auto"/>
        <w:ind w:left="2520"/>
        <w:rPr>
          <w:rFonts w:ascii="Times New Roman" w:hAnsi="Times New Roman" w:cs="Times New Roman"/>
          <w:sz w:val="24"/>
          <w:szCs w:val="24"/>
          <w:highlight w:val="yellow"/>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First Engl Course*Engl Scaled Score</m:t>
              </m:r>
            </m:e>
          </m:d>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Controls</m:t>
              </m:r>
            </m:e>
          </m:d>
        </m:oMath>
      </m:oMathPara>
    </w:p>
    <w:p w14:paraId="598E2D26" w14:textId="77777777" w:rsidR="009A7201" w:rsidRDefault="009A7201" w:rsidP="009A7201">
      <w:pPr>
        <w:spacing w:after="0" w:line="240" w:lineRule="auto"/>
        <w:rPr>
          <w:rFonts w:ascii="Times New Roman" w:hAnsi="Times New Roman" w:cs="Times New Roman"/>
          <w:sz w:val="24"/>
          <w:szCs w:val="24"/>
          <w:highlight w:val="yellow"/>
        </w:rPr>
      </w:pPr>
    </w:p>
    <w:p w14:paraId="3E670324" w14:textId="17E69796" w:rsidR="009A7201" w:rsidRDefault="009A7201" w:rsidP="009A7201">
      <w:pPr>
        <w:spacing w:after="0" w:line="240" w:lineRule="auto"/>
        <w:rPr>
          <w:rFonts w:ascii="Times New Roman" w:hAnsi="Times New Roman" w:cs="Times New Roman"/>
          <w:sz w:val="24"/>
          <w:szCs w:val="24"/>
        </w:rPr>
      </w:pPr>
      <w:r>
        <w:rPr>
          <w:rFonts w:ascii="Times New Roman" w:hAnsi="Times New Roman" w:cs="Times New Roman"/>
          <w:sz w:val="24"/>
          <w:szCs w:val="24"/>
        </w:rPr>
        <w:t>The left-hand side of the equation is the logged odds of the probability of achieving transfer-level English competency, which is assumed to be, in part, a function of students’ first English course (</w:t>
      </w:r>
      <w:r w:rsidRPr="0082328E">
        <w:rPr>
          <w:rFonts w:ascii="Times New Roman" w:hAnsi="Times New Roman" w:cs="Times New Roman"/>
          <w:i/>
          <w:sz w:val="24"/>
          <w:szCs w:val="24"/>
        </w:rPr>
        <w:t>k</w:t>
      </w:r>
      <w:r>
        <w:rPr>
          <w:rFonts w:ascii="Times New Roman" w:hAnsi="Times New Roman" w:cs="Times New Roman"/>
          <w:sz w:val="24"/>
          <w:szCs w:val="24"/>
        </w:rPr>
        <w:t xml:space="preserve">).  First English courses considered in the analysis include the following:  Engl B60, Engl B53, LRNC B510, Engl B50, and Engl B1A.  The other features of the model are the same as that of math, </w:t>
      </w:r>
      <w:r w:rsidR="009516CE">
        <w:rPr>
          <w:rFonts w:ascii="Times New Roman" w:hAnsi="Times New Roman" w:cs="Times New Roman"/>
          <w:sz w:val="24"/>
          <w:szCs w:val="24"/>
        </w:rPr>
        <w:t xml:space="preserve">excepting only </w:t>
      </w:r>
      <w:r>
        <w:rPr>
          <w:rFonts w:ascii="Times New Roman" w:hAnsi="Times New Roman" w:cs="Times New Roman"/>
          <w:sz w:val="24"/>
          <w:szCs w:val="24"/>
        </w:rPr>
        <w:t>that students’ scaled high school assessment score in English is used in place of scaled assessment score in math.</w:t>
      </w:r>
    </w:p>
    <w:p w14:paraId="10F04AFB" w14:textId="77777777" w:rsidR="009A7201" w:rsidRDefault="009A7201" w:rsidP="009A7201">
      <w:pPr>
        <w:spacing w:after="0" w:line="240" w:lineRule="auto"/>
        <w:rPr>
          <w:rFonts w:ascii="Times New Roman" w:hAnsi="Times New Roman" w:cs="Times New Roman"/>
          <w:sz w:val="24"/>
          <w:szCs w:val="24"/>
        </w:rPr>
      </w:pPr>
    </w:p>
    <w:p w14:paraId="54D99019" w14:textId="77777777" w:rsidR="004E1225" w:rsidRPr="006C04FB" w:rsidRDefault="004E1225" w:rsidP="004E122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Predicted Probabilities</w:t>
      </w:r>
    </w:p>
    <w:p w14:paraId="3979F104" w14:textId="77777777" w:rsidR="004E1225" w:rsidRDefault="004E1225" w:rsidP="004E1225">
      <w:pPr>
        <w:spacing w:after="0" w:line="240" w:lineRule="auto"/>
        <w:rPr>
          <w:rFonts w:ascii="Times New Roman" w:hAnsi="Times New Roman" w:cs="Times New Roman"/>
          <w:sz w:val="24"/>
          <w:szCs w:val="24"/>
        </w:rPr>
      </w:pPr>
    </w:p>
    <w:p w14:paraId="161FE971" w14:textId="018457D0" w:rsidR="004E1225" w:rsidRDefault="00F21C91" w:rsidP="004E122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E1225">
        <w:rPr>
          <w:rFonts w:ascii="Times New Roman" w:hAnsi="Times New Roman" w:cs="Times New Roman"/>
          <w:sz w:val="24"/>
          <w:szCs w:val="24"/>
        </w:rPr>
        <w:t>he logistic regression model was used to estimate the relationships between the measures of high school achievement and achievement of transfer-level English competency across the whole r</w:t>
      </w:r>
      <w:r>
        <w:rPr>
          <w:rFonts w:ascii="Times New Roman" w:hAnsi="Times New Roman" w:cs="Times New Roman"/>
          <w:sz w:val="24"/>
          <w:szCs w:val="24"/>
        </w:rPr>
        <w:t>ange of high school achievement.  However, as with math,</w:t>
      </w:r>
      <w:r w:rsidR="004E1225">
        <w:rPr>
          <w:rFonts w:ascii="Times New Roman" w:hAnsi="Times New Roman" w:cs="Times New Roman"/>
          <w:sz w:val="24"/>
          <w:szCs w:val="24"/>
        </w:rPr>
        <w:t xml:space="preserve"> certain bands of high school achievement defined in the AB705 implementation are of special interest.  In </w:t>
      </w:r>
      <w:r>
        <w:rPr>
          <w:rFonts w:ascii="Times New Roman" w:hAnsi="Times New Roman" w:cs="Times New Roman"/>
          <w:sz w:val="24"/>
          <w:szCs w:val="24"/>
        </w:rPr>
        <w:t>English</w:t>
      </w:r>
      <w:r w:rsidR="004E1225">
        <w:rPr>
          <w:rFonts w:ascii="Times New Roman" w:hAnsi="Times New Roman" w:cs="Times New Roman"/>
          <w:sz w:val="24"/>
          <w:szCs w:val="24"/>
        </w:rPr>
        <w:t xml:space="preserve">, these bands focus specifically on high school GPA and include the following:  GPA of less than </w:t>
      </w:r>
      <w:r>
        <w:rPr>
          <w:rFonts w:ascii="Times New Roman" w:hAnsi="Times New Roman" w:cs="Times New Roman"/>
          <w:sz w:val="24"/>
          <w:szCs w:val="24"/>
        </w:rPr>
        <w:t>1.90</w:t>
      </w:r>
      <w:r w:rsidR="004E1225">
        <w:rPr>
          <w:rFonts w:ascii="Times New Roman" w:hAnsi="Times New Roman" w:cs="Times New Roman"/>
          <w:sz w:val="24"/>
          <w:szCs w:val="24"/>
        </w:rPr>
        <w:t xml:space="preserve">, GPA of </w:t>
      </w:r>
      <w:r>
        <w:rPr>
          <w:rFonts w:ascii="Times New Roman" w:hAnsi="Times New Roman" w:cs="Times New Roman"/>
          <w:sz w:val="24"/>
          <w:szCs w:val="24"/>
        </w:rPr>
        <w:t>1.90</w:t>
      </w:r>
      <w:r w:rsidR="004E1225">
        <w:rPr>
          <w:rFonts w:ascii="Times New Roman" w:hAnsi="Times New Roman" w:cs="Times New Roman"/>
          <w:sz w:val="24"/>
          <w:szCs w:val="24"/>
        </w:rPr>
        <w:t xml:space="preserve"> to </w:t>
      </w:r>
      <w:r>
        <w:rPr>
          <w:rFonts w:ascii="Times New Roman" w:hAnsi="Times New Roman" w:cs="Times New Roman"/>
          <w:sz w:val="24"/>
          <w:szCs w:val="24"/>
        </w:rPr>
        <w:t>2.59</w:t>
      </w:r>
      <w:r w:rsidR="004E1225">
        <w:rPr>
          <w:rFonts w:ascii="Times New Roman" w:hAnsi="Times New Roman" w:cs="Times New Roman"/>
          <w:sz w:val="24"/>
          <w:szCs w:val="24"/>
        </w:rPr>
        <w:t xml:space="preserve">, and GPA of </w:t>
      </w:r>
      <w:r>
        <w:rPr>
          <w:rFonts w:ascii="Times New Roman" w:hAnsi="Times New Roman" w:cs="Times New Roman"/>
          <w:sz w:val="24"/>
          <w:szCs w:val="24"/>
        </w:rPr>
        <w:t>2.60</w:t>
      </w:r>
      <w:r w:rsidR="004E1225">
        <w:rPr>
          <w:rFonts w:ascii="Times New Roman" w:hAnsi="Times New Roman" w:cs="Times New Roman"/>
          <w:sz w:val="24"/>
          <w:szCs w:val="24"/>
        </w:rPr>
        <w:t xml:space="preserve"> or greater.  </w:t>
      </w:r>
    </w:p>
    <w:p w14:paraId="614B565C" w14:textId="77777777" w:rsidR="004E1225" w:rsidRDefault="004E1225" w:rsidP="004E1225">
      <w:pPr>
        <w:spacing w:after="0" w:line="240" w:lineRule="auto"/>
        <w:rPr>
          <w:rFonts w:ascii="Times New Roman" w:hAnsi="Times New Roman" w:cs="Times New Roman"/>
          <w:sz w:val="24"/>
          <w:szCs w:val="24"/>
        </w:rPr>
      </w:pPr>
    </w:p>
    <w:p w14:paraId="61D22162" w14:textId="7573279D" w:rsidR="004E1225" w:rsidRDefault="004E1225" w:rsidP="004E12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 investigate differences in outcomes by first </w:t>
      </w:r>
      <w:r w:rsidR="00F21C91">
        <w:rPr>
          <w:rFonts w:ascii="Times New Roman" w:hAnsi="Times New Roman" w:cs="Times New Roman"/>
          <w:sz w:val="24"/>
          <w:szCs w:val="24"/>
        </w:rPr>
        <w:t>English</w:t>
      </w:r>
      <w:r>
        <w:rPr>
          <w:rFonts w:ascii="Times New Roman" w:hAnsi="Times New Roman" w:cs="Times New Roman"/>
          <w:sz w:val="24"/>
          <w:szCs w:val="24"/>
        </w:rPr>
        <w:t xml:space="preserve"> course </w:t>
      </w:r>
      <w:r w:rsidR="005260E3">
        <w:rPr>
          <w:rFonts w:ascii="Times New Roman" w:hAnsi="Times New Roman" w:cs="Times New Roman"/>
          <w:sz w:val="24"/>
          <w:szCs w:val="24"/>
        </w:rPr>
        <w:t xml:space="preserve">while attending </w:t>
      </w:r>
      <w:r>
        <w:rPr>
          <w:rFonts w:ascii="Times New Roman" w:hAnsi="Times New Roman" w:cs="Times New Roman"/>
          <w:sz w:val="24"/>
          <w:szCs w:val="24"/>
        </w:rPr>
        <w:t xml:space="preserve">to these focal bands of high school GPA, I calculated predicted probabilities of achieving </w:t>
      </w:r>
      <w:r w:rsidR="00F21C91">
        <w:rPr>
          <w:rFonts w:ascii="Times New Roman" w:hAnsi="Times New Roman" w:cs="Times New Roman"/>
          <w:sz w:val="24"/>
          <w:szCs w:val="24"/>
        </w:rPr>
        <w:t xml:space="preserve">transfer-level English competency </w:t>
      </w:r>
      <w:r>
        <w:rPr>
          <w:rFonts w:ascii="Times New Roman" w:hAnsi="Times New Roman" w:cs="Times New Roman"/>
          <w:sz w:val="24"/>
          <w:szCs w:val="24"/>
        </w:rPr>
        <w:t xml:space="preserve">by entry point at each of three levels of high school achievement within each of the three bands of GPA.  </w:t>
      </w:r>
      <w:r w:rsidR="004242BE">
        <w:rPr>
          <w:rFonts w:ascii="Times New Roman" w:hAnsi="Times New Roman" w:cs="Times New Roman"/>
          <w:sz w:val="24"/>
          <w:szCs w:val="24"/>
        </w:rPr>
        <w:t>Further information about the calculation of these predictions can be found under “Predicted Probabilities” in Section 7.1</w:t>
      </w:r>
      <w:r>
        <w:rPr>
          <w:rFonts w:ascii="Times New Roman" w:hAnsi="Times New Roman" w:cs="Times New Roman"/>
          <w:sz w:val="24"/>
          <w:szCs w:val="24"/>
        </w:rPr>
        <w:t xml:space="preserve">. </w:t>
      </w:r>
      <w:r w:rsidR="004242BE">
        <w:rPr>
          <w:rFonts w:ascii="Times New Roman" w:hAnsi="Times New Roman" w:cs="Times New Roman"/>
          <w:sz w:val="24"/>
          <w:szCs w:val="24"/>
        </w:rPr>
        <w:t xml:space="preserve"> </w:t>
      </w:r>
      <w:r>
        <w:rPr>
          <w:rFonts w:ascii="Times New Roman" w:hAnsi="Times New Roman" w:cs="Times New Roman"/>
          <w:sz w:val="24"/>
          <w:szCs w:val="24"/>
        </w:rPr>
        <w:t>It is important to note</w:t>
      </w:r>
      <w:r w:rsidR="005260E3">
        <w:rPr>
          <w:rFonts w:ascii="Times New Roman" w:hAnsi="Times New Roman" w:cs="Times New Roman"/>
          <w:sz w:val="24"/>
          <w:szCs w:val="24"/>
        </w:rPr>
        <w:t xml:space="preserve"> here, though </w:t>
      </w:r>
      <w:r>
        <w:rPr>
          <w:rFonts w:ascii="Times New Roman" w:hAnsi="Times New Roman" w:cs="Times New Roman"/>
          <w:sz w:val="24"/>
          <w:szCs w:val="24"/>
        </w:rPr>
        <w:t xml:space="preserve">that </w:t>
      </w:r>
      <w:r w:rsidRPr="0082328E">
        <w:rPr>
          <w:rFonts w:ascii="Times New Roman" w:hAnsi="Times New Roman" w:cs="Times New Roman"/>
          <w:i/>
          <w:sz w:val="24"/>
          <w:szCs w:val="24"/>
        </w:rPr>
        <w:t xml:space="preserve">a single model was estimated </w:t>
      </w:r>
      <w:r w:rsidRPr="00CC7570">
        <w:rPr>
          <w:rFonts w:ascii="Times New Roman" w:hAnsi="Times New Roman" w:cs="Times New Roman"/>
          <w:i/>
          <w:sz w:val="24"/>
          <w:szCs w:val="24"/>
        </w:rPr>
        <w:t>for all levels of high school achievement</w:t>
      </w:r>
      <w:r>
        <w:rPr>
          <w:rFonts w:ascii="Times New Roman" w:hAnsi="Times New Roman" w:cs="Times New Roman"/>
          <w:sz w:val="24"/>
          <w:szCs w:val="24"/>
        </w:rPr>
        <w:t xml:space="preserve">.  Separate models were </w:t>
      </w:r>
      <w:r w:rsidRPr="0082328E">
        <w:rPr>
          <w:rFonts w:ascii="Times New Roman" w:hAnsi="Times New Roman" w:cs="Times New Roman"/>
          <w:sz w:val="24"/>
          <w:szCs w:val="24"/>
          <w:u w:val="single"/>
        </w:rPr>
        <w:t>not</w:t>
      </w:r>
      <w:r>
        <w:rPr>
          <w:rFonts w:ascii="Times New Roman" w:hAnsi="Times New Roman" w:cs="Times New Roman"/>
          <w:sz w:val="24"/>
          <w:szCs w:val="24"/>
        </w:rPr>
        <w:t xml:space="preserve"> estimated for each band of high school GPA.  Thus, estimates within a given band of GPA are able to borrow information (variation) from other bands, which improves the reliability of the estimates considerably.  </w:t>
      </w:r>
    </w:p>
    <w:p w14:paraId="555797F9" w14:textId="77777777" w:rsidR="004E1225" w:rsidRDefault="004E1225" w:rsidP="004E1225">
      <w:pPr>
        <w:spacing w:after="0" w:line="240" w:lineRule="auto"/>
        <w:rPr>
          <w:rFonts w:ascii="Times New Roman" w:hAnsi="Times New Roman" w:cs="Times New Roman"/>
          <w:sz w:val="24"/>
          <w:szCs w:val="24"/>
        </w:rPr>
      </w:pPr>
    </w:p>
    <w:p w14:paraId="1C6E1076" w14:textId="5DC3958A" w:rsidR="004E1225" w:rsidRDefault="004E1225" w:rsidP="004E1225">
      <w:pPr>
        <w:spacing w:after="0" w:line="240" w:lineRule="auto"/>
        <w:rPr>
          <w:rFonts w:ascii="Times New Roman" w:hAnsi="Times New Roman" w:cs="Times New Roman"/>
          <w:sz w:val="24"/>
          <w:szCs w:val="24"/>
        </w:rPr>
      </w:pPr>
      <w:r>
        <w:rPr>
          <w:rFonts w:ascii="Times New Roman" w:hAnsi="Times New Roman" w:cs="Times New Roman"/>
          <w:sz w:val="24"/>
          <w:szCs w:val="24"/>
        </w:rPr>
        <w:t>Also note that</w:t>
      </w:r>
      <w:r w:rsidR="009A7201">
        <w:rPr>
          <w:rFonts w:ascii="Times New Roman" w:hAnsi="Times New Roman" w:cs="Times New Roman"/>
          <w:sz w:val="24"/>
          <w:szCs w:val="24"/>
        </w:rPr>
        <w:t>, as explained in Section 7.1,</w:t>
      </w:r>
      <w:r>
        <w:rPr>
          <w:rFonts w:ascii="Times New Roman" w:hAnsi="Times New Roman" w:cs="Times New Roman"/>
          <w:sz w:val="24"/>
          <w:szCs w:val="24"/>
        </w:rPr>
        <w:t xml:space="preserve"> the arbitrarily chosen values for the statistical controls result in predictions being calculated for </w:t>
      </w:r>
      <w:r w:rsidRPr="00347697">
        <w:rPr>
          <w:rFonts w:ascii="Times New Roman" w:hAnsi="Times New Roman" w:cs="Times New Roman"/>
          <w:sz w:val="24"/>
          <w:szCs w:val="24"/>
        </w:rPr>
        <w:t xml:space="preserve">a </w:t>
      </w:r>
      <w:r>
        <w:rPr>
          <w:rFonts w:ascii="Times New Roman" w:hAnsi="Times New Roman" w:cs="Times New Roman"/>
          <w:sz w:val="24"/>
          <w:szCs w:val="24"/>
        </w:rPr>
        <w:t xml:space="preserve">transfer-seeking </w:t>
      </w:r>
      <w:r w:rsidRPr="00347697">
        <w:rPr>
          <w:rFonts w:ascii="Times New Roman" w:hAnsi="Times New Roman" w:cs="Times New Roman"/>
          <w:sz w:val="24"/>
          <w:szCs w:val="24"/>
        </w:rPr>
        <w:t>male student under the age of 20 years at entry to BC who is not of a historically disadvantaged racial/ethnic group, who enrolled in BC for the first time in Fall 2016, who enrolled full-time in his first term</w:t>
      </w:r>
      <w:r>
        <w:rPr>
          <w:rFonts w:ascii="Times New Roman" w:hAnsi="Times New Roman" w:cs="Times New Roman"/>
          <w:sz w:val="24"/>
          <w:szCs w:val="24"/>
        </w:rPr>
        <w:t>, and who was assessed for placement into the math curriculum with multiple measures</w:t>
      </w:r>
      <w:r w:rsidRPr="00347697">
        <w:rPr>
          <w:rFonts w:ascii="Times New Roman" w:hAnsi="Times New Roman" w:cs="Times New Roman"/>
          <w:sz w:val="24"/>
          <w:szCs w:val="24"/>
        </w:rPr>
        <w:t>.</w:t>
      </w:r>
      <w:r>
        <w:rPr>
          <w:rFonts w:ascii="Times New Roman" w:hAnsi="Times New Roman" w:cs="Times New Roman"/>
          <w:sz w:val="24"/>
          <w:szCs w:val="24"/>
        </w:rPr>
        <w:t xml:space="preserve">  Importantly, because the control variables are </w:t>
      </w:r>
      <w:r w:rsidR="005260E3">
        <w:rPr>
          <w:rFonts w:ascii="Times New Roman" w:hAnsi="Times New Roman" w:cs="Times New Roman"/>
          <w:sz w:val="24"/>
          <w:szCs w:val="24"/>
        </w:rPr>
        <w:t xml:space="preserve">not </w:t>
      </w:r>
      <w:r>
        <w:rPr>
          <w:rFonts w:ascii="Times New Roman" w:hAnsi="Times New Roman" w:cs="Times New Roman"/>
          <w:sz w:val="24"/>
          <w:szCs w:val="24"/>
        </w:rPr>
        <w:t xml:space="preserve">interacted with point of entry to the curriculum, changing the values at which </w:t>
      </w:r>
      <w:r w:rsidR="005260E3">
        <w:rPr>
          <w:rFonts w:ascii="Times New Roman" w:hAnsi="Times New Roman" w:cs="Times New Roman"/>
          <w:sz w:val="24"/>
          <w:szCs w:val="24"/>
        </w:rPr>
        <w:t xml:space="preserve">the </w:t>
      </w:r>
      <w:r>
        <w:rPr>
          <w:rFonts w:ascii="Times New Roman" w:hAnsi="Times New Roman" w:cs="Times New Roman"/>
          <w:sz w:val="24"/>
          <w:szCs w:val="24"/>
        </w:rPr>
        <w:t xml:space="preserve">controls are fixed </w:t>
      </w:r>
      <w:r w:rsidRPr="0082328E">
        <w:rPr>
          <w:rFonts w:ascii="Times New Roman" w:hAnsi="Times New Roman" w:cs="Times New Roman"/>
          <w:i/>
          <w:sz w:val="24"/>
          <w:szCs w:val="24"/>
        </w:rPr>
        <w:t>would</w:t>
      </w:r>
      <w:r>
        <w:rPr>
          <w:rFonts w:ascii="Times New Roman" w:hAnsi="Times New Roman" w:cs="Times New Roman"/>
          <w:sz w:val="24"/>
          <w:szCs w:val="24"/>
        </w:rPr>
        <w:t xml:space="preserve"> </w:t>
      </w:r>
      <w:r w:rsidRPr="0082328E">
        <w:rPr>
          <w:rFonts w:ascii="Times New Roman" w:hAnsi="Times New Roman" w:cs="Times New Roman"/>
          <w:i/>
          <w:sz w:val="24"/>
          <w:szCs w:val="24"/>
        </w:rPr>
        <w:t xml:space="preserve">not affect the order of entry points with respect to the probability of achieving </w:t>
      </w:r>
      <w:r w:rsidR="009A7201">
        <w:rPr>
          <w:rFonts w:ascii="Times New Roman" w:hAnsi="Times New Roman" w:cs="Times New Roman"/>
          <w:i/>
          <w:sz w:val="24"/>
          <w:szCs w:val="24"/>
        </w:rPr>
        <w:t>transfer-level English competency</w:t>
      </w:r>
      <w:r>
        <w:rPr>
          <w:rFonts w:ascii="Times New Roman" w:hAnsi="Times New Roman" w:cs="Times New Roman"/>
          <w:sz w:val="24"/>
          <w:szCs w:val="24"/>
        </w:rPr>
        <w:t xml:space="preserve">, though the absolute differences in predicted probabilities between entry </w:t>
      </w:r>
      <w:r w:rsidRPr="0082328E">
        <w:rPr>
          <w:rFonts w:ascii="Times New Roman" w:hAnsi="Times New Roman" w:cs="Times New Roman"/>
          <w:sz w:val="24"/>
          <w:szCs w:val="24"/>
        </w:rPr>
        <w:t>points would change</w:t>
      </w:r>
      <w:r>
        <w:rPr>
          <w:rFonts w:ascii="Times New Roman" w:hAnsi="Times New Roman" w:cs="Times New Roman"/>
          <w:sz w:val="24"/>
          <w:szCs w:val="24"/>
        </w:rPr>
        <w:t xml:space="preserve">.  Thus, the entry point associated with the highest predicted probability of the outcome would remain the highest regardless of the values at which the controls are held.  </w:t>
      </w:r>
    </w:p>
    <w:p w14:paraId="6ED0A1BC" w14:textId="77777777" w:rsidR="004E1225" w:rsidRDefault="004E1225" w:rsidP="00423143">
      <w:pPr>
        <w:spacing w:after="0" w:line="240" w:lineRule="auto"/>
        <w:rPr>
          <w:rFonts w:ascii="Times New Roman" w:hAnsi="Times New Roman" w:cs="Times New Roman"/>
          <w:sz w:val="24"/>
          <w:szCs w:val="24"/>
        </w:rPr>
      </w:pPr>
    </w:p>
    <w:p w14:paraId="37915965" w14:textId="77777777" w:rsidR="009A7201" w:rsidRPr="006C04FB" w:rsidRDefault="009A7201" w:rsidP="009A72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Results</w:t>
      </w:r>
    </w:p>
    <w:p w14:paraId="5E1F3EF2" w14:textId="77777777" w:rsidR="009A7201" w:rsidRDefault="009A7201" w:rsidP="009A7201">
      <w:pPr>
        <w:spacing w:after="0" w:line="240" w:lineRule="auto"/>
        <w:rPr>
          <w:rFonts w:ascii="Times New Roman" w:hAnsi="Times New Roman" w:cs="Times New Roman"/>
          <w:sz w:val="24"/>
          <w:szCs w:val="24"/>
        </w:rPr>
      </w:pPr>
    </w:p>
    <w:p w14:paraId="6FBEC026" w14:textId="565BFCB6" w:rsidR="009A7201" w:rsidRDefault="009A7201" w:rsidP="009A7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17 presents the </w:t>
      </w:r>
      <w:r w:rsidR="006C421B">
        <w:rPr>
          <w:rFonts w:ascii="Times New Roman" w:hAnsi="Times New Roman" w:cs="Times New Roman"/>
          <w:sz w:val="24"/>
          <w:szCs w:val="24"/>
        </w:rPr>
        <w:t xml:space="preserve">a cross-tabulation </w:t>
      </w:r>
      <w:r>
        <w:rPr>
          <w:rFonts w:ascii="Times New Roman" w:hAnsi="Times New Roman" w:cs="Times New Roman"/>
          <w:sz w:val="24"/>
          <w:szCs w:val="24"/>
        </w:rPr>
        <w:t>of high school GPA band</w:t>
      </w:r>
      <w:r w:rsidR="0080539E">
        <w:rPr>
          <w:rFonts w:ascii="Times New Roman" w:hAnsi="Times New Roman" w:cs="Times New Roman"/>
          <w:sz w:val="24"/>
          <w:szCs w:val="24"/>
        </w:rPr>
        <w:t xml:space="preserve"> by first English course</w:t>
      </w:r>
      <w:r>
        <w:rPr>
          <w:rFonts w:ascii="Times New Roman" w:hAnsi="Times New Roman" w:cs="Times New Roman"/>
          <w:sz w:val="24"/>
          <w:szCs w:val="24"/>
        </w:rPr>
        <w:t xml:space="preserve">.  Table 18 presents the predicted probabilities of achieving transfer-level English competency for students who entered the curriculum through each of the </w:t>
      </w:r>
      <w:r w:rsidR="0061674B">
        <w:rPr>
          <w:rFonts w:ascii="Times New Roman" w:hAnsi="Times New Roman" w:cs="Times New Roman"/>
          <w:sz w:val="24"/>
          <w:szCs w:val="24"/>
        </w:rPr>
        <w:t xml:space="preserve">five English </w:t>
      </w:r>
      <w:r>
        <w:rPr>
          <w:rFonts w:ascii="Times New Roman" w:hAnsi="Times New Roman" w:cs="Times New Roman"/>
          <w:sz w:val="24"/>
          <w:szCs w:val="24"/>
        </w:rPr>
        <w:t xml:space="preserve">courses considered here.  Within each band of high school GPA, Table </w:t>
      </w:r>
      <w:r w:rsidR="0061674B">
        <w:rPr>
          <w:rFonts w:ascii="Times New Roman" w:hAnsi="Times New Roman" w:cs="Times New Roman"/>
          <w:sz w:val="24"/>
          <w:szCs w:val="24"/>
        </w:rPr>
        <w:t>18</w:t>
      </w:r>
      <w:r>
        <w:rPr>
          <w:rFonts w:ascii="Times New Roman" w:hAnsi="Times New Roman" w:cs="Times New Roman"/>
          <w:sz w:val="24"/>
          <w:szCs w:val="24"/>
        </w:rPr>
        <w:t xml:space="preserve"> presents predictions for students with GPAs and </w:t>
      </w:r>
      <w:r w:rsidR="0061674B">
        <w:rPr>
          <w:rFonts w:ascii="Times New Roman" w:hAnsi="Times New Roman" w:cs="Times New Roman"/>
          <w:sz w:val="24"/>
          <w:szCs w:val="24"/>
        </w:rPr>
        <w:t>English</w:t>
      </w:r>
      <w:r>
        <w:rPr>
          <w:rFonts w:ascii="Times New Roman" w:hAnsi="Times New Roman" w:cs="Times New Roman"/>
          <w:sz w:val="24"/>
          <w:szCs w:val="24"/>
        </w:rPr>
        <w:t xml:space="preserve"> scaled scores equal to their respective 25</w:t>
      </w:r>
      <w:r w:rsidRPr="0082328E">
        <w:rPr>
          <w:rFonts w:ascii="Times New Roman" w:hAnsi="Times New Roman" w:cs="Times New Roman"/>
          <w:sz w:val="24"/>
          <w:szCs w:val="24"/>
          <w:vertAlign w:val="superscript"/>
        </w:rPr>
        <w:t>th</w:t>
      </w:r>
      <w:r>
        <w:rPr>
          <w:rFonts w:ascii="Times New Roman" w:hAnsi="Times New Roman" w:cs="Times New Roman"/>
          <w:sz w:val="24"/>
          <w:szCs w:val="24"/>
        </w:rPr>
        <w:t>, 50</w:t>
      </w:r>
      <w:r w:rsidRPr="0082328E">
        <w:rPr>
          <w:rFonts w:ascii="Times New Roman" w:hAnsi="Times New Roman" w:cs="Times New Roman"/>
          <w:sz w:val="24"/>
          <w:szCs w:val="24"/>
          <w:vertAlign w:val="superscript"/>
        </w:rPr>
        <w:t>th</w:t>
      </w:r>
      <w:r>
        <w:rPr>
          <w:rFonts w:ascii="Times New Roman" w:hAnsi="Times New Roman" w:cs="Times New Roman"/>
          <w:sz w:val="24"/>
          <w:szCs w:val="24"/>
        </w:rPr>
        <w:t>, and 75</w:t>
      </w:r>
      <w:r w:rsidRPr="0082328E">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percentiles </w:t>
      </w:r>
      <w:r w:rsidRPr="0082328E">
        <w:rPr>
          <w:rFonts w:ascii="Times New Roman" w:hAnsi="Times New Roman" w:cs="Times New Roman"/>
          <w:i/>
          <w:sz w:val="24"/>
          <w:szCs w:val="24"/>
        </w:rPr>
        <w:t>within the band</w:t>
      </w:r>
      <w:r>
        <w:rPr>
          <w:rFonts w:ascii="Times New Roman" w:hAnsi="Times New Roman" w:cs="Times New Roman"/>
          <w:sz w:val="24"/>
          <w:szCs w:val="24"/>
        </w:rPr>
        <w:t xml:space="preserve">.  Thus, these predictions provide a picture of how the likelihood of </w:t>
      </w:r>
      <w:r w:rsidR="0061674B">
        <w:rPr>
          <w:rFonts w:ascii="Times New Roman" w:hAnsi="Times New Roman" w:cs="Times New Roman"/>
          <w:sz w:val="24"/>
          <w:szCs w:val="24"/>
        </w:rPr>
        <w:t xml:space="preserve">achieving transfer-level English competency </w:t>
      </w:r>
      <w:r>
        <w:rPr>
          <w:rFonts w:ascii="Times New Roman" w:hAnsi="Times New Roman" w:cs="Times New Roman"/>
          <w:sz w:val="24"/>
          <w:szCs w:val="24"/>
        </w:rPr>
        <w:t xml:space="preserve">varies across the range of high school achievement within a given band of high school GPA.   </w:t>
      </w:r>
    </w:p>
    <w:p w14:paraId="03DE63C6" w14:textId="77777777" w:rsidR="009A7201" w:rsidRDefault="009A7201" w:rsidP="009A7201">
      <w:pPr>
        <w:spacing w:after="0" w:line="240" w:lineRule="auto"/>
        <w:rPr>
          <w:rFonts w:ascii="Times New Roman" w:hAnsi="Times New Roman" w:cs="Times New Roman"/>
          <w:sz w:val="24"/>
          <w:szCs w:val="24"/>
        </w:rPr>
      </w:pPr>
    </w:p>
    <w:p w14:paraId="13CB0EF7" w14:textId="203D1BA6" w:rsidR="0061674B" w:rsidRDefault="0061674B" w:rsidP="009A7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findings presented in Table 18 indicate that students </w:t>
      </w:r>
      <w:r w:rsidR="00F007FC">
        <w:rPr>
          <w:rFonts w:ascii="Times New Roman" w:hAnsi="Times New Roman" w:cs="Times New Roman"/>
          <w:sz w:val="24"/>
          <w:szCs w:val="24"/>
        </w:rPr>
        <w:t xml:space="preserve">with cumulative high school </w:t>
      </w:r>
      <w:r w:rsidR="00AF0420">
        <w:rPr>
          <w:rFonts w:ascii="Times New Roman" w:hAnsi="Times New Roman" w:cs="Times New Roman"/>
          <w:sz w:val="24"/>
          <w:szCs w:val="24"/>
        </w:rPr>
        <w:t xml:space="preserve">GPAs that place them in the low or mid-level GPA bands experience the highest probability of achieving transfer-level English competency when they enter the curriculum through Engl B1A, a transfer-level course.  Only students </w:t>
      </w:r>
      <w:r w:rsidR="00F007FC">
        <w:rPr>
          <w:rFonts w:ascii="Times New Roman" w:hAnsi="Times New Roman" w:cs="Times New Roman"/>
          <w:sz w:val="24"/>
          <w:szCs w:val="24"/>
        </w:rPr>
        <w:t>with cumulative high school GPAs that place them in the highest GPA band experience an advantage by entering through another course, namely LRNC B510</w:t>
      </w:r>
      <w:r w:rsidR="009516CE">
        <w:rPr>
          <w:rFonts w:ascii="Times New Roman" w:hAnsi="Times New Roman" w:cs="Times New Roman"/>
          <w:sz w:val="24"/>
          <w:szCs w:val="24"/>
        </w:rPr>
        <w:t xml:space="preserve">.  </w:t>
      </w:r>
      <w:r w:rsidR="00FF7910">
        <w:rPr>
          <w:rFonts w:ascii="Times New Roman" w:hAnsi="Times New Roman" w:cs="Times New Roman"/>
          <w:sz w:val="24"/>
          <w:szCs w:val="24"/>
        </w:rPr>
        <w:t>This course technically is developmental in nature, but it is unique in its targeting and curriculum, and students who are successful in the compressed sequence achieve transfer-level competency in a single term just as do students who enter the curriculum through Engl B1A.</w:t>
      </w:r>
    </w:p>
    <w:p w14:paraId="7009E614" w14:textId="77777777" w:rsidR="0061674B" w:rsidRDefault="0061674B" w:rsidP="009A7201">
      <w:pPr>
        <w:spacing w:after="0" w:line="240" w:lineRule="auto"/>
        <w:rPr>
          <w:rFonts w:ascii="Times New Roman" w:hAnsi="Times New Roman" w:cs="Times New Roman"/>
          <w:sz w:val="24"/>
          <w:szCs w:val="24"/>
        </w:rPr>
      </w:pPr>
    </w:p>
    <w:p w14:paraId="5676EB6F" w14:textId="77777777" w:rsidR="006D2D9A" w:rsidRDefault="006D2D9A">
      <w:pPr>
        <w:rPr>
          <w:rFonts w:ascii="Times New Roman" w:hAnsi="Times New Roman" w:cs="Times New Roman"/>
          <w:sz w:val="24"/>
          <w:szCs w:val="24"/>
        </w:rPr>
      </w:pPr>
      <w:r>
        <w:rPr>
          <w:rFonts w:ascii="Times New Roman" w:hAnsi="Times New Roman" w:cs="Times New Roman"/>
          <w:sz w:val="24"/>
          <w:szCs w:val="24"/>
        </w:rPr>
        <w:br w:type="page"/>
      </w:r>
    </w:p>
    <w:p w14:paraId="3CE3D43D" w14:textId="0042DBFF" w:rsidR="00F179F6" w:rsidRPr="006473CA" w:rsidRDefault="00F179F6" w:rsidP="00F179F6">
      <w:pPr>
        <w:spacing w:after="0" w:line="240" w:lineRule="auto"/>
        <w:rPr>
          <w:rFonts w:ascii="Times New Roman" w:hAnsi="Times New Roman" w:cs="Times New Roman"/>
          <w:b/>
          <w:sz w:val="24"/>
          <w:szCs w:val="24"/>
        </w:rPr>
      </w:pPr>
      <w:r w:rsidRPr="006473CA">
        <w:rPr>
          <w:rFonts w:ascii="Times New Roman" w:hAnsi="Times New Roman" w:cs="Times New Roman"/>
          <w:b/>
          <w:sz w:val="24"/>
          <w:szCs w:val="24"/>
        </w:rPr>
        <w:lastRenderedPageBreak/>
        <w:t xml:space="preserve">SECTION </w:t>
      </w:r>
      <w:r w:rsidR="00641DBB">
        <w:rPr>
          <w:rFonts w:ascii="Times New Roman" w:hAnsi="Times New Roman" w:cs="Times New Roman"/>
          <w:b/>
          <w:sz w:val="24"/>
          <w:szCs w:val="24"/>
        </w:rPr>
        <w:t>8</w:t>
      </w:r>
      <w:r w:rsidRPr="006473CA">
        <w:rPr>
          <w:rFonts w:ascii="Times New Roman" w:hAnsi="Times New Roman" w:cs="Times New Roman"/>
          <w:b/>
          <w:sz w:val="24"/>
          <w:szCs w:val="24"/>
        </w:rPr>
        <w:t>:  REFERENCES</w:t>
      </w:r>
    </w:p>
    <w:p w14:paraId="559B2B95" w14:textId="77777777" w:rsidR="00F179F6" w:rsidRDefault="00F179F6">
      <w:pPr>
        <w:spacing w:after="0" w:line="240" w:lineRule="auto"/>
        <w:rPr>
          <w:rFonts w:ascii="Times New Roman" w:hAnsi="Times New Roman" w:cs="Times New Roman"/>
          <w:color w:val="000000" w:themeColor="text1"/>
          <w:sz w:val="24"/>
          <w:szCs w:val="24"/>
        </w:rPr>
      </w:pPr>
    </w:p>
    <w:p w14:paraId="74505B72" w14:textId="38364A06" w:rsidR="00F179F6" w:rsidRPr="00E920AF" w:rsidRDefault="00F179F6" w:rsidP="006C2AF5">
      <w:pPr>
        <w:spacing w:after="0" w:line="240" w:lineRule="auto"/>
        <w:ind w:left="720" w:hanging="720"/>
        <w:rPr>
          <w:rFonts w:ascii="Times New Roman" w:hAnsi="Times New Roman" w:cs="Times New Roman"/>
          <w:color w:val="000000" w:themeColor="text1"/>
          <w:sz w:val="24"/>
          <w:szCs w:val="24"/>
        </w:rPr>
      </w:pPr>
      <w:r w:rsidRPr="00E920AF">
        <w:rPr>
          <w:rFonts w:ascii="Times New Roman" w:hAnsi="Times New Roman" w:cs="Times New Roman"/>
          <w:color w:val="000000" w:themeColor="text1"/>
          <w:sz w:val="24"/>
          <w:szCs w:val="24"/>
        </w:rPr>
        <w:t>Bahr, P. R. (2010)</w:t>
      </w:r>
      <w:r w:rsidR="00E5271B" w:rsidRPr="00E920AF">
        <w:rPr>
          <w:rFonts w:ascii="Times New Roman" w:hAnsi="Times New Roman" w:cs="Times New Roman"/>
          <w:color w:val="000000" w:themeColor="text1"/>
          <w:sz w:val="24"/>
          <w:szCs w:val="24"/>
        </w:rPr>
        <w:t xml:space="preserve">.  </w:t>
      </w:r>
      <w:r w:rsidRPr="00E920AF">
        <w:rPr>
          <w:rFonts w:ascii="Times New Roman" w:hAnsi="Times New Roman" w:cs="Times New Roman"/>
          <w:color w:val="000000" w:themeColor="text1"/>
          <w:sz w:val="24"/>
          <w:szCs w:val="24"/>
        </w:rPr>
        <w:t>Preparing the underprepared: An analysis of racial disparities in postsecondary mathematics remediation</w:t>
      </w:r>
      <w:r w:rsidR="00E5271B" w:rsidRPr="00E920AF">
        <w:rPr>
          <w:rFonts w:ascii="Times New Roman" w:hAnsi="Times New Roman" w:cs="Times New Roman"/>
          <w:color w:val="000000" w:themeColor="text1"/>
          <w:sz w:val="24"/>
          <w:szCs w:val="24"/>
        </w:rPr>
        <w:t xml:space="preserve">.  </w:t>
      </w:r>
      <w:r w:rsidRPr="00E920AF">
        <w:rPr>
          <w:rFonts w:ascii="Times New Roman" w:hAnsi="Times New Roman" w:cs="Times New Roman"/>
          <w:i/>
          <w:color w:val="000000" w:themeColor="text1"/>
          <w:sz w:val="24"/>
          <w:szCs w:val="24"/>
        </w:rPr>
        <w:t>Journal of Higher Education</w:t>
      </w:r>
      <w:r w:rsidRPr="00E920AF">
        <w:rPr>
          <w:rFonts w:ascii="Times New Roman" w:hAnsi="Times New Roman" w:cs="Times New Roman"/>
          <w:color w:val="000000" w:themeColor="text1"/>
          <w:sz w:val="24"/>
          <w:szCs w:val="24"/>
        </w:rPr>
        <w:t xml:space="preserve">, </w:t>
      </w:r>
      <w:r w:rsidRPr="00E920AF">
        <w:rPr>
          <w:rFonts w:ascii="Times New Roman" w:hAnsi="Times New Roman" w:cs="Times New Roman"/>
          <w:i/>
          <w:color w:val="000000" w:themeColor="text1"/>
          <w:sz w:val="24"/>
          <w:szCs w:val="24"/>
        </w:rPr>
        <w:t>81</w:t>
      </w:r>
      <w:r w:rsidRPr="00E920AF">
        <w:rPr>
          <w:rFonts w:ascii="Times New Roman" w:hAnsi="Times New Roman" w:cs="Times New Roman"/>
          <w:color w:val="000000" w:themeColor="text1"/>
          <w:sz w:val="24"/>
          <w:szCs w:val="24"/>
        </w:rPr>
        <w:t>, 209-237.</w:t>
      </w:r>
    </w:p>
    <w:p w14:paraId="22BC444D" w14:textId="77777777" w:rsidR="00E920AF" w:rsidRPr="00E920AF" w:rsidRDefault="00E920AF" w:rsidP="006C2AF5">
      <w:pPr>
        <w:spacing w:after="0" w:line="240" w:lineRule="auto"/>
        <w:ind w:left="720" w:hanging="720"/>
        <w:rPr>
          <w:rFonts w:ascii="Times New Roman" w:hAnsi="Times New Roman" w:cs="Times New Roman"/>
          <w:color w:val="000000" w:themeColor="text1"/>
          <w:sz w:val="24"/>
          <w:szCs w:val="24"/>
        </w:rPr>
      </w:pPr>
    </w:p>
    <w:p w14:paraId="2B95035C" w14:textId="1D53ADA6" w:rsidR="00E920AF" w:rsidRPr="00E920AF" w:rsidRDefault="00E920AF" w:rsidP="006C2AF5">
      <w:pPr>
        <w:spacing w:after="0" w:line="240" w:lineRule="auto"/>
        <w:ind w:left="720" w:hanging="720"/>
        <w:rPr>
          <w:rFonts w:ascii="Times New Roman" w:hAnsi="Times New Roman" w:cs="Times New Roman"/>
          <w:color w:val="000000" w:themeColor="text1"/>
          <w:sz w:val="24"/>
          <w:szCs w:val="24"/>
        </w:rPr>
      </w:pPr>
      <w:r w:rsidRPr="0072729B">
        <w:rPr>
          <w:rFonts w:ascii="Times New Roman" w:hAnsi="Times New Roman" w:cs="Times New Roman"/>
          <w:color w:val="000000"/>
          <w:sz w:val="24"/>
          <w:szCs w:val="24"/>
        </w:rPr>
        <w:t xml:space="preserve">Bahr, P. R. (2012). </w:t>
      </w:r>
      <w:r w:rsidRPr="0072729B">
        <w:rPr>
          <w:rFonts w:ascii="Times New Roman" w:hAnsi="Times New Roman" w:cs="Times New Roman"/>
          <w:sz w:val="24"/>
          <w:szCs w:val="24"/>
        </w:rPr>
        <w:t>Deconstructing remediation in the community college: Exploring associations between course-taking patterns, course outcomes, and attrition from the remedial math and remedial writing sequences</w:t>
      </w:r>
      <w:r w:rsidRPr="0072729B">
        <w:rPr>
          <w:rFonts w:ascii="Times New Roman" w:hAnsi="Times New Roman" w:cs="Times New Roman"/>
          <w:iCs/>
          <w:color w:val="000000"/>
          <w:sz w:val="24"/>
          <w:szCs w:val="24"/>
        </w:rPr>
        <w:t>.</w:t>
      </w:r>
      <w:r w:rsidRPr="0072729B">
        <w:rPr>
          <w:rFonts w:ascii="Times New Roman" w:hAnsi="Times New Roman" w:cs="Times New Roman"/>
          <w:color w:val="000000"/>
          <w:sz w:val="24"/>
          <w:szCs w:val="24"/>
        </w:rPr>
        <w:t xml:space="preserve"> </w:t>
      </w:r>
      <w:r w:rsidRPr="0072729B">
        <w:rPr>
          <w:rFonts w:ascii="Times New Roman" w:hAnsi="Times New Roman" w:cs="Times New Roman"/>
          <w:i/>
          <w:color w:val="000000"/>
          <w:sz w:val="24"/>
          <w:szCs w:val="24"/>
        </w:rPr>
        <w:t>Research in Higher Education</w:t>
      </w:r>
      <w:r w:rsidRPr="0072729B">
        <w:rPr>
          <w:rFonts w:ascii="Times New Roman" w:hAnsi="Times New Roman" w:cs="Times New Roman"/>
          <w:color w:val="000000"/>
          <w:sz w:val="24"/>
          <w:szCs w:val="24"/>
        </w:rPr>
        <w:t xml:space="preserve">, </w:t>
      </w:r>
      <w:r w:rsidRPr="0072729B">
        <w:rPr>
          <w:rFonts w:ascii="Times New Roman" w:hAnsi="Times New Roman" w:cs="Times New Roman"/>
          <w:i/>
          <w:color w:val="000000"/>
          <w:sz w:val="24"/>
          <w:szCs w:val="24"/>
        </w:rPr>
        <w:t>53</w:t>
      </w:r>
      <w:r w:rsidRPr="0072729B">
        <w:rPr>
          <w:rFonts w:ascii="Times New Roman" w:hAnsi="Times New Roman" w:cs="Times New Roman"/>
          <w:color w:val="000000"/>
          <w:sz w:val="24"/>
          <w:szCs w:val="24"/>
        </w:rPr>
        <w:t>, 661-693.</w:t>
      </w:r>
    </w:p>
    <w:p w14:paraId="49D10B4A" w14:textId="77777777" w:rsidR="00F179F6" w:rsidRPr="00E920AF" w:rsidRDefault="00F179F6">
      <w:pPr>
        <w:spacing w:after="0" w:line="240" w:lineRule="auto"/>
        <w:rPr>
          <w:rFonts w:ascii="Times New Roman" w:hAnsi="Times New Roman" w:cs="Times New Roman"/>
          <w:color w:val="000000" w:themeColor="text1"/>
          <w:sz w:val="24"/>
          <w:szCs w:val="24"/>
        </w:rPr>
      </w:pPr>
    </w:p>
    <w:p w14:paraId="604BC063" w14:textId="77777777" w:rsidR="00641DBB" w:rsidRPr="00E920AF" w:rsidRDefault="00641DBB">
      <w:pPr>
        <w:spacing w:after="0" w:line="240" w:lineRule="auto"/>
        <w:rPr>
          <w:rFonts w:ascii="Times New Roman" w:hAnsi="Times New Roman" w:cs="Times New Roman"/>
          <w:color w:val="000000" w:themeColor="text1"/>
          <w:sz w:val="24"/>
          <w:szCs w:val="24"/>
        </w:rPr>
      </w:pPr>
    </w:p>
    <w:p w14:paraId="5520889B" w14:textId="77777777" w:rsidR="00641DBB" w:rsidRDefault="00641DBB">
      <w:pPr>
        <w:spacing w:after="0" w:line="240" w:lineRule="auto"/>
        <w:rPr>
          <w:rFonts w:ascii="Times New Roman" w:hAnsi="Times New Roman" w:cs="Times New Roman"/>
          <w:color w:val="000000" w:themeColor="text1"/>
          <w:sz w:val="24"/>
          <w:szCs w:val="24"/>
        </w:rPr>
      </w:pPr>
    </w:p>
    <w:p w14:paraId="512BD3FA" w14:textId="77777777" w:rsidR="00240D73" w:rsidRDefault="00240D73">
      <w:pPr>
        <w:rPr>
          <w:rFonts w:ascii="Times New Roman" w:hAnsi="Times New Roman" w:cs="Times New Roman"/>
          <w:b/>
          <w:sz w:val="24"/>
          <w:szCs w:val="24"/>
        </w:rPr>
      </w:pPr>
      <w:r>
        <w:rPr>
          <w:rFonts w:ascii="Times New Roman" w:hAnsi="Times New Roman" w:cs="Times New Roman"/>
          <w:b/>
          <w:sz w:val="24"/>
          <w:szCs w:val="24"/>
        </w:rPr>
        <w:br w:type="page"/>
      </w:r>
    </w:p>
    <w:p w14:paraId="4A6160B9" w14:textId="78CFA64D" w:rsidR="00641DBB" w:rsidRPr="006473CA" w:rsidRDefault="00641DBB" w:rsidP="00641DBB">
      <w:pPr>
        <w:spacing w:after="0" w:line="240" w:lineRule="auto"/>
        <w:rPr>
          <w:rFonts w:ascii="Times New Roman" w:hAnsi="Times New Roman" w:cs="Times New Roman"/>
          <w:b/>
          <w:sz w:val="24"/>
          <w:szCs w:val="24"/>
        </w:rPr>
      </w:pPr>
      <w:r w:rsidRPr="006473CA">
        <w:rPr>
          <w:rFonts w:ascii="Times New Roman" w:hAnsi="Times New Roman" w:cs="Times New Roman"/>
          <w:b/>
          <w:sz w:val="24"/>
          <w:szCs w:val="24"/>
        </w:rPr>
        <w:lastRenderedPageBreak/>
        <w:t xml:space="preserve">SECTION </w:t>
      </w:r>
      <w:r>
        <w:rPr>
          <w:rFonts w:ascii="Times New Roman" w:hAnsi="Times New Roman" w:cs="Times New Roman"/>
          <w:b/>
          <w:sz w:val="24"/>
          <w:szCs w:val="24"/>
        </w:rPr>
        <w:t>9</w:t>
      </w:r>
      <w:r w:rsidRPr="006473CA">
        <w:rPr>
          <w:rFonts w:ascii="Times New Roman" w:hAnsi="Times New Roman" w:cs="Times New Roman"/>
          <w:b/>
          <w:sz w:val="24"/>
          <w:szCs w:val="24"/>
        </w:rPr>
        <w:t xml:space="preserve">:  </w:t>
      </w:r>
      <w:r>
        <w:rPr>
          <w:rFonts w:ascii="Times New Roman" w:hAnsi="Times New Roman" w:cs="Times New Roman"/>
          <w:b/>
          <w:sz w:val="24"/>
          <w:szCs w:val="24"/>
        </w:rPr>
        <w:t>TABLES</w:t>
      </w:r>
    </w:p>
    <w:p w14:paraId="699E0DBD" w14:textId="77777777" w:rsidR="00641DBB" w:rsidRPr="0072729B" w:rsidRDefault="00641DBB">
      <w:pPr>
        <w:spacing w:after="0" w:line="240" w:lineRule="auto"/>
        <w:rPr>
          <w:rFonts w:ascii="Times New Roman" w:hAnsi="Times New Roman" w:cs="Times New Roman"/>
          <w:b/>
          <w:color w:val="000000" w:themeColor="text1"/>
          <w:sz w:val="24"/>
          <w:szCs w:val="24"/>
        </w:rPr>
      </w:pPr>
    </w:p>
    <w:p w14:paraId="63B4B896" w14:textId="77777777" w:rsidR="004F61FA" w:rsidRPr="00347697" w:rsidRDefault="004F61FA" w:rsidP="002C63EE">
      <w:pPr>
        <w:spacing w:after="0" w:line="240" w:lineRule="auto"/>
        <w:rPr>
          <w:rFonts w:ascii="Times New Roman" w:hAnsi="Times New Roman" w:cs="Times New Roman"/>
          <w:sz w:val="24"/>
          <w:szCs w:val="24"/>
        </w:rPr>
      </w:pPr>
    </w:p>
    <w:p w14:paraId="7F01F422" w14:textId="77777777" w:rsidR="007F0AA5" w:rsidRDefault="007F0AA5" w:rsidP="007D4701">
      <w:pPr>
        <w:spacing w:after="0" w:line="240" w:lineRule="auto"/>
        <w:rPr>
          <w:rFonts w:ascii="Times New Roman" w:hAnsi="Times New Roman" w:cs="Times New Roman"/>
          <w:b/>
          <w:sz w:val="24"/>
          <w:szCs w:val="24"/>
          <w:highlight w:val="green"/>
          <w:u w:val="single"/>
        </w:rPr>
        <w:sectPr w:rsidR="007F0AA5" w:rsidSect="003B3F69">
          <w:headerReference w:type="default" r:id="rId8"/>
          <w:footerReference w:type="default" r:id="rId9"/>
          <w:pgSz w:w="12240" w:h="15840"/>
          <w:pgMar w:top="1440" w:right="1440" w:bottom="1440" w:left="1440" w:header="720" w:footer="720" w:gutter="0"/>
          <w:pgNumType w:start="0"/>
          <w:cols w:space="720"/>
          <w:titlePg/>
          <w:docGrid w:linePitch="360"/>
        </w:sectPr>
      </w:pPr>
    </w:p>
    <w:p w14:paraId="13902809" w14:textId="77777777" w:rsidR="00124C92" w:rsidRDefault="00124C92" w:rsidP="00347697">
      <w:pPr>
        <w:spacing w:after="0" w:line="240" w:lineRule="auto"/>
        <w:rPr>
          <w:rFonts w:ascii="Times New Roman" w:hAnsi="Times New Roman" w:cs="Times New Roman"/>
          <w:sz w:val="24"/>
          <w:szCs w:val="24"/>
        </w:rPr>
      </w:pPr>
    </w:p>
    <w:p w14:paraId="08FFAF98" w14:textId="458C6B5C" w:rsidR="007F0AA5" w:rsidRPr="00347697" w:rsidRDefault="00294F0E" w:rsidP="00347697">
      <w:pPr>
        <w:spacing w:after="0" w:line="240" w:lineRule="auto"/>
        <w:rPr>
          <w:rFonts w:ascii="Times New Roman" w:hAnsi="Times New Roman" w:cs="Times New Roman"/>
          <w:sz w:val="24"/>
          <w:szCs w:val="24"/>
        </w:rPr>
      </w:pPr>
      <w:r w:rsidRPr="00347697">
        <w:rPr>
          <w:rFonts w:ascii="Times New Roman" w:hAnsi="Times New Roman" w:cs="Times New Roman"/>
          <w:sz w:val="24"/>
          <w:szCs w:val="24"/>
        </w:rPr>
        <w:t>Table 1</w:t>
      </w:r>
      <w:r w:rsidR="00EF5835" w:rsidRPr="00347697">
        <w:rPr>
          <w:rFonts w:ascii="Times New Roman" w:hAnsi="Times New Roman" w:cs="Times New Roman"/>
          <w:sz w:val="24"/>
          <w:szCs w:val="24"/>
        </w:rPr>
        <w:t>:  Selected course-taking behaviors by first math course attempted</w:t>
      </w:r>
    </w:p>
    <w:p w14:paraId="54001BC8" w14:textId="77777777" w:rsidR="007F0AA5" w:rsidRPr="00347697" w:rsidRDefault="007F0AA5" w:rsidP="00347697">
      <w:pPr>
        <w:spacing w:after="0" w:line="240" w:lineRule="auto"/>
        <w:rPr>
          <w:rFonts w:ascii="Times New Roman" w:hAnsi="Times New Roman" w:cs="Times New Roman"/>
          <w:sz w:val="24"/>
          <w:szCs w:val="24"/>
        </w:rPr>
      </w:pPr>
    </w:p>
    <w:tbl>
      <w:tblPr>
        <w:tblW w:w="12960" w:type="dxa"/>
        <w:tblBorders>
          <w:top w:val="single" w:sz="4" w:space="0" w:color="auto"/>
          <w:bottom w:val="single" w:sz="4" w:space="0" w:color="auto"/>
        </w:tblBorders>
        <w:tblCellMar>
          <w:left w:w="115" w:type="dxa"/>
          <w:right w:w="115" w:type="dxa"/>
        </w:tblCellMar>
        <w:tblLook w:val="04A0" w:firstRow="1" w:lastRow="0" w:firstColumn="1" w:lastColumn="0" w:noHBand="0" w:noVBand="1"/>
      </w:tblPr>
      <w:tblGrid>
        <w:gridCol w:w="2528"/>
        <w:gridCol w:w="2347"/>
        <w:gridCol w:w="2695"/>
        <w:gridCol w:w="2695"/>
        <w:gridCol w:w="2695"/>
      </w:tblGrid>
      <w:tr w:rsidR="00366C67" w:rsidRPr="000C18F3" w14:paraId="4D34E532" w14:textId="77777777" w:rsidTr="00281BFF">
        <w:trPr>
          <w:trHeight w:val="765"/>
        </w:trPr>
        <w:tc>
          <w:tcPr>
            <w:tcW w:w="2160" w:type="dxa"/>
            <w:shd w:val="clear" w:color="auto" w:fill="auto"/>
            <w:noWrap/>
            <w:vAlign w:val="bottom"/>
            <w:hideMark/>
          </w:tcPr>
          <w:p w14:paraId="4FC6C5D5" w14:textId="77777777" w:rsidR="00366C67" w:rsidRPr="000C18F3" w:rsidRDefault="00366C67" w:rsidP="007F0AA5">
            <w:pPr>
              <w:spacing w:after="0" w:line="240" w:lineRule="auto"/>
              <w:rPr>
                <w:rFonts w:ascii="Times New Roman" w:eastAsia="Times New Roman" w:hAnsi="Times New Roman" w:cs="Times New Roman"/>
                <w:sz w:val="20"/>
                <w:szCs w:val="20"/>
              </w:rPr>
            </w:pPr>
          </w:p>
        </w:tc>
        <w:tc>
          <w:tcPr>
            <w:tcW w:w="2006" w:type="dxa"/>
            <w:tcBorders>
              <w:top w:val="single" w:sz="4" w:space="0" w:color="auto"/>
              <w:bottom w:val="single" w:sz="4" w:space="0" w:color="auto"/>
            </w:tcBorders>
            <w:shd w:val="clear" w:color="auto" w:fill="auto"/>
            <w:vAlign w:val="bottom"/>
            <w:hideMark/>
          </w:tcPr>
          <w:p w14:paraId="17A05120" w14:textId="77777777" w:rsidR="00366C67" w:rsidRPr="000C18F3" w:rsidRDefault="00366C67" w:rsidP="007F0AA5">
            <w:pPr>
              <w:spacing w:after="0" w:line="240" w:lineRule="auto"/>
              <w:jc w:val="center"/>
              <w:rPr>
                <w:rFonts w:ascii="Times New Roman" w:eastAsia="Times New Roman" w:hAnsi="Times New Roman" w:cs="Times New Roman"/>
                <w:i/>
                <w:color w:val="000000"/>
                <w:sz w:val="20"/>
                <w:szCs w:val="20"/>
              </w:rPr>
            </w:pPr>
            <w:r w:rsidRPr="000C18F3">
              <w:rPr>
                <w:rFonts w:ascii="Times New Roman" w:eastAsia="Times New Roman" w:hAnsi="Times New Roman" w:cs="Times New Roman"/>
                <w:i/>
                <w:color w:val="000000"/>
                <w:sz w:val="20"/>
                <w:szCs w:val="20"/>
              </w:rPr>
              <w:t>N</w:t>
            </w:r>
          </w:p>
        </w:tc>
        <w:tc>
          <w:tcPr>
            <w:tcW w:w="2304" w:type="dxa"/>
            <w:tcBorders>
              <w:top w:val="single" w:sz="4" w:space="0" w:color="auto"/>
              <w:bottom w:val="single" w:sz="4" w:space="0" w:color="auto"/>
            </w:tcBorders>
            <w:shd w:val="clear" w:color="auto" w:fill="auto"/>
            <w:vAlign w:val="bottom"/>
            <w:hideMark/>
          </w:tcPr>
          <w:p w14:paraId="7C54FCCE" w14:textId="77777777" w:rsidR="00366C67" w:rsidRPr="000C18F3" w:rsidRDefault="00366C67" w:rsidP="007F0AA5">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 delayed first math</w:t>
            </w:r>
          </w:p>
        </w:tc>
        <w:tc>
          <w:tcPr>
            <w:tcW w:w="2304" w:type="dxa"/>
            <w:tcBorders>
              <w:top w:val="single" w:sz="4" w:space="0" w:color="auto"/>
              <w:bottom w:val="single" w:sz="4" w:space="0" w:color="auto"/>
            </w:tcBorders>
            <w:shd w:val="clear" w:color="auto" w:fill="auto"/>
            <w:vAlign w:val="bottom"/>
            <w:hideMark/>
          </w:tcPr>
          <w:p w14:paraId="63737647" w14:textId="77777777" w:rsidR="00366C67" w:rsidRPr="000C18F3" w:rsidRDefault="00366C67" w:rsidP="007F0AA5">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average number of terms from college entry to first math</w:t>
            </w:r>
          </w:p>
        </w:tc>
        <w:tc>
          <w:tcPr>
            <w:tcW w:w="2304" w:type="dxa"/>
            <w:tcBorders>
              <w:top w:val="single" w:sz="4" w:space="0" w:color="auto"/>
              <w:bottom w:val="single" w:sz="4" w:space="0" w:color="auto"/>
            </w:tcBorders>
            <w:shd w:val="clear" w:color="auto" w:fill="auto"/>
            <w:vAlign w:val="bottom"/>
            <w:hideMark/>
          </w:tcPr>
          <w:p w14:paraId="2835B1DD" w14:textId="77777777" w:rsidR="00366C67" w:rsidRPr="000C18F3" w:rsidRDefault="00366C67" w:rsidP="007F0AA5">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 xml:space="preserve">% successful </w:t>
            </w:r>
          </w:p>
          <w:p w14:paraId="328F2684" w14:textId="2EF53E15" w:rsidR="00366C67" w:rsidRPr="000C18F3" w:rsidRDefault="00366C67" w:rsidP="007F0AA5">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 xml:space="preserve">in first math </w:t>
            </w:r>
          </w:p>
          <w:p w14:paraId="5F8D5CFB" w14:textId="38C557BE" w:rsidR="00366C67" w:rsidRPr="000C18F3" w:rsidRDefault="00366C67" w:rsidP="007F0AA5">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(first attempt)</w:t>
            </w:r>
          </w:p>
        </w:tc>
      </w:tr>
      <w:tr w:rsidR="00366C67" w:rsidRPr="000C18F3" w14:paraId="2E3642AA" w14:textId="77777777" w:rsidTr="00281BFF">
        <w:trPr>
          <w:trHeight w:val="255"/>
        </w:trPr>
        <w:tc>
          <w:tcPr>
            <w:tcW w:w="2160" w:type="dxa"/>
            <w:tcBorders>
              <w:bottom w:val="nil"/>
            </w:tcBorders>
            <w:shd w:val="clear" w:color="auto" w:fill="auto"/>
            <w:noWrap/>
            <w:vAlign w:val="bottom"/>
          </w:tcPr>
          <w:p w14:paraId="7B0E305A" w14:textId="77777777" w:rsidR="00366C67" w:rsidRPr="000C18F3" w:rsidRDefault="00366C67" w:rsidP="00347697">
            <w:pPr>
              <w:spacing w:after="0" w:line="240" w:lineRule="auto"/>
              <w:jc w:val="right"/>
              <w:rPr>
                <w:rFonts w:ascii="Times New Roman" w:eastAsia="Times New Roman" w:hAnsi="Times New Roman" w:cs="Times New Roman"/>
                <w:color w:val="000000"/>
                <w:sz w:val="20"/>
                <w:szCs w:val="20"/>
              </w:rPr>
            </w:pPr>
          </w:p>
        </w:tc>
        <w:tc>
          <w:tcPr>
            <w:tcW w:w="2006" w:type="dxa"/>
            <w:tcBorders>
              <w:top w:val="single" w:sz="4" w:space="0" w:color="auto"/>
              <w:bottom w:val="nil"/>
            </w:tcBorders>
            <w:shd w:val="clear" w:color="auto" w:fill="auto"/>
            <w:noWrap/>
            <w:vAlign w:val="bottom"/>
          </w:tcPr>
          <w:p w14:paraId="6A61DD76" w14:textId="77777777" w:rsidR="00366C67" w:rsidRPr="000C18F3" w:rsidRDefault="00366C67" w:rsidP="00E7213D">
            <w:pPr>
              <w:tabs>
                <w:tab w:val="decimal" w:pos="1145"/>
              </w:tabs>
              <w:spacing w:after="0" w:line="240" w:lineRule="auto"/>
              <w:rPr>
                <w:rFonts w:ascii="Times New Roman" w:eastAsia="Times New Roman" w:hAnsi="Times New Roman" w:cs="Times New Roman"/>
                <w:color w:val="000000"/>
                <w:sz w:val="20"/>
                <w:szCs w:val="20"/>
              </w:rPr>
            </w:pPr>
          </w:p>
        </w:tc>
        <w:tc>
          <w:tcPr>
            <w:tcW w:w="2304" w:type="dxa"/>
            <w:tcBorders>
              <w:top w:val="single" w:sz="4" w:space="0" w:color="auto"/>
              <w:bottom w:val="nil"/>
            </w:tcBorders>
            <w:shd w:val="clear" w:color="auto" w:fill="auto"/>
            <w:noWrap/>
            <w:vAlign w:val="bottom"/>
          </w:tcPr>
          <w:p w14:paraId="4779DFF1" w14:textId="77777777" w:rsidR="00366C67" w:rsidRPr="000C18F3" w:rsidRDefault="00366C67" w:rsidP="00950BEF">
            <w:pPr>
              <w:spacing w:after="0" w:line="240" w:lineRule="auto"/>
              <w:jc w:val="center"/>
              <w:rPr>
                <w:rFonts w:ascii="Times New Roman" w:eastAsia="Times New Roman" w:hAnsi="Times New Roman" w:cs="Times New Roman"/>
                <w:color w:val="000000"/>
                <w:sz w:val="20"/>
                <w:szCs w:val="20"/>
              </w:rPr>
            </w:pPr>
          </w:p>
        </w:tc>
        <w:tc>
          <w:tcPr>
            <w:tcW w:w="2304" w:type="dxa"/>
            <w:tcBorders>
              <w:top w:val="single" w:sz="4" w:space="0" w:color="auto"/>
              <w:bottom w:val="nil"/>
            </w:tcBorders>
            <w:shd w:val="clear" w:color="auto" w:fill="auto"/>
            <w:noWrap/>
            <w:vAlign w:val="bottom"/>
          </w:tcPr>
          <w:p w14:paraId="299105DB" w14:textId="77777777" w:rsidR="00366C67" w:rsidRPr="000C18F3" w:rsidRDefault="00366C67" w:rsidP="00950BEF">
            <w:pPr>
              <w:spacing w:after="0" w:line="240" w:lineRule="auto"/>
              <w:jc w:val="center"/>
              <w:rPr>
                <w:rFonts w:ascii="Times New Roman" w:eastAsia="Times New Roman" w:hAnsi="Times New Roman" w:cs="Times New Roman"/>
                <w:color w:val="000000"/>
                <w:sz w:val="20"/>
                <w:szCs w:val="20"/>
              </w:rPr>
            </w:pPr>
          </w:p>
        </w:tc>
        <w:tc>
          <w:tcPr>
            <w:tcW w:w="2304" w:type="dxa"/>
            <w:tcBorders>
              <w:top w:val="single" w:sz="4" w:space="0" w:color="auto"/>
              <w:bottom w:val="nil"/>
            </w:tcBorders>
            <w:shd w:val="clear" w:color="auto" w:fill="auto"/>
            <w:noWrap/>
            <w:vAlign w:val="bottom"/>
          </w:tcPr>
          <w:p w14:paraId="3B9A6C37" w14:textId="77777777" w:rsidR="00366C67" w:rsidRPr="000C18F3" w:rsidRDefault="00366C67" w:rsidP="00950BEF">
            <w:pPr>
              <w:spacing w:after="0" w:line="240" w:lineRule="auto"/>
              <w:jc w:val="center"/>
              <w:rPr>
                <w:rFonts w:ascii="Times New Roman" w:eastAsia="Times New Roman" w:hAnsi="Times New Roman" w:cs="Times New Roman"/>
                <w:color w:val="000000"/>
                <w:sz w:val="20"/>
                <w:szCs w:val="20"/>
              </w:rPr>
            </w:pPr>
          </w:p>
        </w:tc>
      </w:tr>
      <w:tr w:rsidR="00366C67" w:rsidRPr="000C18F3" w14:paraId="689736FC" w14:textId="77777777" w:rsidTr="00281BFF">
        <w:trPr>
          <w:trHeight w:val="255"/>
        </w:trPr>
        <w:tc>
          <w:tcPr>
            <w:tcW w:w="2160" w:type="dxa"/>
            <w:tcBorders>
              <w:top w:val="nil"/>
              <w:bottom w:val="nil"/>
            </w:tcBorders>
            <w:shd w:val="clear" w:color="auto" w:fill="auto"/>
            <w:noWrap/>
            <w:vAlign w:val="bottom"/>
            <w:hideMark/>
          </w:tcPr>
          <w:p w14:paraId="7D6A3969" w14:textId="42A300FC" w:rsidR="00366C67" w:rsidRPr="000C18F3" w:rsidRDefault="00366C67" w:rsidP="00241CA0">
            <w:pPr>
              <w:spacing w:after="0" w:line="240" w:lineRule="auto"/>
              <w:jc w:val="right"/>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ACDV B72</w:t>
            </w:r>
          </w:p>
        </w:tc>
        <w:tc>
          <w:tcPr>
            <w:tcW w:w="2006" w:type="dxa"/>
            <w:tcBorders>
              <w:top w:val="nil"/>
              <w:bottom w:val="nil"/>
            </w:tcBorders>
            <w:shd w:val="clear" w:color="auto" w:fill="auto"/>
            <w:noWrap/>
            <w:vAlign w:val="bottom"/>
            <w:hideMark/>
          </w:tcPr>
          <w:p w14:paraId="6F297099" w14:textId="4D59D452" w:rsidR="00366C67" w:rsidRPr="000C18F3" w:rsidRDefault="00366C67" w:rsidP="00241CA0">
            <w:pPr>
              <w:tabs>
                <w:tab w:val="decimal" w:pos="114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1,070</w:t>
            </w:r>
          </w:p>
        </w:tc>
        <w:tc>
          <w:tcPr>
            <w:tcW w:w="2304" w:type="dxa"/>
            <w:tcBorders>
              <w:top w:val="nil"/>
              <w:bottom w:val="nil"/>
            </w:tcBorders>
            <w:shd w:val="clear" w:color="auto" w:fill="auto"/>
            <w:noWrap/>
            <w:vAlign w:val="bottom"/>
            <w:hideMark/>
          </w:tcPr>
          <w:p w14:paraId="23D181EA" w14:textId="0A3337BE"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46%</w:t>
            </w:r>
          </w:p>
        </w:tc>
        <w:tc>
          <w:tcPr>
            <w:tcW w:w="2304" w:type="dxa"/>
            <w:tcBorders>
              <w:top w:val="nil"/>
              <w:bottom w:val="nil"/>
            </w:tcBorders>
            <w:shd w:val="clear" w:color="auto" w:fill="auto"/>
            <w:noWrap/>
            <w:vAlign w:val="bottom"/>
            <w:hideMark/>
          </w:tcPr>
          <w:p w14:paraId="3771A9E0" w14:textId="69EE215A"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0.8</w:t>
            </w:r>
          </w:p>
        </w:tc>
        <w:tc>
          <w:tcPr>
            <w:tcW w:w="2304" w:type="dxa"/>
            <w:tcBorders>
              <w:top w:val="nil"/>
              <w:bottom w:val="nil"/>
            </w:tcBorders>
            <w:shd w:val="clear" w:color="auto" w:fill="auto"/>
            <w:noWrap/>
            <w:vAlign w:val="bottom"/>
            <w:hideMark/>
          </w:tcPr>
          <w:p w14:paraId="1E8ED53D" w14:textId="6F8275C6"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61%</w:t>
            </w:r>
          </w:p>
        </w:tc>
      </w:tr>
      <w:tr w:rsidR="00366C67" w:rsidRPr="000C18F3" w14:paraId="11F94379" w14:textId="77777777" w:rsidTr="00281BFF">
        <w:trPr>
          <w:trHeight w:val="255"/>
        </w:trPr>
        <w:tc>
          <w:tcPr>
            <w:tcW w:w="2160" w:type="dxa"/>
            <w:tcBorders>
              <w:top w:val="nil"/>
            </w:tcBorders>
            <w:shd w:val="clear" w:color="auto" w:fill="auto"/>
            <w:noWrap/>
            <w:vAlign w:val="bottom"/>
            <w:hideMark/>
          </w:tcPr>
          <w:p w14:paraId="0FF04243" w14:textId="77777777" w:rsidR="00366C67" w:rsidRPr="000C18F3" w:rsidRDefault="00366C67" w:rsidP="00241CA0">
            <w:pPr>
              <w:spacing w:after="0" w:line="240" w:lineRule="auto"/>
              <w:jc w:val="right"/>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B60</w:t>
            </w:r>
          </w:p>
        </w:tc>
        <w:tc>
          <w:tcPr>
            <w:tcW w:w="2006" w:type="dxa"/>
            <w:tcBorders>
              <w:top w:val="nil"/>
            </w:tcBorders>
            <w:shd w:val="clear" w:color="auto" w:fill="auto"/>
            <w:noWrap/>
            <w:vAlign w:val="bottom"/>
            <w:hideMark/>
          </w:tcPr>
          <w:p w14:paraId="0F2ACA54" w14:textId="7AED2556" w:rsidR="00366C67" w:rsidRPr="000C18F3" w:rsidRDefault="00366C67" w:rsidP="00241CA0">
            <w:pPr>
              <w:tabs>
                <w:tab w:val="decimal" w:pos="114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1,435</w:t>
            </w:r>
          </w:p>
        </w:tc>
        <w:tc>
          <w:tcPr>
            <w:tcW w:w="2304" w:type="dxa"/>
            <w:tcBorders>
              <w:top w:val="nil"/>
            </w:tcBorders>
            <w:shd w:val="clear" w:color="auto" w:fill="auto"/>
            <w:noWrap/>
            <w:vAlign w:val="bottom"/>
            <w:hideMark/>
          </w:tcPr>
          <w:p w14:paraId="77A09EA7" w14:textId="76BE508C"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46%</w:t>
            </w:r>
          </w:p>
        </w:tc>
        <w:tc>
          <w:tcPr>
            <w:tcW w:w="2304" w:type="dxa"/>
            <w:tcBorders>
              <w:top w:val="nil"/>
            </w:tcBorders>
            <w:shd w:val="clear" w:color="auto" w:fill="auto"/>
            <w:noWrap/>
            <w:vAlign w:val="bottom"/>
            <w:hideMark/>
          </w:tcPr>
          <w:p w14:paraId="67F357F7" w14:textId="7E24F1E2"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0.6</w:t>
            </w:r>
          </w:p>
        </w:tc>
        <w:tc>
          <w:tcPr>
            <w:tcW w:w="2304" w:type="dxa"/>
            <w:tcBorders>
              <w:top w:val="nil"/>
            </w:tcBorders>
            <w:shd w:val="clear" w:color="auto" w:fill="auto"/>
            <w:noWrap/>
            <w:vAlign w:val="bottom"/>
            <w:hideMark/>
          </w:tcPr>
          <w:p w14:paraId="7D827CC3" w14:textId="6A606203"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54%</w:t>
            </w:r>
          </w:p>
        </w:tc>
      </w:tr>
      <w:tr w:rsidR="00366C67" w:rsidRPr="000C18F3" w14:paraId="56118D3B" w14:textId="77777777" w:rsidTr="00281BFF">
        <w:trPr>
          <w:trHeight w:val="255"/>
        </w:trPr>
        <w:tc>
          <w:tcPr>
            <w:tcW w:w="2160" w:type="dxa"/>
            <w:shd w:val="clear" w:color="auto" w:fill="auto"/>
            <w:noWrap/>
            <w:vAlign w:val="bottom"/>
            <w:hideMark/>
          </w:tcPr>
          <w:p w14:paraId="28F8F18D" w14:textId="77777777" w:rsidR="00366C67" w:rsidRPr="000C18F3" w:rsidRDefault="00366C67" w:rsidP="00241CA0">
            <w:pPr>
              <w:spacing w:after="0" w:line="240" w:lineRule="auto"/>
              <w:jc w:val="right"/>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B65</w:t>
            </w:r>
          </w:p>
        </w:tc>
        <w:tc>
          <w:tcPr>
            <w:tcW w:w="2006" w:type="dxa"/>
            <w:shd w:val="clear" w:color="auto" w:fill="auto"/>
            <w:noWrap/>
            <w:vAlign w:val="bottom"/>
            <w:hideMark/>
          </w:tcPr>
          <w:p w14:paraId="71576C56" w14:textId="0E9CF11F" w:rsidR="00366C67" w:rsidRPr="000C18F3" w:rsidRDefault="00366C67" w:rsidP="00241CA0">
            <w:pPr>
              <w:tabs>
                <w:tab w:val="decimal" w:pos="114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146</w:t>
            </w:r>
          </w:p>
        </w:tc>
        <w:tc>
          <w:tcPr>
            <w:tcW w:w="2304" w:type="dxa"/>
            <w:shd w:val="clear" w:color="auto" w:fill="auto"/>
            <w:noWrap/>
            <w:vAlign w:val="bottom"/>
            <w:hideMark/>
          </w:tcPr>
          <w:p w14:paraId="41E40F56" w14:textId="35DAF88C"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52%</w:t>
            </w:r>
          </w:p>
        </w:tc>
        <w:tc>
          <w:tcPr>
            <w:tcW w:w="2304" w:type="dxa"/>
            <w:shd w:val="clear" w:color="auto" w:fill="auto"/>
            <w:noWrap/>
            <w:vAlign w:val="bottom"/>
            <w:hideMark/>
          </w:tcPr>
          <w:p w14:paraId="652D25E4" w14:textId="2C7DD4DF"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0.8</w:t>
            </w:r>
          </w:p>
        </w:tc>
        <w:tc>
          <w:tcPr>
            <w:tcW w:w="2304" w:type="dxa"/>
            <w:shd w:val="clear" w:color="auto" w:fill="auto"/>
            <w:noWrap/>
            <w:vAlign w:val="bottom"/>
            <w:hideMark/>
          </w:tcPr>
          <w:p w14:paraId="101378E4" w14:textId="725C49D2"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59%</w:t>
            </w:r>
          </w:p>
        </w:tc>
      </w:tr>
      <w:tr w:rsidR="00366C67" w:rsidRPr="000C18F3" w14:paraId="313E7DA5" w14:textId="77777777" w:rsidTr="00281BFF">
        <w:trPr>
          <w:trHeight w:val="255"/>
        </w:trPr>
        <w:tc>
          <w:tcPr>
            <w:tcW w:w="2160" w:type="dxa"/>
            <w:shd w:val="clear" w:color="auto" w:fill="auto"/>
            <w:noWrap/>
            <w:vAlign w:val="bottom"/>
            <w:hideMark/>
          </w:tcPr>
          <w:p w14:paraId="683E98A8" w14:textId="60143344" w:rsidR="00366C67" w:rsidRPr="000C18F3" w:rsidRDefault="00366C67" w:rsidP="00241CA0">
            <w:pPr>
              <w:spacing w:after="0" w:line="240" w:lineRule="auto"/>
              <w:jc w:val="right"/>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LRNC B530 (Math B60)</w:t>
            </w:r>
          </w:p>
        </w:tc>
        <w:tc>
          <w:tcPr>
            <w:tcW w:w="2006" w:type="dxa"/>
            <w:shd w:val="clear" w:color="auto" w:fill="auto"/>
            <w:noWrap/>
            <w:vAlign w:val="bottom"/>
            <w:hideMark/>
          </w:tcPr>
          <w:p w14:paraId="4473593F" w14:textId="5989032F" w:rsidR="00366C67" w:rsidRPr="000C18F3" w:rsidRDefault="00366C67" w:rsidP="00241CA0">
            <w:pPr>
              <w:tabs>
                <w:tab w:val="decimal" w:pos="114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68</w:t>
            </w:r>
          </w:p>
        </w:tc>
        <w:tc>
          <w:tcPr>
            <w:tcW w:w="2304" w:type="dxa"/>
            <w:shd w:val="clear" w:color="auto" w:fill="auto"/>
            <w:noWrap/>
            <w:vAlign w:val="bottom"/>
            <w:hideMark/>
          </w:tcPr>
          <w:p w14:paraId="1833952A" w14:textId="784C12B0"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68%</w:t>
            </w:r>
          </w:p>
        </w:tc>
        <w:tc>
          <w:tcPr>
            <w:tcW w:w="2304" w:type="dxa"/>
            <w:shd w:val="clear" w:color="auto" w:fill="auto"/>
            <w:noWrap/>
            <w:vAlign w:val="bottom"/>
            <w:hideMark/>
          </w:tcPr>
          <w:p w14:paraId="0DEE267B" w14:textId="1975EA5E"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1.1</w:t>
            </w:r>
          </w:p>
        </w:tc>
        <w:tc>
          <w:tcPr>
            <w:tcW w:w="2304" w:type="dxa"/>
            <w:shd w:val="clear" w:color="auto" w:fill="auto"/>
            <w:noWrap/>
            <w:vAlign w:val="bottom"/>
            <w:hideMark/>
          </w:tcPr>
          <w:p w14:paraId="0446F555" w14:textId="5BACD883"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85%</w:t>
            </w:r>
          </w:p>
        </w:tc>
      </w:tr>
      <w:tr w:rsidR="00366C67" w:rsidRPr="000C18F3" w14:paraId="7F955642" w14:textId="77777777" w:rsidTr="00281BFF">
        <w:trPr>
          <w:trHeight w:val="255"/>
        </w:trPr>
        <w:tc>
          <w:tcPr>
            <w:tcW w:w="2160" w:type="dxa"/>
            <w:shd w:val="clear" w:color="auto" w:fill="auto"/>
            <w:noWrap/>
            <w:vAlign w:val="bottom"/>
            <w:hideMark/>
          </w:tcPr>
          <w:p w14:paraId="188C9265" w14:textId="77777777" w:rsidR="00366C67" w:rsidRPr="000C18F3" w:rsidRDefault="00366C67" w:rsidP="00241CA0">
            <w:pPr>
              <w:spacing w:after="0" w:line="240" w:lineRule="auto"/>
              <w:jc w:val="right"/>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2006" w:type="dxa"/>
            <w:shd w:val="clear" w:color="auto" w:fill="auto"/>
            <w:noWrap/>
            <w:vAlign w:val="bottom"/>
            <w:hideMark/>
          </w:tcPr>
          <w:p w14:paraId="63D8EBA1" w14:textId="10FAF48E" w:rsidR="00366C67" w:rsidRPr="000C18F3" w:rsidRDefault="00366C67" w:rsidP="00241CA0">
            <w:pPr>
              <w:tabs>
                <w:tab w:val="decimal" w:pos="114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938</w:t>
            </w:r>
          </w:p>
        </w:tc>
        <w:tc>
          <w:tcPr>
            <w:tcW w:w="2304" w:type="dxa"/>
            <w:shd w:val="clear" w:color="auto" w:fill="auto"/>
            <w:noWrap/>
            <w:vAlign w:val="bottom"/>
            <w:hideMark/>
          </w:tcPr>
          <w:p w14:paraId="13D46F82" w14:textId="0684B2B2"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44%</w:t>
            </w:r>
          </w:p>
        </w:tc>
        <w:tc>
          <w:tcPr>
            <w:tcW w:w="2304" w:type="dxa"/>
            <w:shd w:val="clear" w:color="auto" w:fill="auto"/>
            <w:noWrap/>
            <w:vAlign w:val="bottom"/>
            <w:hideMark/>
          </w:tcPr>
          <w:p w14:paraId="57C696E8" w14:textId="2BC8189A"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0.6</w:t>
            </w:r>
          </w:p>
        </w:tc>
        <w:tc>
          <w:tcPr>
            <w:tcW w:w="2304" w:type="dxa"/>
            <w:shd w:val="clear" w:color="auto" w:fill="auto"/>
            <w:noWrap/>
            <w:vAlign w:val="bottom"/>
            <w:hideMark/>
          </w:tcPr>
          <w:p w14:paraId="78982376" w14:textId="36649FCA" w:rsidR="00366C67" w:rsidRPr="000C18F3" w:rsidRDefault="00366C6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53%</w:t>
            </w:r>
          </w:p>
        </w:tc>
      </w:tr>
      <w:tr w:rsidR="00366C67" w:rsidRPr="000C18F3" w14:paraId="47C4777F" w14:textId="77777777" w:rsidTr="00845244">
        <w:trPr>
          <w:trHeight w:val="255"/>
        </w:trPr>
        <w:tc>
          <w:tcPr>
            <w:tcW w:w="2160" w:type="dxa"/>
            <w:shd w:val="clear" w:color="auto" w:fill="auto"/>
            <w:noWrap/>
            <w:vAlign w:val="bottom"/>
          </w:tcPr>
          <w:p w14:paraId="6BE1B426" w14:textId="77777777" w:rsidR="00366C67" w:rsidRPr="000C18F3" w:rsidRDefault="00366C67" w:rsidP="00241CA0">
            <w:pPr>
              <w:spacing w:after="0" w:line="240" w:lineRule="auto"/>
              <w:rPr>
                <w:rFonts w:ascii="Times New Roman" w:eastAsia="Times New Roman" w:hAnsi="Times New Roman" w:cs="Times New Roman"/>
                <w:sz w:val="20"/>
                <w:szCs w:val="20"/>
              </w:rPr>
            </w:pPr>
          </w:p>
        </w:tc>
        <w:tc>
          <w:tcPr>
            <w:tcW w:w="2006" w:type="dxa"/>
            <w:shd w:val="clear" w:color="auto" w:fill="auto"/>
            <w:noWrap/>
            <w:vAlign w:val="bottom"/>
          </w:tcPr>
          <w:p w14:paraId="4CC90F0A" w14:textId="5B401113" w:rsidR="00366C67" w:rsidRPr="000C18F3" w:rsidRDefault="00366C67" w:rsidP="00241CA0">
            <w:pPr>
              <w:tabs>
                <w:tab w:val="decimal" w:pos="1145"/>
              </w:tabs>
              <w:spacing w:after="0" w:line="240" w:lineRule="auto"/>
              <w:rPr>
                <w:rFonts w:ascii="Times New Roman" w:eastAsia="Times New Roman" w:hAnsi="Times New Roman" w:cs="Times New Roman"/>
                <w:sz w:val="20"/>
                <w:szCs w:val="20"/>
              </w:rPr>
            </w:pPr>
          </w:p>
        </w:tc>
        <w:tc>
          <w:tcPr>
            <w:tcW w:w="2304" w:type="dxa"/>
            <w:shd w:val="clear" w:color="auto" w:fill="auto"/>
            <w:noWrap/>
            <w:vAlign w:val="bottom"/>
          </w:tcPr>
          <w:p w14:paraId="5852C893" w14:textId="43DBFAB7" w:rsidR="00366C67" w:rsidRPr="000C18F3" w:rsidRDefault="00366C67" w:rsidP="00241CA0">
            <w:pPr>
              <w:spacing w:after="0" w:line="240" w:lineRule="auto"/>
              <w:jc w:val="center"/>
              <w:rPr>
                <w:rFonts w:ascii="Times New Roman" w:eastAsia="Times New Roman" w:hAnsi="Times New Roman" w:cs="Times New Roman"/>
                <w:sz w:val="20"/>
                <w:szCs w:val="20"/>
              </w:rPr>
            </w:pPr>
          </w:p>
        </w:tc>
        <w:tc>
          <w:tcPr>
            <w:tcW w:w="2304" w:type="dxa"/>
            <w:shd w:val="clear" w:color="auto" w:fill="auto"/>
            <w:noWrap/>
            <w:vAlign w:val="bottom"/>
          </w:tcPr>
          <w:p w14:paraId="7AE5965A" w14:textId="692E1F23" w:rsidR="00366C67" w:rsidRPr="000C18F3" w:rsidRDefault="00366C67" w:rsidP="00241CA0">
            <w:pPr>
              <w:spacing w:after="0" w:line="240" w:lineRule="auto"/>
              <w:jc w:val="center"/>
              <w:rPr>
                <w:rFonts w:ascii="Times New Roman" w:eastAsia="Times New Roman" w:hAnsi="Times New Roman" w:cs="Times New Roman"/>
                <w:sz w:val="20"/>
                <w:szCs w:val="20"/>
              </w:rPr>
            </w:pPr>
          </w:p>
        </w:tc>
        <w:tc>
          <w:tcPr>
            <w:tcW w:w="2304" w:type="dxa"/>
            <w:shd w:val="clear" w:color="auto" w:fill="auto"/>
            <w:noWrap/>
            <w:vAlign w:val="bottom"/>
          </w:tcPr>
          <w:p w14:paraId="54C5EA90" w14:textId="296D67B2" w:rsidR="00366C67" w:rsidRPr="000C18F3" w:rsidRDefault="00366C67" w:rsidP="00241CA0">
            <w:pPr>
              <w:spacing w:after="0" w:line="240" w:lineRule="auto"/>
              <w:jc w:val="center"/>
              <w:rPr>
                <w:rFonts w:ascii="Times New Roman" w:eastAsia="Times New Roman" w:hAnsi="Times New Roman" w:cs="Times New Roman"/>
                <w:sz w:val="20"/>
                <w:szCs w:val="20"/>
              </w:rPr>
            </w:pPr>
          </w:p>
        </w:tc>
      </w:tr>
    </w:tbl>
    <w:p w14:paraId="23369F06" w14:textId="77777777" w:rsidR="007F0AA5" w:rsidRPr="00347697" w:rsidRDefault="007F0AA5" w:rsidP="00347697">
      <w:pPr>
        <w:spacing w:after="0" w:line="240" w:lineRule="auto"/>
        <w:rPr>
          <w:rFonts w:ascii="Times New Roman" w:hAnsi="Times New Roman" w:cs="Times New Roman"/>
          <w:sz w:val="24"/>
          <w:szCs w:val="24"/>
        </w:rPr>
      </w:pPr>
    </w:p>
    <w:p w14:paraId="017F7B15" w14:textId="77777777" w:rsidR="007F0AA5" w:rsidRPr="00347697" w:rsidRDefault="007F0AA5" w:rsidP="00347697">
      <w:pPr>
        <w:spacing w:after="0" w:line="240" w:lineRule="auto"/>
        <w:rPr>
          <w:rFonts w:ascii="Times New Roman" w:hAnsi="Times New Roman" w:cs="Times New Roman"/>
          <w:sz w:val="24"/>
          <w:szCs w:val="24"/>
        </w:rPr>
      </w:pPr>
    </w:p>
    <w:p w14:paraId="575FAADC" w14:textId="77777777" w:rsidR="00A57EA3" w:rsidRDefault="00A57EA3">
      <w:pPr>
        <w:rPr>
          <w:rFonts w:ascii="Times New Roman" w:hAnsi="Times New Roman" w:cs="Times New Roman"/>
          <w:sz w:val="24"/>
          <w:szCs w:val="24"/>
        </w:rPr>
      </w:pPr>
      <w:r>
        <w:rPr>
          <w:rFonts w:ascii="Times New Roman" w:hAnsi="Times New Roman" w:cs="Times New Roman"/>
          <w:sz w:val="24"/>
          <w:szCs w:val="24"/>
        </w:rPr>
        <w:br w:type="page"/>
      </w:r>
    </w:p>
    <w:p w14:paraId="7BA1ED67" w14:textId="77777777" w:rsidR="00007311" w:rsidRDefault="00007311" w:rsidP="00347697">
      <w:pPr>
        <w:spacing w:after="0" w:line="240" w:lineRule="auto"/>
        <w:rPr>
          <w:rFonts w:ascii="Times New Roman" w:hAnsi="Times New Roman" w:cs="Times New Roman"/>
          <w:sz w:val="24"/>
          <w:szCs w:val="24"/>
        </w:rPr>
      </w:pPr>
    </w:p>
    <w:p w14:paraId="5428CC69" w14:textId="77777777" w:rsidR="00E22CDE" w:rsidRPr="003430DA" w:rsidRDefault="00E22CDE" w:rsidP="00E22CDE">
      <w:pPr>
        <w:spacing w:after="0" w:line="240" w:lineRule="auto"/>
        <w:rPr>
          <w:rFonts w:ascii="Times New Roman" w:hAnsi="Times New Roman" w:cs="Times New Roman"/>
          <w:sz w:val="24"/>
          <w:szCs w:val="24"/>
        </w:rPr>
      </w:pPr>
      <w:r w:rsidRPr="003430DA">
        <w:rPr>
          <w:rFonts w:ascii="Times New Roman" w:hAnsi="Times New Roman" w:cs="Times New Roman"/>
          <w:sz w:val="24"/>
          <w:szCs w:val="24"/>
        </w:rPr>
        <w:t>Table 2:  Selected outcomes by first math course attempted</w:t>
      </w:r>
    </w:p>
    <w:p w14:paraId="3C36ABB1" w14:textId="77777777" w:rsidR="00E22CDE" w:rsidRPr="003430DA" w:rsidRDefault="00E22CDE" w:rsidP="00E22CDE">
      <w:pPr>
        <w:spacing w:after="0" w:line="240" w:lineRule="auto"/>
        <w:rPr>
          <w:rFonts w:ascii="Times New Roman" w:hAnsi="Times New Roman" w:cs="Times New Roman"/>
          <w:sz w:val="24"/>
          <w:szCs w:val="24"/>
        </w:rPr>
      </w:pPr>
    </w:p>
    <w:tbl>
      <w:tblPr>
        <w:tblW w:w="12960" w:type="dxa"/>
        <w:tblCellMar>
          <w:left w:w="115" w:type="dxa"/>
          <w:right w:w="115" w:type="dxa"/>
        </w:tblCellMar>
        <w:tblLook w:val="04A0" w:firstRow="1" w:lastRow="0" w:firstColumn="1" w:lastColumn="0" w:noHBand="0" w:noVBand="1"/>
      </w:tblPr>
      <w:tblGrid>
        <w:gridCol w:w="2685"/>
        <w:gridCol w:w="1468"/>
        <w:gridCol w:w="1816"/>
        <w:gridCol w:w="1816"/>
        <w:gridCol w:w="1816"/>
        <w:gridCol w:w="1816"/>
        <w:gridCol w:w="1543"/>
      </w:tblGrid>
      <w:tr w:rsidR="00366C67" w:rsidRPr="00281BFF" w14:paraId="643A8D5A" w14:textId="77777777" w:rsidTr="00366C67">
        <w:trPr>
          <w:trHeight w:val="255"/>
        </w:trPr>
        <w:tc>
          <w:tcPr>
            <w:tcW w:w="2304" w:type="dxa"/>
            <w:tcBorders>
              <w:top w:val="single" w:sz="4" w:space="0" w:color="auto"/>
              <w:left w:val="nil"/>
              <w:right w:val="nil"/>
            </w:tcBorders>
            <w:shd w:val="clear" w:color="auto" w:fill="auto"/>
            <w:noWrap/>
            <w:vAlign w:val="bottom"/>
          </w:tcPr>
          <w:p w14:paraId="061698EC" w14:textId="77777777" w:rsidR="00366C67" w:rsidRPr="00281BFF" w:rsidRDefault="00366C67" w:rsidP="00111CDF">
            <w:pPr>
              <w:spacing w:after="0" w:line="240" w:lineRule="auto"/>
              <w:jc w:val="right"/>
              <w:rPr>
                <w:rFonts w:ascii="Times New Roman" w:eastAsia="Times New Roman" w:hAnsi="Times New Roman" w:cs="Times New Roman"/>
                <w:color w:val="000000"/>
                <w:sz w:val="20"/>
                <w:szCs w:val="20"/>
              </w:rPr>
            </w:pPr>
          </w:p>
        </w:tc>
        <w:tc>
          <w:tcPr>
            <w:tcW w:w="1260" w:type="dxa"/>
            <w:tcBorders>
              <w:top w:val="single" w:sz="4" w:space="0" w:color="auto"/>
              <w:left w:val="nil"/>
              <w:right w:val="nil"/>
            </w:tcBorders>
          </w:tcPr>
          <w:p w14:paraId="09091A48" w14:textId="77777777" w:rsidR="00366C67" w:rsidRPr="00281BFF" w:rsidRDefault="00366C67" w:rsidP="00111CDF">
            <w:pPr>
              <w:spacing w:after="0" w:line="240" w:lineRule="auto"/>
              <w:jc w:val="center"/>
              <w:rPr>
                <w:rFonts w:ascii="Times New Roman" w:eastAsia="Times New Roman" w:hAnsi="Times New Roman" w:cs="Times New Roman"/>
                <w:color w:val="000000"/>
                <w:sz w:val="20"/>
                <w:szCs w:val="20"/>
              </w:rPr>
            </w:pPr>
          </w:p>
        </w:tc>
        <w:tc>
          <w:tcPr>
            <w:tcW w:w="1559" w:type="dxa"/>
            <w:tcBorders>
              <w:top w:val="single" w:sz="4" w:space="0" w:color="auto"/>
              <w:left w:val="nil"/>
              <w:right w:val="nil"/>
            </w:tcBorders>
            <w:shd w:val="clear" w:color="auto" w:fill="auto"/>
            <w:noWrap/>
            <w:vAlign w:val="bottom"/>
          </w:tcPr>
          <w:p w14:paraId="2BF5447E" w14:textId="3A772D14" w:rsidR="00366C67" w:rsidRPr="00281BFF" w:rsidRDefault="00366C67" w:rsidP="00111CDF">
            <w:pPr>
              <w:spacing w:after="0" w:line="240" w:lineRule="auto"/>
              <w:jc w:val="center"/>
              <w:rPr>
                <w:rFonts w:ascii="Times New Roman" w:eastAsia="Times New Roman" w:hAnsi="Times New Roman" w:cs="Times New Roman"/>
                <w:color w:val="000000"/>
                <w:sz w:val="20"/>
                <w:szCs w:val="20"/>
              </w:rPr>
            </w:pPr>
          </w:p>
        </w:tc>
        <w:tc>
          <w:tcPr>
            <w:tcW w:w="3118" w:type="dxa"/>
            <w:gridSpan w:val="2"/>
            <w:tcBorders>
              <w:top w:val="single" w:sz="4" w:space="0" w:color="auto"/>
              <w:left w:val="nil"/>
              <w:bottom w:val="single" w:sz="4" w:space="0" w:color="auto"/>
              <w:right w:val="nil"/>
            </w:tcBorders>
            <w:shd w:val="clear" w:color="auto" w:fill="auto"/>
            <w:noWrap/>
            <w:vAlign w:val="bottom"/>
          </w:tcPr>
          <w:p w14:paraId="7B51566F" w14:textId="77777777" w:rsidR="00366C67" w:rsidRPr="00281BFF" w:rsidRDefault="00366C67" w:rsidP="00111CDF">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 demonstrated associate-level quantitative competency</w:t>
            </w:r>
          </w:p>
        </w:tc>
        <w:tc>
          <w:tcPr>
            <w:tcW w:w="1559" w:type="dxa"/>
            <w:tcBorders>
              <w:top w:val="single" w:sz="4" w:space="0" w:color="auto"/>
              <w:left w:val="nil"/>
              <w:right w:val="nil"/>
            </w:tcBorders>
            <w:shd w:val="clear" w:color="auto" w:fill="auto"/>
            <w:noWrap/>
            <w:vAlign w:val="bottom"/>
          </w:tcPr>
          <w:p w14:paraId="7A6DD728" w14:textId="77777777" w:rsidR="00366C67" w:rsidRPr="00281BFF" w:rsidRDefault="00366C67" w:rsidP="00111CDF">
            <w:pPr>
              <w:spacing w:after="0" w:line="240" w:lineRule="auto"/>
              <w:jc w:val="center"/>
              <w:rPr>
                <w:rFonts w:ascii="Times New Roman" w:eastAsia="Times New Roman" w:hAnsi="Times New Roman" w:cs="Times New Roman"/>
                <w:color w:val="000000"/>
                <w:sz w:val="20"/>
                <w:szCs w:val="20"/>
              </w:rPr>
            </w:pPr>
          </w:p>
        </w:tc>
        <w:tc>
          <w:tcPr>
            <w:tcW w:w="1324" w:type="dxa"/>
            <w:tcBorders>
              <w:top w:val="single" w:sz="4" w:space="0" w:color="auto"/>
              <w:left w:val="nil"/>
              <w:right w:val="nil"/>
            </w:tcBorders>
            <w:vAlign w:val="bottom"/>
          </w:tcPr>
          <w:p w14:paraId="62E41D07" w14:textId="77777777" w:rsidR="00366C67" w:rsidRPr="00281BFF" w:rsidRDefault="00366C67" w:rsidP="00111CDF">
            <w:pPr>
              <w:spacing w:after="0" w:line="240" w:lineRule="auto"/>
              <w:jc w:val="center"/>
              <w:rPr>
                <w:rFonts w:ascii="Times New Roman" w:eastAsia="Times New Roman" w:hAnsi="Times New Roman" w:cs="Times New Roman"/>
                <w:color w:val="000000"/>
                <w:sz w:val="20"/>
                <w:szCs w:val="20"/>
              </w:rPr>
            </w:pPr>
          </w:p>
        </w:tc>
      </w:tr>
      <w:tr w:rsidR="00366C67" w:rsidRPr="00281BFF" w14:paraId="704AE064" w14:textId="77777777" w:rsidTr="00366C67">
        <w:trPr>
          <w:trHeight w:val="255"/>
        </w:trPr>
        <w:tc>
          <w:tcPr>
            <w:tcW w:w="2304" w:type="dxa"/>
            <w:tcBorders>
              <w:left w:val="nil"/>
              <w:bottom w:val="nil"/>
              <w:right w:val="nil"/>
            </w:tcBorders>
            <w:shd w:val="clear" w:color="auto" w:fill="auto"/>
            <w:noWrap/>
            <w:vAlign w:val="bottom"/>
          </w:tcPr>
          <w:p w14:paraId="7E14CF15" w14:textId="77777777" w:rsidR="00366C67" w:rsidRPr="00281BFF" w:rsidRDefault="00366C67" w:rsidP="00F02E91">
            <w:pPr>
              <w:spacing w:after="0" w:line="240" w:lineRule="auto"/>
              <w:jc w:val="right"/>
              <w:rPr>
                <w:rFonts w:ascii="Times New Roman" w:eastAsia="Times New Roman" w:hAnsi="Times New Roman" w:cs="Times New Roman"/>
                <w:color w:val="000000"/>
                <w:sz w:val="20"/>
                <w:szCs w:val="20"/>
              </w:rPr>
            </w:pPr>
          </w:p>
        </w:tc>
        <w:tc>
          <w:tcPr>
            <w:tcW w:w="1260" w:type="dxa"/>
            <w:tcBorders>
              <w:left w:val="nil"/>
              <w:bottom w:val="nil"/>
              <w:right w:val="nil"/>
            </w:tcBorders>
            <w:vAlign w:val="bottom"/>
          </w:tcPr>
          <w:p w14:paraId="25B849D8" w14:textId="4023F769" w:rsidR="00366C67" w:rsidRPr="00281BFF" w:rsidRDefault="00366C67" w:rsidP="00F02E91">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i/>
                <w:color w:val="000000"/>
                <w:sz w:val="20"/>
                <w:szCs w:val="20"/>
              </w:rPr>
              <w:t>N</w:t>
            </w:r>
          </w:p>
        </w:tc>
        <w:tc>
          <w:tcPr>
            <w:tcW w:w="1559" w:type="dxa"/>
            <w:tcBorders>
              <w:left w:val="nil"/>
              <w:bottom w:val="nil"/>
              <w:right w:val="nil"/>
            </w:tcBorders>
            <w:shd w:val="clear" w:color="auto" w:fill="auto"/>
            <w:noWrap/>
            <w:vAlign w:val="bottom"/>
          </w:tcPr>
          <w:p w14:paraId="7F59499E" w14:textId="3D41F09B" w:rsidR="00366C67" w:rsidRPr="00281BFF" w:rsidRDefault="00366C67" w:rsidP="00F02E91">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 did not demonstrate quantitative competency</w:t>
            </w:r>
          </w:p>
        </w:tc>
        <w:tc>
          <w:tcPr>
            <w:tcW w:w="1559" w:type="dxa"/>
            <w:tcBorders>
              <w:top w:val="single" w:sz="4" w:space="0" w:color="auto"/>
              <w:left w:val="nil"/>
              <w:bottom w:val="nil"/>
              <w:right w:val="nil"/>
            </w:tcBorders>
            <w:shd w:val="clear" w:color="auto" w:fill="auto"/>
            <w:noWrap/>
            <w:vAlign w:val="bottom"/>
          </w:tcPr>
          <w:p w14:paraId="1F6A2F4E" w14:textId="77777777" w:rsidR="00366C67" w:rsidRPr="00281BFF" w:rsidRDefault="00366C67" w:rsidP="00F02E91">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by completing a qualifying non-math course</w:t>
            </w:r>
          </w:p>
        </w:tc>
        <w:tc>
          <w:tcPr>
            <w:tcW w:w="1559" w:type="dxa"/>
            <w:tcBorders>
              <w:top w:val="single" w:sz="4" w:space="0" w:color="auto"/>
              <w:left w:val="nil"/>
              <w:bottom w:val="nil"/>
              <w:right w:val="nil"/>
            </w:tcBorders>
            <w:shd w:val="clear" w:color="auto" w:fill="auto"/>
            <w:noWrap/>
            <w:vAlign w:val="bottom"/>
          </w:tcPr>
          <w:p w14:paraId="47A59562" w14:textId="77777777" w:rsidR="00366C67" w:rsidRPr="00281BFF" w:rsidRDefault="00366C67" w:rsidP="00F02E91">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by completing a qualifying math course</w:t>
            </w:r>
          </w:p>
        </w:tc>
        <w:tc>
          <w:tcPr>
            <w:tcW w:w="1559" w:type="dxa"/>
            <w:tcBorders>
              <w:left w:val="nil"/>
              <w:bottom w:val="nil"/>
              <w:right w:val="nil"/>
            </w:tcBorders>
            <w:shd w:val="clear" w:color="auto" w:fill="auto"/>
            <w:noWrap/>
            <w:vAlign w:val="bottom"/>
          </w:tcPr>
          <w:p w14:paraId="3660A678" w14:textId="77777777" w:rsidR="00366C67" w:rsidRPr="00281BFF" w:rsidRDefault="00366C67" w:rsidP="00F02E91">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 demonstrated transfer-level quantitative competency</w:t>
            </w:r>
          </w:p>
        </w:tc>
        <w:tc>
          <w:tcPr>
            <w:tcW w:w="1324" w:type="dxa"/>
            <w:tcBorders>
              <w:left w:val="nil"/>
              <w:bottom w:val="nil"/>
              <w:right w:val="nil"/>
            </w:tcBorders>
            <w:vAlign w:val="bottom"/>
          </w:tcPr>
          <w:p w14:paraId="34DF2994" w14:textId="77777777" w:rsidR="00366C67" w:rsidRPr="00281BFF" w:rsidRDefault="00366C67" w:rsidP="00F02E91">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Total</w:t>
            </w:r>
          </w:p>
        </w:tc>
      </w:tr>
      <w:tr w:rsidR="00366C67" w:rsidRPr="00281BFF" w14:paraId="35D17EF1" w14:textId="77777777" w:rsidTr="00366C67">
        <w:trPr>
          <w:trHeight w:val="255"/>
        </w:trPr>
        <w:tc>
          <w:tcPr>
            <w:tcW w:w="2304" w:type="dxa"/>
            <w:tcBorders>
              <w:top w:val="nil"/>
              <w:left w:val="nil"/>
              <w:right w:val="nil"/>
            </w:tcBorders>
            <w:shd w:val="clear" w:color="auto" w:fill="auto"/>
            <w:noWrap/>
            <w:vAlign w:val="bottom"/>
          </w:tcPr>
          <w:p w14:paraId="041F1D95" w14:textId="77777777" w:rsidR="00366C67" w:rsidRPr="00281BFF" w:rsidRDefault="00366C67" w:rsidP="00F02E91">
            <w:pPr>
              <w:spacing w:after="0" w:line="240" w:lineRule="auto"/>
              <w:jc w:val="right"/>
              <w:rPr>
                <w:rFonts w:ascii="Times New Roman" w:eastAsia="Times New Roman" w:hAnsi="Times New Roman" w:cs="Times New Roman"/>
                <w:color w:val="000000"/>
                <w:sz w:val="20"/>
                <w:szCs w:val="20"/>
              </w:rPr>
            </w:pPr>
          </w:p>
        </w:tc>
        <w:tc>
          <w:tcPr>
            <w:tcW w:w="1260" w:type="dxa"/>
            <w:tcBorders>
              <w:top w:val="single" w:sz="4" w:space="0" w:color="auto"/>
              <w:left w:val="nil"/>
              <w:right w:val="nil"/>
            </w:tcBorders>
            <w:vAlign w:val="bottom"/>
          </w:tcPr>
          <w:p w14:paraId="38BE9134" w14:textId="77777777" w:rsidR="00366C67" w:rsidRPr="00281BFF" w:rsidRDefault="00366C67">
            <w:pPr>
              <w:tabs>
                <w:tab w:val="decimal" w:pos="695"/>
              </w:tabs>
              <w:spacing w:after="0" w:line="240" w:lineRule="auto"/>
              <w:rPr>
                <w:rFonts w:ascii="Times New Roman" w:eastAsia="Times New Roman" w:hAnsi="Times New Roman" w:cs="Times New Roman"/>
                <w:color w:val="000000"/>
                <w:sz w:val="20"/>
                <w:szCs w:val="20"/>
              </w:rPr>
            </w:pPr>
          </w:p>
        </w:tc>
        <w:tc>
          <w:tcPr>
            <w:tcW w:w="1559" w:type="dxa"/>
            <w:tcBorders>
              <w:top w:val="single" w:sz="4" w:space="0" w:color="auto"/>
              <w:left w:val="nil"/>
              <w:right w:val="nil"/>
            </w:tcBorders>
            <w:shd w:val="clear" w:color="auto" w:fill="auto"/>
            <w:noWrap/>
            <w:vAlign w:val="bottom"/>
          </w:tcPr>
          <w:p w14:paraId="01D55AF3" w14:textId="77777777" w:rsidR="00366C67" w:rsidRPr="00281BFF" w:rsidRDefault="00366C67">
            <w:pPr>
              <w:tabs>
                <w:tab w:val="decimal" w:pos="695"/>
              </w:tabs>
              <w:spacing w:after="0" w:line="240" w:lineRule="auto"/>
              <w:rPr>
                <w:rFonts w:ascii="Times New Roman" w:eastAsia="Times New Roman" w:hAnsi="Times New Roman" w:cs="Times New Roman"/>
                <w:color w:val="000000"/>
                <w:sz w:val="20"/>
                <w:szCs w:val="20"/>
              </w:rPr>
            </w:pPr>
          </w:p>
        </w:tc>
        <w:tc>
          <w:tcPr>
            <w:tcW w:w="1559" w:type="dxa"/>
            <w:tcBorders>
              <w:top w:val="single" w:sz="4" w:space="0" w:color="auto"/>
              <w:left w:val="nil"/>
              <w:right w:val="nil"/>
            </w:tcBorders>
            <w:shd w:val="clear" w:color="auto" w:fill="auto"/>
            <w:noWrap/>
            <w:vAlign w:val="bottom"/>
          </w:tcPr>
          <w:p w14:paraId="710ED4B2" w14:textId="77777777" w:rsidR="00366C67" w:rsidRPr="00281BFF" w:rsidRDefault="00366C67">
            <w:pPr>
              <w:tabs>
                <w:tab w:val="decimal" w:pos="695"/>
              </w:tabs>
              <w:spacing w:after="0" w:line="240" w:lineRule="auto"/>
              <w:rPr>
                <w:rFonts w:ascii="Times New Roman" w:eastAsia="Times New Roman" w:hAnsi="Times New Roman" w:cs="Times New Roman"/>
                <w:color w:val="000000"/>
                <w:sz w:val="20"/>
                <w:szCs w:val="20"/>
              </w:rPr>
            </w:pPr>
          </w:p>
        </w:tc>
        <w:tc>
          <w:tcPr>
            <w:tcW w:w="1559" w:type="dxa"/>
            <w:tcBorders>
              <w:top w:val="single" w:sz="4" w:space="0" w:color="auto"/>
              <w:left w:val="nil"/>
              <w:right w:val="nil"/>
            </w:tcBorders>
            <w:shd w:val="clear" w:color="auto" w:fill="auto"/>
            <w:noWrap/>
            <w:vAlign w:val="bottom"/>
          </w:tcPr>
          <w:p w14:paraId="6102A840" w14:textId="77777777" w:rsidR="00366C67" w:rsidRPr="00281BFF" w:rsidRDefault="00366C67">
            <w:pPr>
              <w:tabs>
                <w:tab w:val="decimal" w:pos="695"/>
              </w:tabs>
              <w:spacing w:after="0" w:line="240" w:lineRule="auto"/>
              <w:rPr>
                <w:rFonts w:ascii="Times New Roman" w:eastAsia="Times New Roman" w:hAnsi="Times New Roman" w:cs="Times New Roman"/>
                <w:color w:val="000000"/>
                <w:sz w:val="20"/>
                <w:szCs w:val="20"/>
              </w:rPr>
            </w:pPr>
          </w:p>
        </w:tc>
        <w:tc>
          <w:tcPr>
            <w:tcW w:w="1559" w:type="dxa"/>
            <w:tcBorders>
              <w:top w:val="single" w:sz="4" w:space="0" w:color="auto"/>
              <w:left w:val="nil"/>
              <w:right w:val="nil"/>
            </w:tcBorders>
            <w:shd w:val="clear" w:color="auto" w:fill="auto"/>
            <w:noWrap/>
            <w:vAlign w:val="bottom"/>
          </w:tcPr>
          <w:p w14:paraId="3DFD8C45" w14:textId="77777777" w:rsidR="00366C67" w:rsidRPr="00281BFF" w:rsidRDefault="00366C67">
            <w:pPr>
              <w:tabs>
                <w:tab w:val="decimal" w:pos="695"/>
              </w:tabs>
              <w:spacing w:after="0" w:line="240" w:lineRule="auto"/>
              <w:rPr>
                <w:rFonts w:ascii="Times New Roman" w:eastAsia="Times New Roman" w:hAnsi="Times New Roman" w:cs="Times New Roman"/>
                <w:color w:val="000000"/>
                <w:sz w:val="20"/>
                <w:szCs w:val="20"/>
              </w:rPr>
            </w:pPr>
          </w:p>
        </w:tc>
        <w:tc>
          <w:tcPr>
            <w:tcW w:w="1324" w:type="dxa"/>
            <w:tcBorders>
              <w:top w:val="single" w:sz="4" w:space="0" w:color="auto"/>
              <w:left w:val="nil"/>
              <w:right w:val="nil"/>
            </w:tcBorders>
            <w:vAlign w:val="bottom"/>
          </w:tcPr>
          <w:p w14:paraId="42FB17EC" w14:textId="77777777" w:rsidR="00366C67" w:rsidRPr="00281BFF" w:rsidRDefault="00366C67" w:rsidP="00F02E91">
            <w:pPr>
              <w:spacing w:after="0" w:line="240" w:lineRule="auto"/>
              <w:jc w:val="center"/>
              <w:rPr>
                <w:rFonts w:ascii="Times New Roman" w:eastAsia="Times New Roman" w:hAnsi="Times New Roman" w:cs="Times New Roman"/>
                <w:color w:val="000000"/>
                <w:sz w:val="20"/>
                <w:szCs w:val="20"/>
              </w:rPr>
            </w:pPr>
          </w:p>
        </w:tc>
      </w:tr>
      <w:tr w:rsidR="00366C67" w:rsidRPr="00281BFF" w14:paraId="43A0A8E2" w14:textId="77777777" w:rsidTr="00366C67">
        <w:trPr>
          <w:trHeight w:val="255"/>
        </w:trPr>
        <w:tc>
          <w:tcPr>
            <w:tcW w:w="2304" w:type="dxa"/>
            <w:tcBorders>
              <w:left w:val="nil"/>
              <w:bottom w:val="nil"/>
              <w:right w:val="nil"/>
            </w:tcBorders>
            <w:shd w:val="clear" w:color="auto" w:fill="auto"/>
            <w:noWrap/>
            <w:vAlign w:val="bottom"/>
            <w:hideMark/>
          </w:tcPr>
          <w:p w14:paraId="29265579" w14:textId="77777777" w:rsidR="00366C67" w:rsidRPr="00281BFF" w:rsidRDefault="00366C67" w:rsidP="00241CA0">
            <w:pPr>
              <w:spacing w:after="0" w:line="240" w:lineRule="auto"/>
              <w:jc w:val="right"/>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ACDV B72</w:t>
            </w:r>
          </w:p>
        </w:tc>
        <w:tc>
          <w:tcPr>
            <w:tcW w:w="1260" w:type="dxa"/>
            <w:tcBorders>
              <w:left w:val="nil"/>
              <w:bottom w:val="nil"/>
              <w:right w:val="nil"/>
            </w:tcBorders>
            <w:vAlign w:val="bottom"/>
          </w:tcPr>
          <w:p w14:paraId="51138C66" w14:textId="67F06E56"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1,070</w:t>
            </w:r>
          </w:p>
        </w:tc>
        <w:tc>
          <w:tcPr>
            <w:tcW w:w="1559" w:type="dxa"/>
            <w:tcBorders>
              <w:left w:val="nil"/>
              <w:bottom w:val="nil"/>
              <w:right w:val="nil"/>
            </w:tcBorders>
            <w:shd w:val="clear" w:color="auto" w:fill="auto"/>
            <w:noWrap/>
            <w:vAlign w:val="bottom"/>
            <w:hideMark/>
          </w:tcPr>
          <w:p w14:paraId="3EA9C173" w14:textId="0DC5C870"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85%</w:t>
            </w:r>
          </w:p>
        </w:tc>
        <w:tc>
          <w:tcPr>
            <w:tcW w:w="1559" w:type="dxa"/>
            <w:tcBorders>
              <w:left w:val="nil"/>
              <w:bottom w:val="nil"/>
              <w:right w:val="nil"/>
            </w:tcBorders>
            <w:shd w:val="clear" w:color="auto" w:fill="auto"/>
            <w:noWrap/>
            <w:vAlign w:val="bottom"/>
            <w:hideMark/>
          </w:tcPr>
          <w:p w14:paraId="116F1EFD" w14:textId="77A73971"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4%</w:t>
            </w:r>
          </w:p>
        </w:tc>
        <w:tc>
          <w:tcPr>
            <w:tcW w:w="1559" w:type="dxa"/>
            <w:tcBorders>
              <w:left w:val="nil"/>
              <w:bottom w:val="nil"/>
              <w:right w:val="nil"/>
            </w:tcBorders>
            <w:shd w:val="clear" w:color="auto" w:fill="auto"/>
            <w:noWrap/>
            <w:vAlign w:val="bottom"/>
            <w:hideMark/>
          </w:tcPr>
          <w:p w14:paraId="6F048AF3" w14:textId="65538C33"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8%</w:t>
            </w:r>
          </w:p>
        </w:tc>
        <w:tc>
          <w:tcPr>
            <w:tcW w:w="1559" w:type="dxa"/>
            <w:tcBorders>
              <w:left w:val="nil"/>
              <w:bottom w:val="nil"/>
              <w:right w:val="nil"/>
            </w:tcBorders>
            <w:shd w:val="clear" w:color="auto" w:fill="auto"/>
            <w:noWrap/>
            <w:vAlign w:val="bottom"/>
            <w:hideMark/>
          </w:tcPr>
          <w:p w14:paraId="1C539194" w14:textId="51366CF3"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3%</w:t>
            </w:r>
          </w:p>
        </w:tc>
        <w:tc>
          <w:tcPr>
            <w:tcW w:w="1324" w:type="dxa"/>
            <w:tcBorders>
              <w:left w:val="nil"/>
              <w:bottom w:val="nil"/>
              <w:right w:val="nil"/>
            </w:tcBorders>
            <w:vAlign w:val="bottom"/>
          </w:tcPr>
          <w:p w14:paraId="4D0493A3" w14:textId="77777777" w:rsidR="00366C67" w:rsidRPr="00281BFF" w:rsidRDefault="00366C67" w:rsidP="00241CA0">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100%</w:t>
            </w:r>
          </w:p>
        </w:tc>
      </w:tr>
      <w:tr w:rsidR="00366C67" w:rsidRPr="00281BFF" w14:paraId="3368F28D" w14:textId="77777777" w:rsidTr="00366C67">
        <w:trPr>
          <w:trHeight w:val="255"/>
        </w:trPr>
        <w:tc>
          <w:tcPr>
            <w:tcW w:w="2304" w:type="dxa"/>
            <w:tcBorders>
              <w:top w:val="nil"/>
              <w:left w:val="nil"/>
              <w:bottom w:val="nil"/>
              <w:right w:val="nil"/>
            </w:tcBorders>
            <w:shd w:val="clear" w:color="auto" w:fill="auto"/>
            <w:noWrap/>
            <w:vAlign w:val="bottom"/>
            <w:hideMark/>
          </w:tcPr>
          <w:p w14:paraId="78F50168" w14:textId="77777777" w:rsidR="00366C67" w:rsidRPr="00281BFF" w:rsidRDefault="00366C67" w:rsidP="00241CA0">
            <w:pPr>
              <w:spacing w:after="0" w:line="240" w:lineRule="auto"/>
              <w:jc w:val="right"/>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Math B60</w:t>
            </w:r>
          </w:p>
        </w:tc>
        <w:tc>
          <w:tcPr>
            <w:tcW w:w="1260" w:type="dxa"/>
            <w:tcBorders>
              <w:top w:val="nil"/>
              <w:left w:val="nil"/>
              <w:bottom w:val="nil"/>
              <w:right w:val="nil"/>
            </w:tcBorders>
            <w:vAlign w:val="bottom"/>
          </w:tcPr>
          <w:p w14:paraId="2EAF2BC4" w14:textId="2FFE79C0"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1,435</w:t>
            </w:r>
          </w:p>
        </w:tc>
        <w:tc>
          <w:tcPr>
            <w:tcW w:w="1559" w:type="dxa"/>
            <w:tcBorders>
              <w:top w:val="nil"/>
              <w:left w:val="nil"/>
              <w:bottom w:val="nil"/>
              <w:right w:val="nil"/>
            </w:tcBorders>
            <w:shd w:val="clear" w:color="auto" w:fill="auto"/>
            <w:noWrap/>
            <w:vAlign w:val="bottom"/>
            <w:hideMark/>
          </w:tcPr>
          <w:p w14:paraId="6A43F3E1" w14:textId="50917B90"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60%</w:t>
            </w:r>
          </w:p>
        </w:tc>
        <w:tc>
          <w:tcPr>
            <w:tcW w:w="1559" w:type="dxa"/>
            <w:tcBorders>
              <w:top w:val="nil"/>
              <w:left w:val="nil"/>
              <w:bottom w:val="nil"/>
              <w:right w:val="nil"/>
            </w:tcBorders>
            <w:shd w:val="clear" w:color="auto" w:fill="auto"/>
            <w:noWrap/>
            <w:vAlign w:val="bottom"/>
            <w:hideMark/>
          </w:tcPr>
          <w:p w14:paraId="4BEFFDBE" w14:textId="783E21B8"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5%</w:t>
            </w:r>
          </w:p>
        </w:tc>
        <w:tc>
          <w:tcPr>
            <w:tcW w:w="1559" w:type="dxa"/>
            <w:tcBorders>
              <w:top w:val="nil"/>
              <w:left w:val="nil"/>
              <w:bottom w:val="nil"/>
              <w:right w:val="nil"/>
            </w:tcBorders>
            <w:shd w:val="clear" w:color="auto" w:fill="auto"/>
            <w:noWrap/>
            <w:vAlign w:val="bottom"/>
            <w:hideMark/>
          </w:tcPr>
          <w:p w14:paraId="50E6374B" w14:textId="02A08AF4"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23%</w:t>
            </w:r>
          </w:p>
        </w:tc>
        <w:tc>
          <w:tcPr>
            <w:tcW w:w="1559" w:type="dxa"/>
            <w:tcBorders>
              <w:top w:val="nil"/>
              <w:left w:val="nil"/>
              <w:bottom w:val="nil"/>
              <w:right w:val="nil"/>
            </w:tcBorders>
            <w:shd w:val="clear" w:color="auto" w:fill="auto"/>
            <w:noWrap/>
            <w:vAlign w:val="bottom"/>
            <w:hideMark/>
          </w:tcPr>
          <w:p w14:paraId="2AE406D9" w14:textId="63FF76E6"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13%</w:t>
            </w:r>
          </w:p>
        </w:tc>
        <w:tc>
          <w:tcPr>
            <w:tcW w:w="1324" w:type="dxa"/>
            <w:tcBorders>
              <w:top w:val="nil"/>
              <w:left w:val="nil"/>
              <w:bottom w:val="nil"/>
              <w:right w:val="nil"/>
            </w:tcBorders>
            <w:vAlign w:val="bottom"/>
          </w:tcPr>
          <w:p w14:paraId="08E77B11" w14:textId="77777777" w:rsidR="00366C67" w:rsidRPr="00281BFF" w:rsidRDefault="00366C67" w:rsidP="00241CA0">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100%</w:t>
            </w:r>
          </w:p>
        </w:tc>
      </w:tr>
      <w:tr w:rsidR="00366C67" w:rsidRPr="00281BFF" w14:paraId="4CE044B8" w14:textId="77777777" w:rsidTr="00366C67">
        <w:trPr>
          <w:trHeight w:val="255"/>
        </w:trPr>
        <w:tc>
          <w:tcPr>
            <w:tcW w:w="2304" w:type="dxa"/>
            <w:tcBorders>
              <w:top w:val="nil"/>
              <w:left w:val="nil"/>
              <w:bottom w:val="nil"/>
              <w:right w:val="nil"/>
            </w:tcBorders>
            <w:shd w:val="clear" w:color="auto" w:fill="auto"/>
            <w:noWrap/>
            <w:vAlign w:val="bottom"/>
            <w:hideMark/>
          </w:tcPr>
          <w:p w14:paraId="634FBB4F" w14:textId="77777777" w:rsidR="00366C67" w:rsidRPr="00281BFF" w:rsidRDefault="00366C67" w:rsidP="00241CA0">
            <w:pPr>
              <w:spacing w:after="0" w:line="240" w:lineRule="auto"/>
              <w:jc w:val="right"/>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Math B65</w:t>
            </w:r>
          </w:p>
        </w:tc>
        <w:tc>
          <w:tcPr>
            <w:tcW w:w="1260" w:type="dxa"/>
            <w:tcBorders>
              <w:top w:val="nil"/>
              <w:left w:val="nil"/>
              <w:bottom w:val="nil"/>
              <w:right w:val="nil"/>
            </w:tcBorders>
            <w:vAlign w:val="bottom"/>
          </w:tcPr>
          <w:p w14:paraId="4C1A7B91" w14:textId="5A81419A"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146</w:t>
            </w:r>
          </w:p>
        </w:tc>
        <w:tc>
          <w:tcPr>
            <w:tcW w:w="1559" w:type="dxa"/>
            <w:tcBorders>
              <w:top w:val="nil"/>
              <w:left w:val="nil"/>
              <w:bottom w:val="nil"/>
              <w:right w:val="nil"/>
            </w:tcBorders>
            <w:shd w:val="clear" w:color="auto" w:fill="auto"/>
            <w:noWrap/>
            <w:vAlign w:val="bottom"/>
            <w:hideMark/>
          </w:tcPr>
          <w:p w14:paraId="04D1A769" w14:textId="2BBE9EF1"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69%</w:t>
            </w:r>
          </w:p>
        </w:tc>
        <w:tc>
          <w:tcPr>
            <w:tcW w:w="1559" w:type="dxa"/>
            <w:tcBorders>
              <w:top w:val="nil"/>
              <w:left w:val="nil"/>
              <w:bottom w:val="nil"/>
              <w:right w:val="nil"/>
            </w:tcBorders>
            <w:shd w:val="clear" w:color="auto" w:fill="auto"/>
            <w:noWrap/>
            <w:vAlign w:val="bottom"/>
            <w:hideMark/>
          </w:tcPr>
          <w:p w14:paraId="7A101539" w14:textId="4AE44FE7"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8%</w:t>
            </w:r>
          </w:p>
        </w:tc>
        <w:tc>
          <w:tcPr>
            <w:tcW w:w="1559" w:type="dxa"/>
            <w:tcBorders>
              <w:top w:val="nil"/>
              <w:left w:val="nil"/>
              <w:bottom w:val="nil"/>
              <w:right w:val="nil"/>
            </w:tcBorders>
            <w:shd w:val="clear" w:color="auto" w:fill="auto"/>
            <w:noWrap/>
            <w:vAlign w:val="bottom"/>
            <w:hideMark/>
          </w:tcPr>
          <w:p w14:paraId="560B20BE" w14:textId="33DA2E48"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1%</w:t>
            </w:r>
          </w:p>
        </w:tc>
        <w:tc>
          <w:tcPr>
            <w:tcW w:w="1559" w:type="dxa"/>
            <w:tcBorders>
              <w:top w:val="nil"/>
              <w:left w:val="nil"/>
              <w:bottom w:val="nil"/>
              <w:right w:val="nil"/>
            </w:tcBorders>
            <w:shd w:val="clear" w:color="auto" w:fill="auto"/>
            <w:noWrap/>
            <w:vAlign w:val="bottom"/>
            <w:hideMark/>
          </w:tcPr>
          <w:p w14:paraId="03F40EBD" w14:textId="542E4012"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22%</w:t>
            </w:r>
          </w:p>
        </w:tc>
        <w:tc>
          <w:tcPr>
            <w:tcW w:w="1324" w:type="dxa"/>
            <w:tcBorders>
              <w:top w:val="nil"/>
              <w:left w:val="nil"/>
              <w:bottom w:val="nil"/>
              <w:right w:val="nil"/>
            </w:tcBorders>
            <w:vAlign w:val="bottom"/>
          </w:tcPr>
          <w:p w14:paraId="44E629D9" w14:textId="77777777" w:rsidR="00366C67" w:rsidRPr="00281BFF" w:rsidRDefault="00366C67" w:rsidP="00241CA0">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100%</w:t>
            </w:r>
          </w:p>
        </w:tc>
      </w:tr>
      <w:tr w:rsidR="00366C67" w:rsidRPr="00281BFF" w14:paraId="300F04C4" w14:textId="77777777" w:rsidTr="00366C67">
        <w:trPr>
          <w:trHeight w:val="255"/>
        </w:trPr>
        <w:tc>
          <w:tcPr>
            <w:tcW w:w="2304" w:type="dxa"/>
            <w:tcBorders>
              <w:top w:val="nil"/>
              <w:left w:val="nil"/>
              <w:bottom w:val="nil"/>
              <w:right w:val="nil"/>
            </w:tcBorders>
            <w:shd w:val="clear" w:color="auto" w:fill="auto"/>
            <w:noWrap/>
            <w:vAlign w:val="bottom"/>
            <w:hideMark/>
          </w:tcPr>
          <w:p w14:paraId="250D7564" w14:textId="3C9E89D7" w:rsidR="00366C67" w:rsidRPr="00281BFF" w:rsidRDefault="00366C67" w:rsidP="00241CA0">
            <w:pPr>
              <w:spacing w:after="0" w:line="240" w:lineRule="auto"/>
              <w:jc w:val="right"/>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LRNC B530 (Math B60)</w:t>
            </w:r>
          </w:p>
        </w:tc>
        <w:tc>
          <w:tcPr>
            <w:tcW w:w="1260" w:type="dxa"/>
            <w:tcBorders>
              <w:top w:val="nil"/>
              <w:left w:val="nil"/>
              <w:bottom w:val="nil"/>
              <w:right w:val="nil"/>
            </w:tcBorders>
            <w:vAlign w:val="bottom"/>
          </w:tcPr>
          <w:p w14:paraId="2A843929" w14:textId="0D5CCA0F"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68</w:t>
            </w:r>
          </w:p>
        </w:tc>
        <w:tc>
          <w:tcPr>
            <w:tcW w:w="1559" w:type="dxa"/>
            <w:tcBorders>
              <w:top w:val="nil"/>
              <w:left w:val="nil"/>
              <w:bottom w:val="nil"/>
              <w:right w:val="nil"/>
            </w:tcBorders>
            <w:shd w:val="clear" w:color="auto" w:fill="auto"/>
            <w:noWrap/>
            <w:vAlign w:val="bottom"/>
            <w:hideMark/>
          </w:tcPr>
          <w:p w14:paraId="105D50CD" w14:textId="3BC05AEB"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31%</w:t>
            </w:r>
          </w:p>
        </w:tc>
        <w:tc>
          <w:tcPr>
            <w:tcW w:w="1559" w:type="dxa"/>
            <w:tcBorders>
              <w:top w:val="nil"/>
              <w:left w:val="nil"/>
              <w:bottom w:val="nil"/>
              <w:right w:val="nil"/>
            </w:tcBorders>
            <w:shd w:val="clear" w:color="auto" w:fill="auto"/>
            <w:noWrap/>
            <w:vAlign w:val="bottom"/>
            <w:hideMark/>
          </w:tcPr>
          <w:p w14:paraId="66F18949" w14:textId="5D6CCF6C"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6%</w:t>
            </w:r>
          </w:p>
        </w:tc>
        <w:tc>
          <w:tcPr>
            <w:tcW w:w="1559" w:type="dxa"/>
            <w:tcBorders>
              <w:top w:val="nil"/>
              <w:left w:val="nil"/>
              <w:bottom w:val="nil"/>
              <w:right w:val="nil"/>
            </w:tcBorders>
            <w:shd w:val="clear" w:color="auto" w:fill="auto"/>
            <w:noWrap/>
            <w:vAlign w:val="bottom"/>
            <w:hideMark/>
          </w:tcPr>
          <w:p w14:paraId="5B2C93EE" w14:textId="325E4B36"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25%</w:t>
            </w:r>
          </w:p>
        </w:tc>
        <w:tc>
          <w:tcPr>
            <w:tcW w:w="1559" w:type="dxa"/>
            <w:tcBorders>
              <w:top w:val="nil"/>
              <w:left w:val="nil"/>
              <w:bottom w:val="nil"/>
              <w:right w:val="nil"/>
            </w:tcBorders>
            <w:shd w:val="clear" w:color="auto" w:fill="auto"/>
            <w:noWrap/>
            <w:vAlign w:val="bottom"/>
            <w:hideMark/>
          </w:tcPr>
          <w:p w14:paraId="5833E634" w14:textId="66781C73"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38%</w:t>
            </w:r>
          </w:p>
        </w:tc>
        <w:tc>
          <w:tcPr>
            <w:tcW w:w="1324" w:type="dxa"/>
            <w:tcBorders>
              <w:top w:val="nil"/>
              <w:left w:val="nil"/>
              <w:bottom w:val="nil"/>
              <w:right w:val="nil"/>
            </w:tcBorders>
            <w:vAlign w:val="bottom"/>
          </w:tcPr>
          <w:p w14:paraId="5A134370" w14:textId="77777777" w:rsidR="00366C67" w:rsidRPr="00281BFF" w:rsidRDefault="00366C67" w:rsidP="00241CA0">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100%</w:t>
            </w:r>
          </w:p>
        </w:tc>
      </w:tr>
      <w:tr w:rsidR="00366C67" w:rsidRPr="00281BFF" w14:paraId="295D4001" w14:textId="77777777" w:rsidTr="00366C67">
        <w:trPr>
          <w:trHeight w:val="255"/>
        </w:trPr>
        <w:tc>
          <w:tcPr>
            <w:tcW w:w="2304" w:type="dxa"/>
            <w:tcBorders>
              <w:top w:val="nil"/>
              <w:left w:val="nil"/>
              <w:right w:val="nil"/>
            </w:tcBorders>
            <w:shd w:val="clear" w:color="auto" w:fill="auto"/>
            <w:noWrap/>
            <w:vAlign w:val="bottom"/>
            <w:hideMark/>
          </w:tcPr>
          <w:p w14:paraId="0BCA2E79" w14:textId="77777777" w:rsidR="00366C67" w:rsidRPr="00281BFF" w:rsidRDefault="00366C67" w:rsidP="00241CA0">
            <w:pPr>
              <w:spacing w:after="0" w:line="240" w:lineRule="auto"/>
              <w:jc w:val="right"/>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Math B70</w:t>
            </w:r>
          </w:p>
        </w:tc>
        <w:tc>
          <w:tcPr>
            <w:tcW w:w="1260" w:type="dxa"/>
            <w:tcBorders>
              <w:top w:val="nil"/>
              <w:left w:val="nil"/>
              <w:right w:val="nil"/>
            </w:tcBorders>
            <w:vAlign w:val="bottom"/>
          </w:tcPr>
          <w:p w14:paraId="4A1BFFCC" w14:textId="28E84CB5"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938</w:t>
            </w:r>
          </w:p>
        </w:tc>
        <w:tc>
          <w:tcPr>
            <w:tcW w:w="1559" w:type="dxa"/>
            <w:tcBorders>
              <w:top w:val="nil"/>
              <w:left w:val="nil"/>
              <w:right w:val="nil"/>
            </w:tcBorders>
            <w:shd w:val="clear" w:color="auto" w:fill="auto"/>
            <w:noWrap/>
            <w:vAlign w:val="bottom"/>
            <w:hideMark/>
          </w:tcPr>
          <w:p w14:paraId="666591A6" w14:textId="72D388ED"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32%</w:t>
            </w:r>
          </w:p>
        </w:tc>
        <w:tc>
          <w:tcPr>
            <w:tcW w:w="1559" w:type="dxa"/>
            <w:tcBorders>
              <w:top w:val="nil"/>
              <w:left w:val="nil"/>
              <w:right w:val="nil"/>
            </w:tcBorders>
            <w:shd w:val="clear" w:color="auto" w:fill="auto"/>
            <w:noWrap/>
            <w:vAlign w:val="bottom"/>
            <w:hideMark/>
          </w:tcPr>
          <w:p w14:paraId="61918843" w14:textId="3838EFBF"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4%</w:t>
            </w:r>
          </w:p>
        </w:tc>
        <w:tc>
          <w:tcPr>
            <w:tcW w:w="1559" w:type="dxa"/>
            <w:tcBorders>
              <w:top w:val="nil"/>
              <w:left w:val="nil"/>
              <w:right w:val="nil"/>
            </w:tcBorders>
            <w:shd w:val="clear" w:color="auto" w:fill="auto"/>
            <w:noWrap/>
            <w:vAlign w:val="bottom"/>
            <w:hideMark/>
          </w:tcPr>
          <w:p w14:paraId="27254EF4" w14:textId="7B5251C4"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34%</w:t>
            </w:r>
          </w:p>
        </w:tc>
        <w:tc>
          <w:tcPr>
            <w:tcW w:w="1559" w:type="dxa"/>
            <w:tcBorders>
              <w:top w:val="nil"/>
              <w:left w:val="nil"/>
              <w:right w:val="nil"/>
            </w:tcBorders>
            <w:shd w:val="clear" w:color="auto" w:fill="auto"/>
            <w:noWrap/>
            <w:vAlign w:val="bottom"/>
            <w:hideMark/>
          </w:tcPr>
          <w:p w14:paraId="5D52AD99" w14:textId="2017D52D" w:rsidR="00366C67" w:rsidRPr="00281BFF" w:rsidRDefault="00366C67" w:rsidP="000C18F3">
            <w:pPr>
              <w:tabs>
                <w:tab w:val="decimal" w:pos="695"/>
              </w:tabs>
              <w:spacing w:after="0" w:line="240" w:lineRule="auto"/>
              <w:rPr>
                <w:rFonts w:ascii="Times New Roman" w:eastAsia="Times New Roman" w:hAnsi="Times New Roman" w:cs="Times New Roman"/>
                <w:color w:val="000000"/>
                <w:sz w:val="20"/>
                <w:szCs w:val="20"/>
              </w:rPr>
            </w:pPr>
            <w:r w:rsidRPr="00281BFF">
              <w:rPr>
                <w:rFonts w:ascii="Times New Roman" w:hAnsi="Times New Roman" w:cs="Times New Roman"/>
                <w:color w:val="000000"/>
                <w:sz w:val="20"/>
                <w:szCs w:val="20"/>
              </w:rPr>
              <w:t>30%</w:t>
            </w:r>
          </w:p>
        </w:tc>
        <w:tc>
          <w:tcPr>
            <w:tcW w:w="1324" w:type="dxa"/>
            <w:tcBorders>
              <w:top w:val="nil"/>
              <w:left w:val="nil"/>
              <w:right w:val="nil"/>
            </w:tcBorders>
            <w:vAlign w:val="bottom"/>
          </w:tcPr>
          <w:p w14:paraId="47DAA0F2" w14:textId="77777777" w:rsidR="00366C67" w:rsidRPr="00281BFF" w:rsidRDefault="00366C67" w:rsidP="00241CA0">
            <w:pPr>
              <w:spacing w:after="0" w:line="240" w:lineRule="auto"/>
              <w:jc w:val="center"/>
              <w:rPr>
                <w:rFonts w:ascii="Times New Roman" w:eastAsia="Times New Roman" w:hAnsi="Times New Roman" w:cs="Times New Roman"/>
                <w:color w:val="000000"/>
                <w:sz w:val="20"/>
                <w:szCs w:val="20"/>
              </w:rPr>
            </w:pPr>
            <w:r w:rsidRPr="00281BFF">
              <w:rPr>
                <w:rFonts w:ascii="Times New Roman" w:eastAsia="Times New Roman" w:hAnsi="Times New Roman" w:cs="Times New Roman"/>
                <w:color w:val="000000"/>
                <w:sz w:val="20"/>
                <w:szCs w:val="20"/>
              </w:rPr>
              <w:t>100%</w:t>
            </w:r>
          </w:p>
        </w:tc>
      </w:tr>
      <w:tr w:rsidR="00366C67" w:rsidRPr="00281BFF" w14:paraId="1ECC7B04" w14:textId="77777777" w:rsidTr="00366C67">
        <w:trPr>
          <w:trHeight w:val="255"/>
        </w:trPr>
        <w:tc>
          <w:tcPr>
            <w:tcW w:w="2304" w:type="dxa"/>
            <w:tcBorders>
              <w:top w:val="nil"/>
              <w:left w:val="nil"/>
              <w:bottom w:val="single" w:sz="4" w:space="0" w:color="auto"/>
              <w:right w:val="nil"/>
            </w:tcBorders>
            <w:shd w:val="clear" w:color="auto" w:fill="auto"/>
            <w:noWrap/>
            <w:vAlign w:val="bottom"/>
            <w:hideMark/>
          </w:tcPr>
          <w:p w14:paraId="6AE0EF20" w14:textId="77777777" w:rsidR="00366C67" w:rsidRPr="00281BFF" w:rsidRDefault="00366C67" w:rsidP="00F02E91">
            <w:pPr>
              <w:spacing w:after="0" w:line="240" w:lineRule="auto"/>
              <w:rPr>
                <w:rFonts w:ascii="Times New Roman" w:eastAsia="Times New Roman" w:hAnsi="Times New Roman" w:cs="Times New Roman"/>
                <w:sz w:val="20"/>
                <w:szCs w:val="20"/>
              </w:rPr>
            </w:pPr>
          </w:p>
        </w:tc>
        <w:tc>
          <w:tcPr>
            <w:tcW w:w="1260" w:type="dxa"/>
            <w:tcBorders>
              <w:top w:val="nil"/>
              <w:left w:val="nil"/>
              <w:bottom w:val="single" w:sz="4" w:space="0" w:color="auto"/>
              <w:right w:val="nil"/>
            </w:tcBorders>
            <w:vAlign w:val="bottom"/>
          </w:tcPr>
          <w:p w14:paraId="06512663" w14:textId="77777777" w:rsidR="00366C67" w:rsidRPr="00281BFF" w:rsidRDefault="00366C67" w:rsidP="000C18F3">
            <w:pPr>
              <w:tabs>
                <w:tab w:val="decimal" w:pos="695"/>
              </w:tabs>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nil"/>
            </w:tcBorders>
            <w:shd w:val="clear" w:color="auto" w:fill="auto"/>
            <w:noWrap/>
            <w:vAlign w:val="bottom"/>
            <w:hideMark/>
          </w:tcPr>
          <w:p w14:paraId="52429E87" w14:textId="2F31031C" w:rsidR="00366C67" w:rsidRPr="00281BFF" w:rsidRDefault="00366C67" w:rsidP="000C18F3">
            <w:pPr>
              <w:tabs>
                <w:tab w:val="decimal" w:pos="695"/>
              </w:tabs>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nil"/>
            </w:tcBorders>
            <w:shd w:val="clear" w:color="auto" w:fill="auto"/>
            <w:noWrap/>
            <w:vAlign w:val="bottom"/>
            <w:hideMark/>
          </w:tcPr>
          <w:p w14:paraId="60C87D47" w14:textId="77777777" w:rsidR="00366C67" w:rsidRPr="00281BFF" w:rsidRDefault="00366C67" w:rsidP="000C18F3">
            <w:pPr>
              <w:tabs>
                <w:tab w:val="decimal" w:pos="695"/>
              </w:tabs>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nil"/>
            </w:tcBorders>
            <w:shd w:val="clear" w:color="auto" w:fill="auto"/>
            <w:noWrap/>
            <w:vAlign w:val="bottom"/>
            <w:hideMark/>
          </w:tcPr>
          <w:p w14:paraId="067AFDA4" w14:textId="77777777" w:rsidR="00366C67" w:rsidRPr="00281BFF" w:rsidRDefault="00366C67" w:rsidP="000C18F3">
            <w:pPr>
              <w:tabs>
                <w:tab w:val="decimal" w:pos="695"/>
              </w:tabs>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nil"/>
            </w:tcBorders>
            <w:shd w:val="clear" w:color="auto" w:fill="auto"/>
            <w:noWrap/>
            <w:vAlign w:val="bottom"/>
            <w:hideMark/>
          </w:tcPr>
          <w:p w14:paraId="37611ED2" w14:textId="77777777" w:rsidR="00366C67" w:rsidRPr="00281BFF" w:rsidRDefault="00366C67" w:rsidP="000C18F3">
            <w:pPr>
              <w:tabs>
                <w:tab w:val="decimal" w:pos="695"/>
              </w:tabs>
              <w:spacing w:after="0" w:line="240" w:lineRule="auto"/>
              <w:rPr>
                <w:rFonts w:ascii="Times New Roman" w:eastAsia="Times New Roman" w:hAnsi="Times New Roman" w:cs="Times New Roman"/>
                <w:sz w:val="20"/>
                <w:szCs w:val="20"/>
              </w:rPr>
            </w:pPr>
          </w:p>
        </w:tc>
        <w:tc>
          <w:tcPr>
            <w:tcW w:w="1324" w:type="dxa"/>
            <w:tcBorders>
              <w:top w:val="nil"/>
              <w:left w:val="nil"/>
              <w:bottom w:val="single" w:sz="4" w:space="0" w:color="auto"/>
              <w:right w:val="nil"/>
            </w:tcBorders>
            <w:vAlign w:val="bottom"/>
          </w:tcPr>
          <w:p w14:paraId="23E83881" w14:textId="77777777" w:rsidR="00366C67" w:rsidRPr="00281BFF" w:rsidRDefault="00366C67" w:rsidP="00F02E91">
            <w:pPr>
              <w:spacing w:after="0" w:line="240" w:lineRule="auto"/>
              <w:jc w:val="center"/>
              <w:rPr>
                <w:rFonts w:ascii="Times New Roman" w:eastAsia="Times New Roman" w:hAnsi="Times New Roman" w:cs="Times New Roman"/>
                <w:sz w:val="20"/>
                <w:szCs w:val="20"/>
              </w:rPr>
            </w:pPr>
          </w:p>
        </w:tc>
      </w:tr>
    </w:tbl>
    <w:p w14:paraId="5B25F156" w14:textId="77777777" w:rsidR="00E22CDE" w:rsidRPr="00CD2CB3" w:rsidRDefault="00E22CDE" w:rsidP="00E22CDE">
      <w:pPr>
        <w:spacing w:after="0" w:line="240" w:lineRule="auto"/>
        <w:rPr>
          <w:rFonts w:ascii="Times New Roman" w:hAnsi="Times New Roman" w:cs="Times New Roman"/>
          <w:sz w:val="20"/>
          <w:szCs w:val="20"/>
        </w:rPr>
      </w:pPr>
      <w:r w:rsidRPr="00D334A5">
        <w:rPr>
          <w:rFonts w:ascii="Times New Roman" w:hAnsi="Times New Roman" w:cs="Times New Roman"/>
          <w:sz w:val="20"/>
          <w:szCs w:val="20"/>
        </w:rPr>
        <w:t>Note:  Each student is assigned to only one category of demonstrating (or not demonstrating) quantitative competency.</w:t>
      </w:r>
    </w:p>
    <w:p w14:paraId="793DD532" w14:textId="77777777" w:rsidR="00E22CDE" w:rsidRDefault="00E22CDE" w:rsidP="00347697">
      <w:pPr>
        <w:spacing w:after="0" w:line="240" w:lineRule="auto"/>
        <w:rPr>
          <w:rFonts w:ascii="Times New Roman" w:hAnsi="Times New Roman" w:cs="Times New Roman"/>
          <w:sz w:val="24"/>
          <w:szCs w:val="24"/>
        </w:rPr>
      </w:pPr>
    </w:p>
    <w:p w14:paraId="584B3352" w14:textId="77777777" w:rsidR="00A57EA3" w:rsidRDefault="00A57EA3">
      <w:pPr>
        <w:rPr>
          <w:rFonts w:ascii="Times New Roman" w:hAnsi="Times New Roman" w:cs="Times New Roman"/>
          <w:sz w:val="24"/>
          <w:szCs w:val="24"/>
        </w:rPr>
      </w:pPr>
      <w:r>
        <w:rPr>
          <w:rFonts w:ascii="Times New Roman" w:hAnsi="Times New Roman" w:cs="Times New Roman"/>
          <w:sz w:val="24"/>
          <w:szCs w:val="24"/>
        </w:rPr>
        <w:br w:type="page"/>
      </w:r>
    </w:p>
    <w:p w14:paraId="1C7C9F9E" w14:textId="0C2A92B7" w:rsidR="00007311" w:rsidRDefault="00007311" w:rsidP="000073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3:  Average number of terms to achieve transfer-level quantitative competency among students who did so, by first math course attempted</w:t>
      </w:r>
    </w:p>
    <w:p w14:paraId="00B132FC" w14:textId="77777777" w:rsidR="00EF5835" w:rsidRPr="00347697" w:rsidRDefault="00EF5835" w:rsidP="00347697">
      <w:pPr>
        <w:spacing w:after="0" w:line="240" w:lineRule="auto"/>
        <w:rPr>
          <w:rFonts w:ascii="Times New Roman" w:hAnsi="Times New Roman" w:cs="Times New Roman"/>
          <w:sz w:val="24"/>
          <w:szCs w:val="24"/>
        </w:rPr>
      </w:pPr>
    </w:p>
    <w:tbl>
      <w:tblPr>
        <w:tblW w:w="12960" w:type="dxa"/>
        <w:tblBorders>
          <w:top w:val="single" w:sz="4" w:space="0" w:color="auto"/>
          <w:bottom w:val="single" w:sz="4" w:space="0" w:color="auto"/>
        </w:tblBorders>
        <w:tblCellMar>
          <w:left w:w="115" w:type="dxa"/>
          <w:right w:w="115" w:type="dxa"/>
        </w:tblCellMar>
        <w:tblLook w:val="04A0" w:firstRow="1" w:lastRow="0" w:firstColumn="1" w:lastColumn="0" w:noHBand="0" w:noVBand="1"/>
      </w:tblPr>
      <w:tblGrid>
        <w:gridCol w:w="3043"/>
        <w:gridCol w:w="2311"/>
        <w:gridCol w:w="3803"/>
        <w:gridCol w:w="3803"/>
      </w:tblGrid>
      <w:tr w:rsidR="00633507" w:rsidRPr="000C18F3" w14:paraId="6E13384F" w14:textId="77777777" w:rsidTr="00633507">
        <w:trPr>
          <w:trHeight w:val="432"/>
        </w:trPr>
        <w:tc>
          <w:tcPr>
            <w:tcW w:w="2304" w:type="dxa"/>
            <w:shd w:val="clear" w:color="auto" w:fill="auto"/>
            <w:noWrap/>
            <w:vAlign w:val="bottom"/>
          </w:tcPr>
          <w:p w14:paraId="5972E21A" w14:textId="77777777" w:rsidR="00633507" w:rsidRPr="000C18F3" w:rsidRDefault="00633507" w:rsidP="00007311">
            <w:pPr>
              <w:spacing w:after="0" w:line="240" w:lineRule="auto"/>
              <w:rPr>
                <w:rFonts w:ascii="Times New Roman" w:eastAsia="Times New Roman" w:hAnsi="Times New Roman" w:cs="Times New Roman"/>
                <w:sz w:val="20"/>
                <w:szCs w:val="20"/>
              </w:rPr>
            </w:pPr>
          </w:p>
        </w:tc>
        <w:tc>
          <w:tcPr>
            <w:tcW w:w="1440" w:type="dxa"/>
            <w:tcBorders>
              <w:top w:val="single" w:sz="4" w:space="0" w:color="auto"/>
              <w:bottom w:val="nil"/>
            </w:tcBorders>
            <w:shd w:val="clear" w:color="auto" w:fill="auto"/>
            <w:noWrap/>
            <w:vAlign w:val="bottom"/>
          </w:tcPr>
          <w:p w14:paraId="2758DB9C" w14:textId="77777777" w:rsidR="00633507" w:rsidRPr="000C18F3" w:rsidRDefault="00633507" w:rsidP="00347697">
            <w:pPr>
              <w:spacing w:after="0" w:line="240" w:lineRule="auto"/>
              <w:jc w:val="center"/>
              <w:rPr>
                <w:rFonts w:ascii="Times New Roman" w:eastAsia="Times New Roman" w:hAnsi="Times New Roman" w:cs="Times New Roman"/>
                <w:i/>
                <w:color w:val="000000"/>
                <w:sz w:val="20"/>
                <w:szCs w:val="20"/>
              </w:rPr>
            </w:pPr>
          </w:p>
        </w:tc>
        <w:tc>
          <w:tcPr>
            <w:tcW w:w="5760" w:type="dxa"/>
            <w:gridSpan w:val="2"/>
            <w:tcBorders>
              <w:top w:val="single" w:sz="4" w:space="0" w:color="auto"/>
              <w:bottom w:val="single" w:sz="4" w:space="0" w:color="auto"/>
            </w:tcBorders>
            <w:shd w:val="clear" w:color="auto" w:fill="auto"/>
            <w:vAlign w:val="bottom"/>
          </w:tcPr>
          <w:p w14:paraId="5229588C" w14:textId="77777777" w:rsidR="00633507" w:rsidRPr="000C18F3" w:rsidRDefault="00633507" w:rsidP="00347697">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average number of terms to first successfully completed</w:t>
            </w:r>
          </w:p>
          <w:p w14:paraId="37FFDECD" w14:textId="79C9EA2A" w:rsidR="00633507" w:rsidRPr="000C18F3" w:rsidRDefault="00633507" w:rsidP="00347697">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transfer-level quantitative course</w:t>
            </w:r>
          </w:p>
        </w:tc>
      </w:tr>
      <w:tr w:rsidR="00633507" w:rsidRPr="000C18F3" w14:paraId="0B694125" w14:textId="77777777" w:rsidTr="00633507">
        <w:trPr>
          <w:trHeight w:val="432"/>
        </w:trPr>
        <w:tc>
          <w:tcPr>
            <w:tcW w:w="2304" w:type="dxa"/>
            <w:shd w:val="clear" w:color="auto" w:fill="auto"/>
            <w:noWrap/>
            <w:vAlign w:val="bottom"/>
            <w:hideMark/>
          </w:tcPr>
          <w:p w14:paraId="60F9108A" w14:textId="77777777" w:rsidR="00633507" w:rsidRPr="000C18F3" w:rsidRDefault="00633507" w:rsidP="00007311">
            <w:pPr>
              <w:spacing w:after="0" w:line="240" w:lineRule="auto"/>
              <w:rPr>
                <w:rFonts w:ascii="Times New Roman" w:eastAsia="Times New Roman" w:hAnsi="Times New Roman" w:cs="Times New Roman"/>
                <w:sz w:val="20"/>
                <w:szCs w:val="20"/>
              </w:rPr>
            </w:pPr>
          </w:p>
        </w:tc>
        <w:tc>
          <w:tcPr>
            <w:tcW w:w="1440" w:type="dxa"/>
            <w:tcBorders>
              <w:top w:val="nil"/>
              <w:bottom w:val="single" w:sz="4" w:space="0" w:color="auto"/>
            </w:tcBorders>
            <w:shd w:val="clear" w:color="auto" w:fill="auto"/>
            <w:noWrap/>
            <w:vAlign w:val="bottom"/>
            <w:hideMark/>
          </w:tcPr>
          <w:p w14:paraId="4DFC5A12" w14:textId="087EF478" w:rsidR="00633507" w:rsidRPr="000C18F3" w:rsidRDefault="00633507" w:rsidP="00347697">
            <w:pPr>
              <w:spacing w:after="0" w:line="240" w:lineRule="auto"/>
              <w:jc w:val="center"/>
              <w:rPr>
                <w:rFonts w:ascii="Times New Roman" w:eastAsia="Times New Roman" w:hAnsi="Times New Roman" w:cs="Times New Roman"/>
                <w:i/>
                <w:color w:val="000000"/>
                <w:sz w:val="20"/>
                <w:szCs w:val="20"/>
              </w:rPr>
            </w:pPr>
            <w:r w:rsidRPr="000C18F3">
              <w:rPr>
                <w:rFonts w:ascii="Times New Roman" w:eastAsia="Times New Roman" w:hAnsi="Times New Roman" w:cs="Times New Roman"/>
                <w:i/>
                <w:color w:val="000000"/>
                <w:sz w:val="20"/>
                <w:szCs w:val="20"/>
              </w:rPr>
              <w:t>N</w:t>
            </w:r>
          </w:p>
        </w:tc>
        <w:tc>
          <w:tcPr>
            <w:tcW w:w="2880" w:type="dxa"/>
            <w:tcBorders>
              <w:top w:val="single" w:sz="4" w:space="0" w:color="auto"/>
              <w:bottom w:val="single" w:sz="4" w:space="0" w:color="auto"/>
            </w:tcBorders>
            <w:shd w:val="clear" w:color="auto" w:fill="auto"/>
            <w:vAlign w:val="bottom"/>
            <w:hideMark/>
          </w:tcPr>
          <w:p w14:paraId="65183981" w14:textId="12852843" w:rsidR="00633507" w:rsidRPr="000C18F3" w:rsidRDefault="00633507" w:rsidP="00347697">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from college entry</w:t>
            </w:r>
          </w:p>
        </w:tc>
        <w:tc>
          <w:tcPr>
            <w:tcW w:w="2880" w:type="dxa"/>
            <w:tcBorders>
              <w:top w:val="single" w:sz="4" w:space="0" w:color="auto"/>
              <w:bottom w:val="single" w:sz="4" w:space="0" w:color="auto"/>
            </w:tcBorders>
            <w:shd w:val="clear" w:color="auto" w:fill="auto"/>
            <w:vAlign w:val="bottom"/>
            <w:hideMark/>
          </w:tcPr>
          <w:p w14:paraId="6D630950" w14:textId="77777777" w:rsidR="00633507" w:rsidRPr="000C18F3" w:rsidRDefault="00633507" w:rsidP="00347697">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from first attempted math course</w:t>
            </w:r>
          </w:p>
        </w:tc>
      </w:tr>
      <w:tr w:rsidR="00633507" w:rsidRPr="000C18F3" w14:paraId="3DEB9A9C" w14:textId="77777777" w:rsidTr="00633507">
        <w:trPr>
          <w:trHeight w:val="255"/>
        </w:trPr>
        <w:tc>
          <w:tcPr>
            <w:tcW w:w="2304" w:type="dxa"/>
            <w:tcBorders>
              <w:bottom w:val="nil"/>
            </w:tcBorders>
            <w:shd w:val="clear" w:color="auto" w:fill="auto"/>
            <w:noWrap/>
            <w:vAlign w:val="bottom"/>
          </w:tcPr>
          <w:p w14:paraId="3D870D63" w14:textId="77777777" w:rsidR="00633507" w:rsidRPr="000C18F3" w:rsidRDefault="00633507" w:rsidP="0041775B">
            <w:pPr>
              <w:spacing w:after="0" w:line="240" w:lineRule="auto"/>
              <w:jc w:val="right"/>
              <w:rPr>
                <w:rFonts w:ascii="Times New Roman" w:eastAsia="Times New Roman" w:hAnsi="Times New Roman" w:cs="Times New Roman"/>
                <w:color w:val="000000"/>
                <w:sz w:val="20"/>
                <w:szCs w:val="20"/>
              </w:rPr>
            </w:pPr>
          </w:p>
        </w:tc>
        <w:tc>
          <w:tcPr>
            <w:tcW w:w="1440" w:type="dxa"/>
            <w:tcBorders>
              <w:top w:val="single" w:sz="4" w:space="0" w:color="auto"/>
              <w:bottom w:val="nil"/>
            </w:tcBorders>
            <w:shd w:val="clear" w:color="auto" w:fill="auto"/>
            <w:noWrap/>
            <w:vAlign w:val="bottom"/>
          </w:tcPr>
          <w:p w14:paraId="01197180" w14:textId="77777777" w:rsidR="00633507" w:rsidRPr="000C18F3" w:rsidRDefault="00633507" w:rsidP="00E7213D">
            <w:pPr>
              <w:tabs>
                <w:tab w:val="decimal" w:pos="1520"/>
              </w:tabs>
              <w:spacing w:after="0" w:line="240" w:lineRule="auto"/>
              <w:rPr>
                <w:rFonts w:ascii="Times New Roman" w:eastAsia="Times New Roman" w:hAnsi="Times New Roman" w:cs="Times New Roman"/>
                <w:color w:val="000000"/>
                <w:sz w:val="20"/>
                <w:szCs w:val="20"/>
              </w:rPr>
            </w:pPr>
          </w:p>
        </w:tc>
        <w:tc>
          <w:tcPr>
            <w:tcW w:w="2880" w:type="dxa"/>
            <w:tcBorders>
              <w:top w:val="single" w:sz="4" w:space="0" w:color="auto"/>
              <w:bottom w:val="nil"/>
            </w:tcBorders>
            <w:shd w:val="clear" w:color="auto" w:fill="auto"/>
            <w:noWrap/>
            <w:vAlign w:val="bottom"/>
          </w:tcPr>
          <w:p w14:paraId="4823E981" w14:textId="77777777" w:rsidR="00633507" w:rsidRPr="000C18F3" w:rsidRDefault="00633507" w:rsidP="00950BEF">
            <w:pPr>
              <w:spacing w:after="0" w:line="240" w:lineRule="auto"/>
              <w:jc w:val="center"/>
              <w:rPr>
                <w:rFonts w:ascii="Times New Roman" w:eastAsia="Times New Roman" w:hAnsi="Times New Roman" w:cs="Times New Roman"/>
                <w:color w:val="000000"/>
                <w:sz w:val="20"/>
                <w:szCs w:val="20"/>
              </w:rPr>
            </w:pPr>
          </w:p>
        </w:tc>
        <w:tc>
          <w:tcPr>
            <w:tcW w:w="2880" w:type="dxa"/>
            <w:tcBorders>
              <w:top w:val="single" w:sz="4" w:space="0" w:color="auto"/>
              <w:bottom w:val="nil"/>
            </w:tcBorders>
            <w:shd w:val="clear" w:color="auto" w:fill="auto"/>
            <w:noWrap/>
            <w:vAlign w:val="bottom"/>
          </w:tcPr>
          <w:p w14:paraId="24C1E7F0" w14:textId="77777777" w:rsidR="00633507" w:rsidRPr="000C18F3" w:rsidRDefault="00633507" w:rsidP="00950BEF">
            <w:pPr>
              <w:spacing w:after="0" w:line="240" w:lineRule="auto"/>
              <w:jc w:val="center"/>
              <w:rPr>
                <w:rFonts w:ascii="Times New Roman" w:eastAsia="Times New Roman" w:hAnsi="Times New Roman" w:cs="Times New Roman"/>
                <w:color w:val="000000"/>
                <w:sz w:val="20"/>
                <w:szCs w:val="20"/>
              </w:rPr>
            </w:pPr>
          </w:p>
        </w:tc>
      </w:tr>
      <w:tr w:rsidR="00633507" w:rsidRPr="000C18F3" w14:paraId="360E7E92" w14:textId="77777777" w:rsidTr="00633507">
        <w:trPr>
          <w:trHeight w:val="255"/>
        </w:trPr>
        <w:tc>
          <w:tcPr>
            <w:tcW w:w="2304" w:type="dxa"/>
            <w:tcBorders>
              <w:top w:val="nil"/>
            </w:tcBorders>
            <w:shd w:val="clear" w:color="auto" w:fill="auto"/>
            <w:noWrap/>
            <w:vAlign w:val="bottom"/>
            <w:hideMark/>
          </w:tcPr>
          <w:p w14:paraId="500193E7" w14:textId="0AF1EFB6" w:rsidR="00633507" w:rsidRPr="000C18F3" w:rsidRDefault="00633507" w:rsidP="00241CA0">
            <w:pPr>
              <w:spacing w:after="0" w:line="240" w:lineRule="auto"/>
              <w:jc w:val="right"/>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ACDV B72</w:t>
            </w:r>
          </w:p>
        </w:tc>
        <w:tc>
          <w:tcPr>
            <w:tcW w:w="1440" w:type="dxa"/>
            <w:tcBorders>
              <w:top w:val="nil"/>
            </w:tcBorders>
            <w:shd w:val="clear" w:color="auto" w:fill="auto"/>
            <w:noWrap/>
            <w:vAlign w:val="bottom"/>
            <w:hideMark/>
          </w:tcPr>
          <w:p w14:paraId="6793F3E2" w14:textId="1FAEA13F" w:rsidR="00633507" w:rsidRPr="000C18F3" w:rsidRDefault="00633507" w:rsidP="00241CA0">
            <w:pPr>
              <w:tabs>
                <w:tab w:val="decimal" w:pos="1520"/>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35</w:t>
            </w:r>
          </w:p>
        </w:tc>
        <w:tc>
          <w:tcPr>
            <w:tcW w:w="2880" w:type="dxa"/>
            <w:tcBorders>
              <w:top w:val="nil"/>
            </w:tcBorders>
            <w:shd w:val="clear" w:color="auto" w:fill="auto"/>
            <w:noWrap/>
            <w:vAlign w:val="bottom"/>
            <w:hideMark/>
          </w:tcPr>
          <w:p w14:paraId="320025AE" w14:textId="096C9F7E" w:rsidR="00633507" w:rsidRPr="000C18F3" w:rsidRDefault="0063350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5.6</w:t>
            </w:r>
          </w:p>
        </w:tc>
        <w:tc>
          <w:tcPr>
            <w:tcW w:w="2880" w:type="dxa"/>
            <w:tcBorders>
              <w:top w:val="nil"/>
            </w:tcBorders>
            <w:shd w:val="clear" w:color="auto" w:fill="auto"/>
            <w:noWrap/>
            <w:vAlign w:val="bottom"/>
            <w:hideMark/>
          </w:tcPr>
          <w:p w14:paraId="4AB2525C" w14:textId="272F61B1" w:rsidR="00633507" w:rsidRPr="000C18F3" w:rsidRDefault="0063350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4.5</w:t>
            </w:r>
          </w:p>
        </w:tc>
      </w:tr>
      <w:tr w:rsidR="00633507" w:rsidRPr="000C18F3" w14:paraId="638A8777" w14:textId="77777777" w:rsidTr="00633507">
        <w:trPr>
          <w:trHeight w:val="255"/>
        </w:trPr>
        <w:tc>
          <w:tcPr>
            <w:tcW w:w="2304" w:type="dxa"/>
            <w:shd w:val="clear" w:color="auto" w:fill="auto"/>
            <w:noWrap/>
            <w:vAlign w:val="bottom"/>
            <w:hideMark/>
          </w:tcPr>
          <w:p w14:paraId="43595A39" w14:textId="70CF94D1" w:rsidR="00633507" w:rsidRPr="000C18F3" w:rsidRDefault="00633507" w:rsidP="00241CA0">
            <w:pPr>
              <w:spacing w:after="0" w:line="240" w:lineRule="auto"/>
              <w:jc w:val="right"/>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B60</w:t>
            </w:r>
          </w:p>
        </w:tc>
        <w:tc>
          <w:tcPr>
            <w:tcW w:w="1440" w:type="dxa"/>
            <w:shd w:val="clear" w:color="auto" w:fill="auto"/>
            <w:noWrap/>
            <w:vAlign w:val="bottom"/>
            <w:hideMark/>
          </w:tcPr>
          <w:p w14:paraId="55E714BF" w14:textId="5FC390A0" w:rsidR="00633507" w:rsidRPr="000C18F3" w:rsidRDefault="00633507" w:rsidP="00241CA0">
            <w:pPr>
              <w:tabs>
                <w:tab w:val="decimal" w:pos="1520"/>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180</w:t>
            </w:r>
          </w:p>
        </w:tc>
        <w:tc>
          <w:tcPr>
            <w:tcW w:w="2880" w:type="dxa"/>
            <w:shd w:val="clear" w:color="auto" w:fill="auto"/>
            <w:noWrap/>
            <w:vAlign w:val="bottom"/>
            <w:hideMark/>
          </w:tcPr>
          <w:p w14:paraId="1D13CDA3" w14:textId="6C903558" w:rsidR="00633507" w:rsidRPr="000C18F3" w:rsidRDefault="0063350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4.9</w:t>
            </w:r>
          </w:p>
        </w:tc>
        <w:tc>
          <w:tcPr>
            <w:tcW w:w="2880" w:type="dxa"/>
            <w:shd w:val="clear" w:color="auto" w:fill="auto"/>
            <w:noWrap/>
            <w:vAlign w:val="bottom"/>
            <w:hideMark/>
          </w:tcPr>
          <w:p w14:paraId="1BC4AF6C" w14:textId="735B6E65" w:rsidR="00633507" w:rsidRPr="000C18F3" w:rsidRDefault="0063350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4.2</w:t>
            </w:r>
          </w:p>
        </w:tc>
      </w:tr>
      <w:tr w:rsidR="00633507" w:rsidRPr="000C18F3" w14:paraId="05C04BA1" w14:textId="77777777" w:rsidTr="00633507">
        <w:trPr>
          <w:trHeight w:val="255"/>
        </w:trPr>
        <w:tc>
          <w:tcPr>
            <w:tcW w:w="2304" w:type="dxa"/>
            <w:shd w:val="clear" w:color="auto" w:fill="auto"/>
            <w:noWrap/>
            <w:vAlign w:val="bottom"/>
            <w:hideMark/>
          </w:tcPr>
          <w:p w14:paraId="2E6C5EDC" w14:textId="49DC6CAC" w:rsidR="00633507" w:rsidRPr="000C18F3" w:rsidRDefault="00633507" w:rsidP="00241CA0">
            <w:pPr>
              <w:spacing w:after="0" w:line="240" w:lineRule="auto"/>
              <w:jc w:val="right"/>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B65</w:t>
            </w:r>
          </w:p>
        </w:tc>
        <w:tc>
          <w:tcPr>
            <w:tcW w:w="1440" w:type="dxa"/>
            <w:shd w:val="clear" w:color="auto" w:fill="auto"/>
            <w:noWrap/>
            <w:vAlign w:val="bottom"/>
            <w:hideMark/>
          </w:tcPr>
          <w:p w14:paraId="0E7FF837" w14:textId="15A71B98" w:rsidR="00633507" w:rsidRPr="000C18F3" w:rsidRDefault="00633507" w:rsidP="00241CA0">
            <w:pPr>
              <w:tabs>
                <w:tab w:val="decimal" w:pos="1520"/>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32</w:t>
            </w:r>
          </w:p>
        </w:tc>
        <w:tc>
          <w:tcPr>
            <w:tcW w:w="2880" w:type="dxa"/>
            <w:shd w:val="clear" w:color="auto" w:fill="auto"/>
            <w:noWrap/>
            <w:vAlign w:val="bottom"/>
            <w:hideMark/>
          </w:tcPr>
          <w:p w14:paraId="5E6204BC" w14:textId="46DA5648" w:rsidR="00633507" w:rsidRPr="000C18F3" w:rsidRDefault="0063350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3.8</w:t>
            </w:r>
          </w:p>
        </w:tc>
        <w:tc>
          <w:tcPr>
            <w:tcW w:w="2880" w:type="dxa"/>
            <w:shd w:val="clear" w:color="auto" w:fill="auto"/>
            <w:noWrap/>
            <w:vAlign w:val="bottom"/>
            <w:hideMark/>
          </w:tcPr>
          <w:p w14:paraId="715C8752" w14:textId="412CED9C" w:rsidR="00633507" w:rsidRPr="000C18F3" w:rsidRDefault="0063350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2.6</w:t>
            </w:r>
          </w:p>
        </w:tc>
      </w:tr>
      <w:tr w:rsidR="00633507" w:rsidRPr="000C18F3" w14:paraId="084A67A2" w14:textId="77777777" w:rsidTr="00633507">
        <w:trPr>
          <w:trHeight w:val="255"/>
        </w:trPr>
        <w:tc>
          <w:tcPr>
            <w:tcW w:w="2304" w:type="dxa"/>
            <w:shd w:val="clear" w:color="auto" w:fill="auto"/>
            <w:noWrap/>
            <w:vAlign w:val="bottom"/>
            <w:hideMark/>
          </w:tcPr>
          <w:p w14:paraId="5FBCD9B6" w14:textId="038BF6C3" w:rsidR="00633507" w:rsidRPr="000C18F3" w:rsidRDefault="00633507" w:rsidP="00241CA0">
            <w:pPr>
              <w:spacing w:after="0" w:line="240" w:lineRule="auto"/>
              <w:jc w:val="right"/>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LRNC B530 (Math B60)</w:t>
            </w:r>
          </w:p>
        </w:tc>
        <w:tc>
          <w:tcPr>
            <w:tcW w:w="1440" w:type="dxa"/>
            <w:shd w:val="clear" w:color="auto" w:fill="auto"/>
            <w:noWrap/>
            <w:vAlign w:val="bottom"/>
            <w:hideMark/>
          </w:tcPr>
          <w:p w14:paraId="6AF8FEFF" w14:textId="73A45143" w:rsidR="00633507" w:rsidRPr="000C18F3" w:rsidRDefault="00633507" w:rsidP="00241CA0">
            <w:pPr>
              <w:tabs>
                <w:tab w:val="decimal" w:pos="1520"/>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26</w:t>
            </w:r>
          </w:p>
        </w:tc>
        <w:tc>
          <w:tcPr>
            <w:tcW w:w="2880" w:type="dxa"/>
            <w:shd w:val="clear" w:color="auto" w:fill="auto"/>
            <w:noWrap/>
            <w:vAlign w:val="bottom"/>
            <w:hideMark/>
          </w:tcPr>
          <w:p w14:paraId="6D5B5B58" w14:textId="01CE5E25" w:rsidR="00633507" w:rsidRPr="000C18F3" w:rsidRDefault="0063350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4.3</w:t>
            </w:r>
          </w:p>
        </w:tc>
        <w:tc>
          <w:tcPr>
            <w:tcW w:w="2880" w:type="dxa"/>
            <w:shd w:val="clear" w:color="auto" w:fill="auto"/>
            <w:noWrap/>
            <w:vAlign w:val="bottom"/>
            <w:hideMark/>
          </w:tcPr>
          <w:p w14:paraId="64CC2F96" w14:textId="64FE6D02" w:rsidR="00633507" w:rsidRPr="000C18F3" w:rsidRDefault="0063350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2.9</w:t>
            </w:r>
          </w:p>
        </w:tc>
      </w:tr>
      <w:tr w:rsidR="00633507" w:rsidRPr="000C18F3" w14:paraId="46883050" w14:textId="77777777" w:rsidTr="00633507">
        <w:trPr>
          <w:trHeight w:val="255"/>
        </w:trPr>
        <w:tc>
          <w:tcPr>
            <w:tcW w:w="2304" w:type="dxa"/>
            <w:shd w:val="clear" w:color="auto" w:fill="auto"/>
            <w:noWrap/>
            <w:vAlign w:val="bottom"/>
            <w:hideMark/>
          </w:tcPr>
          <w:p w14:paraId="410E172D" w14:textId="77A9BFFC" w:rsidR="00633507" w:rsidRPr="000C18F3" w:rsidRDefault="00633507" w:rsidP="00241CA0">
            <w:pPr>
              <w:spacing w:after="0" w:line="240" w:lineRule="auto"/>
              <w:jc w:val="right"/>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1440" w:type="dxa"/>
            <w:shd w:val="clear" w:color="auto" w:fill="auto"/>
            <w:noWrap/>
            <w:vAlign w:val="bottom"/>
            <w:hideMark/>
          </w:tcPr>
          <w:p w14:paraId="549BE912" w14:textId="0FA8CF15" w:rsidR="00633507" w:rsidRPr="000C18F3" w:rsidRDefault="00633507" w:rsidP="00241CA0">
            <w:pPr>
              <w:tabs>
                <w:tab w:val="decimal" w:pos="1520"/>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283</w:t>
            </w:r>
          </w:p>
        </w:tc>
        <w:tc>
          <w:tcPr>
            <w:tcW w:w="2880" w:type="dxa"/>
            <w:shd w:val="clear" w:color="auto" w:fill="auto"/>
            <w:noWrap/>
            <w:vAlign w:val="bottom"/>
            <w:hideMark/>
          </w:tcPr>
          <w:p w14:paraId="7C493B91" w14:textId="5A1D0B94" w:rsidR="00633507" w:rsidRPr="000C18F3" w:rsidRDefault="0063350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3.7</w:t>
            </w:r>
          </w:p>
        </w:tc>
        <w:tc>
          <w:tcPr>
            <w:tcW w:w="2880" w:type="dxa"/>
            <w:shd w:val="clear" w:color="auto" w:fill="auto"/>
            <w:noWrap/>
            <w:vAlign w:val="bottom"/>
            <w:hideMark/>
          </w:tcPr>
          <w:p w14:paraId="207F1653" w14:textId="27521A63" w:rsidR="00633507" w:rsidRPr="000C18F3" w:rsidRDefault="00633507" w:rsidP="00241CA0">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3.1</w:t>
            </w:r>
          </w:p>
        </w:tc>
      </w:tr>
      <w:tr w:rsidR="00633507" w:rsidRPr="000C18F3" w14:paraId="2E458F72" w14:textId="77777777" w:rsidTr="00633507">
        <w:trPr>
          <w:trHeight w:val="255"/>
        </w:trPr>
        <w:tc>
          <w:tcPr>
            <w:tcW w:w="2304" w:type="dxa"/>
            <w:shd w:val="clear" w:color="auto" w:fill="auto"/>
            <w:noWrap/>
            <w:vAlign w:val="bottom"/>
            <w:hideMark/>
          </w:tcPr>
          <w:p w14:paraId="6192E3DA" w14:textId="77777777" w:rsidR="00633507" w:rsidRPr="000C18F3" w:rsidRDefault="00633507" w:rsidP="0041775B">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5B3C138F" w14:textId="77777777" w:rsidR="00633507" w:rsidRPr="000C18F3" w:rsidRDefault="00633507" w:rsidP="00E7213D">
            <w:pPr>
              <w:tabs>
                <w:tab w:val="decimal" w:pos="1520"/>
              </w:tabs>
              <w:spacing w:after="0" w:line="240" w:lineRule="auto"/>
              <w:rPr>
                <w:rFonts w:ascii="Times New Roman" w:eastAsia="Times New Roman" w:hAnsi="Times New Roman" w:cs="Times New Roman"/>
                <w:sz w:val="20"/>
                <w:szCs w:val="20"/>
              </w:rPr>
            </w:pPr>
          </w:p>
        </w:tc>
        <w:tc>
          <w:tcPr>
            <w:tcW w:w="2880" w:type="dxa"/>
            <w:shd w:val="clear" w:color="auto" w:fill="auto"/>
            <w:noWrap/>
            <w:vAlign w:val="bottom"/>
            <w:hideMark/>
          </w:tcPr>
          <w:p w14:paraId="2AC74E56" w14:textId="77777777" w:rsidR="00633507" w:rsidRPr="000C18F3" w:rsidRDefault="00633507" w:rsidP="00950BEF">
            <w:pPr>
              <w:spacing w:after="0" w:line="240" w:lineRule="auto"/>
              <w:jc w:val="center"/>
              <w:rPr>
                <w:rFonts w:ascii="Times New Roman" w:eastAsia="Times New Roman" w:hAnsi="Times New Roman" w:cs="Times New Roman"/>
                <w:sz w:val="20"/>
                <w:szCs w:val="20"/>
              </w:rPr>
            </w:pPr>
          </w:p>
        </w:tc>
        <w:tc>
          <w:tcPr>
            <w:tcW w:w="2880" w:type="dxa"/>
            <w:shd w:val="clear" w:color="auto" w:fill="auto"/>
            <w:noWrap/>
            <w:vAlign w:val="bottom"/>
            <w:hideMark/>
          </w:tcPr>
          <w:p w14:paraId="3B14F69C" w14:textId="77777777" w:rsidR="00633507" w:rsidRPr="000C18F3" w:rsidRDefault="00633507" w:rsidP="00950BEF">
            <w:pPr>
              <w:spacing w:after="0" w:line="240" w:lineRule="auto"/>
              <w:jc w:val="center"/>
              <w:rPr>
                <w:rFonts w:ascii="Times New Roman" w:eastAsia="Times New Roman" w:hAnsi="Times New Roman" w:cs="Times New Roman"/>
                <w:sz w:val="20"/>
                <w:szCs w:val="20"/>
              </w:rPr>
            </w:pPr>
          </w:p>
        </w:tc>
      </w:tr>
    </w:tbl>
    <w:p w14:paraId="340A51FF" w14:textId="77777777" w:rsidR="00007311" w:rsidRDefault="00007311" w:rsidP="00347697">
      <w:pPr>
        <w:spacing w:after="0" w:line="240" w:lineRule="auto"/>
        <w:rPr>
          <w:rFonts w:ascii="Times New Roman" w:hAnsi="Times New Roman" w:cs="Times New Roman"/>
          <w:sz w:val="24"/>
          <w:szCs w:val="24"/>
        </w:rPr>
      </w:pPr>
    </w:p>
    <w:p w14:paraId="7FF634EF" w14:textId="77777777" w:rsidR="00A5589D" w:rsidRDefault="00A5589D">
      <w:pPr>
        <w:rPr>
          <w:rFonts w:ascii="Times New Roman" w:hAnsi="Times New Roman" w:cs="Times New Roman"/>
          <w:sz w:val="24"/>
          <w:szCs w:val="24"/>
        </w:rPr>
      </w:pPr>
      <w:r>
        <w:rPr>
          <w:rFonts w:ascii="Times New Roman" w:hAnsi="Times New Roman" w:cs="Times New Roman"/>
          <w:sz w:val="24"/>
          <w:szCs w:val="24"/>
        </w:rPr>
        <w:br w:type="page"/>
      </w:r>
    </w:p>
    <w:p w14:paraId="0D641CE1" w14:textId="240B1ECA" w:rsidR="00D21031" w:rsidRDefault="00B47E3F" w:rsidP="003476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4:  </w:t>
      </w:r>
      <w:r w:rsidRPr="00B47E3F">
        <w:rPr>
          <w:rFonts w:ascii="Times New Roman" w:hAnsi="Times New Roman" w:cs="Times New Roman"/>
          <w:sz w:val="24"/>
          <w:szCs w:val="24"/>
        </w:rPr>
        <w:t xml:space="preserve">Distribution of second math course attempted by first math course attempted </w:t>
      </w:r>
      <w:r w:rsidR="00E847C2">
        <w:rPr>
          <w:rFonts w:ascii="Times New Roman" w:hAnsi="Times New Roman" w:cs="Times New Roman"/>
          <w:sz w:val="24"/>
          <w:szCs w:val="24"/>
        </w:rPr>
        <w:t xml:space="preserve">and </w:t>
      </w:r>
      <w:r w:rsidR="00805C96">
        <w:rPr>
          <w:rFonts w:ascii="Times New Roman" w:hAnsi="Times New Roman" w:cs="Times New Roman"/>
          <w:sz w:val="24"/>
          <w:szCs w:val="24"/>
        </w:rPr>
        <w:t xml:space="preserve">outcome in first attempt of first math course, either </w:t>
      </w:r>
      <w:r w:rsidR="00E847C2">
        <w:rPr>
          <w:rFonts w:ascii="Times New Roman" w:hAnsi="Times New Roman" w:cs="Times New Roman"/>
          <w:sz w:val="24"/>
          <w:szCs w:val="24"/>
        </w:rPr>
        <w:t xml:space="preserve">successful </w:t>
      </w:r>
      <w:r w:rsidR="00805C96">
        <w:rPr>
          <w:rFonts w:ascii="Times New Roman" w:hAnsi="Times New Roman" w:cs="Times New Roman"/>
          <w:sz w:val="24"/>
          <w:szCs w:val="24"/>
        </w:rPr>
        <w:t xml:space="preserve">or unsuccessful </w:t>
      </w:r>
      <w:r w:rsidR="001F5B30">
        <w:rPr>
          <w:rFonts w:ascii="Times New Roman" w:hAnsi="Times New Roman" w:cs="Times New Roman"/>
          <w:sz w:val="24"/>
          <w:szCs w:val="24"/>
        </w:rPr>
        <w:t>(</w:t>
      </w:r>
      <w:r w:rsidRPr="00B47E3F">
        <w:rPr>
          <w:rFonts w:ascii="Times New Roman" w:hAnsi="Times New Roman" w:cs="Times New Roman"/>
          <w:sz w:val="24"/>
          <w:szCs w:val="24"/>
        </w:rPr>
        <w:t>transfer-seeking students</w:t>
      </w:r>
      <w:r w:rsidR="001F5B30">
        <w:rPr>
          <w:rFonts w:ascii="Times New Roman" w:hAnsi="Times New Roman" w:cs="Times New Roman"/>
          <w:sz w:val="24"/>
          <w:szCs w:val="24"/>
        </w:rPr>
        <w:t xml:space="preserve"> only)</w:t>
      </w:r>
    </w:p>
    <w:p w14:paraId="54B4AD77" w14:textId="77777777" w:rsidR="00D21031" w:rsidRDefault="00D21031" w:rsidP="00347697">
      <w:pPr>
        <w:spacing w:after="0" w:line="240" w:lineRule="auto"/>
        <w:rPr>
          <w:rFonts w:ascii="Times New Roman" w:hAnsi="Times New Roman" w:cs="Times New Roman"/>
          <w:sz w:val="24"/>
          <w:szCs w:val="24"/>
        </w:rPr>
      </w:pPr>
    </w:p>
    <w:tbl>
      <w:tblPr>
        <w:tblW w:w="12960" w:type="dxa"/>
        <w:tblCellMar>
          <w:left w:w="115" w:type="dxa"/>
          <w:right w:w="115" w:type="dxa"/>
        </w:tblCellMar>
        <w:tblLook w:val="04A0" w:firstRow="1" w:lastRow="0" w:firstColumn="1" w:lastColumn="0" w:noHBand="0" w:noVBand="1"/>
      </w:tblPr>
      <w:tblGrid>
        <w:gridCol w:w="2327"/>
        <w:gridCol w:w="893"/>
        <w:gridCol w:w="1004"/>
        <w:gridCol w:w="838"/>
        <w:gridCol w:w="1002"/>
        <w:gridCol w:w="1002"/>
        <w:gridCol w:w="1004"/>
        <w:gridCol w:w="1002"/>
        <w:gridCol w:w="1002"/>
        <w:gridCol w:w="1002"/>
        <w:gridCol w:w="880"/>
        <w:gridCol w:w="1004"/>
      </w:tblGrid>
      <w:tr w:rsidR="0045192C" w:rsidRPr="000C18F3" w14:paraId="43F5ACE3" w14:textId="77777777" w:rsidTr="00D334A5">
        <w:trPr>
          <w:trHeight w:val="510"/>
        </w:trPr>
        <w:tc>
          <w:tcPr>
            <w:tcW w:w="2160" w:type="dxa"/>
            <w:tcBorders>
              <w:top w:val="single" w:sz="4" w:space="0" w:color="auto"/>
              <w:left w:val="nil"/>
              <w:bottom w:val="nil"/>
              <w:right w:val="nil"/>
            </w:tcBorders>
            <w:shd w:val="clear" w:color="auto" w:fill="auto"/>
            <w:noWrap/>
            <w:vAlign w:val="bottom"/>
          </w:tcPr>
          <w:p w14:paraId="3A9BE677" w14:textId="77777777" w:rsidR="0045192C" w:rsidRPr="000C18F3" w:rsidRDefault="0045192C" w:rsidP="00862F4F">
            <w:pPr>
              <w:spacing w:after="0" w:line="240" w:lineRule="auto"/>
              <w:jc w:val="center"/>
              <w:rPr>
                <w:rFonts w:ascii="Times New Roman" w:eastAsia="Times New Roman" w:hAnsi="Times New Roman" w:cs="Times New Roman"/>
                <w:color w:val="000000"/>
                <w:sz w:val="16"/>
                <w:szCs w:val="16"/>
              </w:rPr>
            </w:pPr>
          </w:p>
        </w:tc>
        <w:tc>
          <w:tcPr>
            <w:tcW w:w="829" w:type="dxa"/>
            <w:tcBorders>
              <w:top w:val="single" w:sz="4" w:space="0" w:color="auto"/>
              <w:left w:val="nil"/>
              <w:right w:val="nil"/>
            </w:tcBorders>
            <w:shd w:val="clear" w:color="auto" w:fill="auto"/>
            <w:vAlign w:val="bottom"/>
          </w:tcPr>
          <w:p w14:paraId="09E5247F" w14:textId="77777777" w:rsidR="0045192C" w:rsidRPr="000C18F3" w:rsidRDefault="0045192C" w:rsidP="00862F4F">
            <w:pPr>
              <w:spacing w:after="0" w:line="240" w:lineRule="auto"/>
              <w:jc w:val="center"/>
              <w:rPr>
                <w:rFonts w:ascii="Times New Roman" w:eastAsia="Times New Roman" w:hAnsi="Times New Roman" w:cs="Times New Roman"/>
                <w:i/>
                <w:color w:val="000000"/>
                <w:sz w:val="16"/>
                <w:szCs w:val="16"/>
              </w:rPr>
            </w:pPr>
          </w:p>
        </w:tc>
        <w:tc>
          <w:tcPr>
            <w:tcW w:w="9041" w:type="dxa"/>
            <w:gridSpan w:val="10"/>
            <w:tcBorders>
              <w:top w:val="single" w:sz="4" w:space="0" w:color="auto"/>
              <w:left w:val="nil"/>
              <w:bottom w:val="single" w:sz="4" w:space="0" w:color="auto"/>
              <w:right w:val="nil"/>
            </w:tcBorders>
            <w:shd w:val="clear" w:color="auto" w:fill="auto"/>
            <w:vAlign w:val="center"/>
          </w:tcPr>
          <w:p w14:paraId="6B876334" w14:textId="297DF5D5" w:rsidR="0045192C" w:rsidRPr="000C18F3" w:rsidRDefault="0045192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Second Math</w:t>
            </w:r>
          </w:p>
        </w:tc>
      </w:tr>
      <w:tr w:rsidR="001D2B3B" w:rsidRPr="000C18F3" w14:paraId="00C4AD84" w14:textId="77777777" w:rsidTr="00D334A5">
        <w:trPr>
          <w:trHeight w:val="510"/>
        </w:trPr>
        <w:tc>
          <w:tcPr>
            <w:tcW w:w="2160" w:type="dxa"/>
            <w:tcBorders>
              <w:left w:val="nil"/>
              <w:bottom w:val="nil"/>
              <w:right w:val="nil"/>
            </w:tcBorders>
            <w:shd w:val="clear" w:color="auto" w:fill="auto"/>
            <w:noWrap/>
            <w:vAlign w:val="bottom"/>
          </w:tcPr>
          <w:p w14:paraId="4A962D27" w14:textId="72708B63"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p>
        </w:tc>
        <w:tc>
          <w:tcPr>
            <w:tcW w:w="829" w:type="dxa"/>
            <w:tcBorders>
              <w:left w:val="nil"/>
              <w:bottom w:val="single" w:sz="4" w:space="0" w:color="auto"/>
              <w:right w:val="nil"/>
            </w:tcBorders>
            <w:shd w:val="clear" w:color="auto" w:fill="auto"/>
            <w:vAlign w:val="bottom"/>
            <w:hideMark/>
          </w:tcPr>
          <w:p w14:paraId="7E4EFB1E" w14:textId="3C911D20" w:rsidR="001D2B3B" w:rsidRPr="000C18F3" w:rsidRDefault="001D2B3B" w:rsidP="00862F4F">
            <w:pPr>
              <w:spacing w:after="0" w:line="240" w:lineRule="auto"/>
              <w:jc w:val="center"/>
              <w:rPr>
                <w:rFonts w:ascii="Times New Roman" w:eastAsia="Times New Roman" w:hAnsi="Times New Roman" w:cs="Times New Roman"/>
                <w:i/>
                <w:color w:val="000000"/>
                <w:sz w:val="16"/>
                <w:szCs w:val="16"/>
              </w:rPr>
            </w:pPr>
            <w:r w:rsidRPr="000C18F3">
              <w:rPr>
                <w:rFonts w:ascii="Times New Roman" w:eastAsia="Times New Roman" w:hAnsi="Times New Roman" w:cs="Times New Roman"/>
                <w:i/>
                <w:color w:val="000000"/>
                <w:sz w:val="16"/>
                <w:szCs w:val="16"/>
              </w:rPr>
              <w:t>N</w:t>
            </w:r>
          </w:p>
        </w:tc>
        <w:tc>
          <w:tcPr>
            <w:tcW w:w="932" w:type="dxa"/>
            <w:tcBorders>
              <w:top w:val="single" w:sz="4" w:space="0" w:color="auto"/>
              <w:left w:val="nil"/>
              <w:bottom w:val="single" w:sz="4" w:space="0" w:color="auto"/>
              <w:right w:val="nil"/>
            </w:tcBorders>
            <w:shd w:val="clear" w:color="auto" w:fill="auto"/>
            <w:vAlign w:val="bottom"/>
            <w:hideMark/>
          </w:tcPr>
          <w:p w14:paraId="3704B8D1" w14:textId="46724EE5"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No Second Math</w:t>
            </w:r>
          </w:p>
        </w:tc>
        <w:tc>
          <w:tcPr>
            <w:tcW w:w="778" w:type="dxa"/>
            <w:tcBorders>
              <w:top w:val="single" w:sz="4" w:space="0" w:color="auto"/>
              <w:left w:val="nil"/>
              <w:bottom w:val="single" w:sz="4" w:space="0" w:color="auto"/>
              <w:right w:val="nil"/>
            </w:tcBorders>
            <w:vAlign w:val="bottom"/>
          </w:tcPr>
          <w:p w14:paraId="61E7B620" w14:textId="349D80F9" w:rsidR="001D2B3B" w:rsidRPr="000C18F3" w:rsidDel="00750967" w:rsidRDefault="001D2B3B" w:rsidP="00862F4F">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Repeat</w:t>
            </w:r>
          </w:p>
        </w:tc>
        <w:tc>
          <w:tcPr>
            <w:tcW w:w="930" w:type="dxa"/>
            <w:tcBorders>
              <w:top w:val="single" w:sz="4" w:space="0" w:color="auto"/>
              <w:left w:val="nil"/>
              <w:bottom w:val="single" w:sz="4" w:space="0" w:color="auto"/>
              <w:right w:val="nil"/>
            </w:tcBorders>
            <w:shd w:val="clear" w:color="auto" w:fill="auto"/>
            <w:vAlign w:val="bottom"/>
            <w:hideMark/>
          </w:tcPr>
          <w:p w14:paraId="7CE492E2" w14:textId="77777777"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Math B60</w:t>
            </w:r>
          </w:p>
        </w:tc>
        <w:tc>
          <w:tcPr>
            <w:tcW w:w="930" w:type="dxa"/>
            <w:tcBorders>
              <w:top w:val="single" w:sz="4" w:space="0" w:color="auto"/>
              <w:left w:val="nil"/>
              <w:bottom w:val="single" w:sz="4" w:space="0" w:color="auto"/>
              <w:right w:val="nil"/>
            </w:tcBorders>
            <w:shd w:val="clear" w:color="auto" w:fill="auto"/>
            <w:vAlign w:val="bottom"/>
            <w:hideMark/>
          </w:tcPr>
          <w:p w14:paraId="67E3D62B" w14:textId="77777777"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Math B70</w:t>
            </w:r>
          </w:p>
        </w:tc>
        <w:tc>
          <w:tcPr>
            <w:tcW w:w="932" w:type="dxa"/>
            <w:tcBorders>
              <w:top w:val="single" w:sz="4" w:space="0" w:color="auto"/>
              <w:left w:val="nil"/>
              <w:bottom w:val="single" w:sz="4" w:space="0" w:color="auto"/>
              <w:right w:val="nil"/>
            </w:tcBorders>
            <w:shd w:val="clear" w:color="auto" w:fill="auto"/>
            <w:vAlign w:val="bottom"/>
            <w:hideMark/>
          </w:tcPr>
          <w:p w14:paraId="5B8A4DF2" w14:textId="77777777"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LRNC B530 (Math B70)</w:t>
            </w:r>
          </w:p>
        </w:tc>
        <w:tc>
          <w:tcPr>
            <w:tcW w:w="930" w:type="dxa"/>
            <w:tcBorders>
              <w:top w:val="single" w:sz="4" w:space="0" w:color="auto"/>
              <w:left w:val="nil"/>
              <w:bottom w:val="single" w:sz="4" w:space="0" w:color="auto"/>
              <w:right w:val="nil"/>
            </w:tcBorders>
            <w:shd w:val="clear" w:color="auto" w:fill="auto"/>
            <w:vAlign w:val="bottom"/>
            <w:hideMark/>
          </w:tcPr>
          <w:p w14:paraId="63DD1148" w14:textId="77777777"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Math B1A</w:t>
            </w:r>
          </w:p>
        </w:tc>
        <w:tc>
          <w:tcPr>
            <w:tcW w:w="930" w:type="dxa"/>
            <w:tcBorders>
              <w:top w:val="single" w:sz="4" w:space="0" w:color="auto"/>
              <w:left w:val="nil"/>
              <w:bottom w:val="single" w:sz="4" w:space="0" w:color="auto"/>
              <w:right w:val="nil"/>
            </w:tcBorders>
            <w:shd w:val="clear" w:color="auto" w:fill="auto"/>
            <w:vAlign w:val="bottom"/>
            <w:hideMark/>
          </w:tcPr>
          <w:p w14:paraId="32ECE53A" w14:textId="77777777"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Math B22</w:t>
            </w:r>
          </w:p>
        </w:tc>
        <w:tc>
          <w:tcPr>
            <w:tcW w:w="930" w:type="dxa"/>
            <w:tcBorders>
              <w:top w:val="single" w:sz="4" w:space="0" w:color="auto"/>
              <w:left w:val="nil"/>
              <w:bottom w:val="single" w:sz="4" w:space="0" w:color="auto"/>
              <w:right w:val="nil"/>
            </w:tcBorders>
            <w:shd w:val="clear" w:color="auto" w:fill="auto"/>
            <w:vAlign w:val="bottom"/>
            <w:hideMark/>
          </w:tcPr>
          <w:p w14:paraId="5F959691" w14:textId="77777777"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Psyc B5</w:t>
            </w:r>
          </w:p>
        </w:tc>
        <w:tc>
          <w:tcPr>
            <w:tcW w:w="817" w:type="dxa"/>
            <w:tcBorders>
              <w:top w:val="single" w:sz="4" w:space="0" w:color="auto"/>
              <w:left w:val="nil"/>
              <w:bottom w:val="single" w:sz="4" w:space="0" w:color="auto"/>
              <w:right w:val="nil"/>
            </w:tcBorders>
            <w:vAlign w:val="bottom"/>
          </w:tcPr>
          <w:p w14:paraId="69D5A5BD" w14:textId="3027BB63"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Other</w:t>
            </w:r>
          </w:p>
        </w:tc>
        <w:tc>
          <w:tcPr>
            <w:tcW w:w="932" w:type="dxa"/>
            <w:tcBorders>
              <w:top w:val="single" w:sz="4" w:space="0" w:color="auto"/>
              <w:left w:val="nil"/>
              <w:bottom w:val="single" w:sz="4" w:space="0" w:color="auto"/>
              <w:right w:val="nil"/>
            </w:tcBorders>
            <w:shd w:val="clear" w:color="auto" w:fill="auto"/>
            <w:vAlign w:val="bottom"/>
            <w:hideMark/>
          </w:tcPr>
          <w:p w14:paraId="08BE1F55" w14:textId="68965206"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Total</w:t>
            </w:r>
          </w:p>
        </w:tc>
      </w:tr>
      <w:tr w:rsidR="001D2B3B" w:rsidRPr="000C18F3" w14:paraId="18BA5F29" w14:textId="77777777" w:rsidTr="00D334A5">
        <w:trPr>
          <w:trHeight w:val="255"/>
        </w:trPr>
        <w:tc>
          <w:tcPr>
            <w:tcW w:w="2160" w:type="dxa"/>
            <w:tcBorders>
              <w:top w:val="nil"/>
              <w:left w:val="nil"/>
              <w:right w:val="nil"/>
            </w:tcBorders>
            <w:shd w:val="clear" w:color="auto" w:fill="auto"/>
            <w:noWrap/>
            <w:vAlign w:val="bottom"/>
          </w:tcPr>
          <w:p w14:paraId="3BEA7C23" w14:textId="77777777" w:rsidR="001D2B3B" w:rsidRPr="000C18F3" w:rsidDel="009E1FE3" w:rsidRDefault="001D2B3B" w:rsidP="00862F4F">
            <w:pPr>
              <w:spacing w:after="0" w:line="240" w:lineRule="auto"/>
              <w:rPr>
                <w:rFonts w:ascii="Times New Roman" w:eastAsia="Times New Roman" w:hAnsi="Times New Roman" w:cs="Times New Roman"/>
                <w:color w:val="000000"/>
                <w:sz w:val="16"/>
                <w:szCs w:val="16"/>
              </w:rPr>
            </w:pPr>
          </w:p>
        </w:tc>
        <w:tc>
          <w:tcPr>
            <w:tcW w:w="829" w:type="dxa"/>
            <w:tcBorders>
              <w:top w:val="single" w:sz="4" w:space="0" w:color="auto"/>
              <w:left w:val="nil"/>
              <w:right w:val="nil"/>
            </w:tcBorders>
            <w:shd w:val="clear" w:color="auto" w:fill="auto"/>
            <w:noWrap/>
            <w:vAlign w:val="bottom"/>
          </w:tcPr>
          <w:p w14:paraId="2DA91D83" w14:textId="77777777" w:rsidR="001D2B3B" w:rsidRPr="000C18F3" w:rsidDel="009E1FE3" w:rsidRDefault="001D2B3B" w:rsidP="00862F4F">
            <w:pPr>
              <w:tabs>
                <w:tab w:val="decimal" w:pos="508"/>
              </w:tabs>
              <w:spacing w:after="0" w:line="240" w:lineRule="auto"/>
              <w:rPr>
                <w:rFonts w:ascii="Times New Roman" w:eastAsia="Times New Roman" w:hAnsi="Times New Roman" w:cs="Times New Roman"/>
                <w:color w:val="000000"/>
                <w:sz w:val="16"/>
                <w:szCs w:val="16"/>
              </w:rPr>
            </w:pPr>
          </w:p>
        </w:tc>
        <w:tc>
          <w:tcPr>
            <w:tcW w:w="932" w:type="dxa"/>
            <w:tcBorders>
              <w:top w:val="single" w:sz="4" w:space="0" w:color="auto"/>
              <w:left w:val="nil"/>
              <w:right w:val="nil"/>
            </w:tcBorders>
            <w:shd w:val="clear" w:color="auto" w:fill="auto"/>
            <w:noWrap/>
            <w:vAlign w:val="bottom"/>
          </w:tcPr>
          <w:p w14:paraId="4BDDF96A"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778" w:type="dxa"/>
            <w:tcBorders>
              <w:top w:val="single" w:sz="4" w:space="0" w:color="auto"/>
              <w:left w:val="nil"/>
              <w:right w:val="nil"/>
            </w:tcBorders>
            <w:vAlign w:val="bottom"/>
          </w:tcPr>
          <w:p w14:paraId="1DB634A5"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930" w:type="dxa"/>
            <w:tcBorders>
              <w:top w:val="single" w:sz="4" w:space="0" w:color="auto"/>
              <w:left w:val="nil"/>
              <w:right w:val="nil"/>
            </w:tcBorders>
            <w:shd w:val="clear" w:color="auto" w:fill="auto"/>
            <w:noWrap/>
            <w:vAlign w:val="bottom"/>
          </w:tcPr>
          <w:p w14:paraId="720E6F50"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930" w:type="dxa"/>
            <w:tcBorders>
              <w:top w:val="single" w:sz="4" w:space="0" w:color="auto"/>
              <w:left w:val="nil"/>
              <w:right w:val="nil"/>
            </w:tcBorders>
            <w:shd w:val="clear" w:color="auto" w:fill="auto"/>
            <w:noWrap/>
            <w:vAlign w:val="bottom"/>
          </w:tcPr>
          <w:p w14:paraId="2ED133F1"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932" w:type="dxa"/>
            <w:tcBorders>
              <w:top w:val="single" w:sz="4" w:space="0" w:color="auto"/>
              <w:left w:val="nil"/>
              <w:right w:val="nil"/>
            </w:tcBorders>
            <w:shd w:val="clear" w:color="auto" w:fill="auto"/>
            <w:noWrap/>
            <w:vAlign w:val="bottom"/>
          </w:tcPr>
          <w:p w14:paraId="2E9CEA2D"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930" w:type="dxa"/>
            <w:tcBorders>
              <w:top w:val="single" w:sz="4" w:space="0" w:color="auto"/>
              <w:left w:val="nil"/>
              <w:right w:val="nil"/>
            </w:tcBorders>
            <w:shd w:val="clear" w:color="auto" w:fill="auto"/>
            <w:noWrap/>
            <w:vAlign w:val="bottom"/>
          </w:tcPr>
          <w:p w14:paraId="54D080F0"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930" w:type="dxa"/>
            <w:tcBorders>
              <w:top w:val="single" w:sz="4" w:space="0" w:color="auto"/>
              <w:left w:val="nil"/>
              <w:right w:val="nil"/>
            </w:tcBorders>
            <w:shd w:val="clear" w:color="auto" w:fill="auto"/>
            <w:noWrap/>
            <w:vAlign w:val="bottom"/>
          </w:tcPr>
          <w:p w14:paraId="5DEF57B2"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930" w:type="dxa"/>
            <w:tcBorders>
              <w:top w:val="single" w:sz="4" w:space="0" w:color="auto"/>
              <w:left w:val="nil"/>
              <w:right w:val="nil"/>
            </w:tcBorders>
            <w:shd w:val="clear" w:color="auto" w:fill="auto"/>
            <w:noWrap/>
            <w:vAlign w:val="bottom"/>
          </w:tcPr>
          <w:p w14:paraId="334126A4"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817" w:type="dxa"/>
            <w:tcBorders>
              <w:top w:val="single" w:sz="4" w:space="0" w:color="auto"/>
              <w:left w:val="nil"/>
              <w:right w:val="nil"/>
            </w:tcBorders>
          </w:tcPr>
          <w:p w14:paraId="65742AC8"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932" w:type="dxa"/>
            <w:tcBorders>
              <w:top w:val="single" w:sz="4" w:space="0" w:color="auto"/>
              <w:left w:val="nil"/>
              <w:right w:val="nil"/>
            </w:tcBorders>
            <w:shd w:val="clear" w:color="auto" w:fill="auto"/>
            <w:noWrap/>
            <w:vAlign w:val="bottom"/>
          </w:tcPr>
          <w:p w14:paraId="349A2641"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r>
      <w:tr w:rsidR="001D2B3B" w:rsidRPr="000C18F3" w14:paraId="5CA7C71C" w14:textId="77777777" w:rsidTr="00D334A5">
        <w:trPr>
          <w:trHeight w:val="255"/>
        </w:trPr>
        <w:tc>
          <w:tcPr>
            <w:tcW w:w="2160" w:type="dxa"/>
            <w:tcBorders>
              <w:left w:val="nil"/>
              <w:right w:val="nil"/>
            </w:tcBorders>
            <w:shd w:val="clear" w:color="auto" w:fill="auto"/>
            <w:noWrap/>
            <w:vAlign w:val="bottom"/>
            <w:hideMark/>
          </w:tcPr>
          <w:p w14:paraId="272AEA60" w14:textId="13CB17D7" w:rsidR="001D2B3B" w:rsidRPr="000C18F3" w:rsidRDefault="001D2B3B" w:rsidP="00595BB2">
            <w:pPr>
              <w:spacing w:after="0" w:line="240" w:lineRule="auto"/>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Successful in First Attempt of First Math</w:t>
            </w:r>
          </w:p>
        </w:tc>
        <w:tc>
          <w:tcPr>
            <w:tcW w:w="829" w:type="dxa"/>
            <w:tcBorders>
              <w:left w:val="nil"/>
              <w:right w:val="nil"/>
            </w:tcBorders>
            <w:shd w:val="clear" w:color="auto" w:fill="auto"/>
            <w:noWrap/>
            <w:vAlign w:val="bottom"/>
          </w:tcPr>
          <w:p w14:paraId="346E2C82" w14:textId="715E5EB5" w:rsidR="001D2B3B" w:rsidRPr="000C18F3" w:rsidRDefault="001D2B3B" w:rsidP="00862F4F">
            <w:pPr>
              <w:tabs>
                <w:tab w:val="decimal" w:pos="508"/>
              </w:tabs>
              <w:spacing w:after="0" w:line="240" w:lineRule="auto"/>
              <w:rPr>
                <w:rFonts w:ascii="Times New Roman" w:eastAsia="Times New Roman" w:hAnsi="Times New Roman" w:cs="Times New Roman"/>
                <w:color w:val="000000"/>
                <w:sz w:val="16"/>
                <w:szCs w:val="16"/>
              </w:rPr>
            </w:pPr>
          </w:p>
        </w:tc>
        <w:tc>
          <w:tcPr>
            <w:tcW w:w="932" w:type="dxa"/>
            <w:tcBorders>
              <w:left w:val="nil"/>
              <w:right w:val="nil"/>
            </w:tcBorders>
            <w:shd w:val="clear" w:color="auto" w:fill="auto"/>
            <w:noWrap/>
            <w:vAlign w:val="bottom"/>
          </w:tcPr>
          <w:p w14:paraId="01AE4395" w14:textId="4C642A28"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p>
        </w:tc>
        <w:tc>
          <w:tcPr>
            <w:tcW w:w="778" w:type="dxa"/>
            <w:tcBorders>
              <w:left w:val="nil"/>
              <w:right w:val="nil"/>
            </w:tcBorders>
            <w:vAlign w:val="bottom"/>
          </w:tcPr>
          <w:p w14:paraId="4A70F0F8"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930" w:type="dxa"/>
            <w:tcBorders>
              <w:left w:val="nil"/>
              <w:right w:val="nil"/>
            </w:tcBorders>
            <w:shd w:val="clear" w:color="auto" w:fill="auto"/>
            <w:noWrap/>
            <w:vAlign w:val="bottom"/>
          </w:tcPr>
          <w:p w14:paraId="5944CB70" w14:textId="39B229A8"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p>
        </w:tc>
        <w:tc>
          <w:tcPr>
            <w:tcW w:w="930" w:type="dxa"/>
            <w:tcBorders>
              <w:left w:val="nil"/>
              <w:right w:val="nil"/>
            </w:tcBorders>
            <w:shd w:val="clear" w:color="auto" w:fill="auto"/>
            <w:noWrap/>
            <w:vAlign w:val="bottom"/>
          </w:tcPr>
          <w:p w14:paraId="3F3D5E74" w14:textId="02F4E5CE"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p>
        </w:tc>
        <w:tc>
          <w:tcPr>
            <w:tcW w:w="932" w:type="dxa"/>
            <w:tcBorders>
              <w:left w:val="nil"/>
              <w:right w:val="nil"/>
            </w:tcBorders>
            <w:shd w:val="clear" w:color="auto" w:fill="auto"/>
            <w:noWrap/>
            <w:vAlign w:val="bottom"/>
          </w:tcPr>
          <w:p w14:paraId="359DC2ED" w14:textId="0820C62A"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p>
        </w:tc>
        <w:tc>
          <w:tcPr>
            <w:tcW w:w="930" w:type="dxa"/>
            <w:tcBorders>
              <w:left w:val="nil"/>
              <w:right w:val="nil"/>
            </w:tcBorders>
            <w:shd w:val="clear" w:color="auto" w:fill="auto"/>
            <w:noWrap/>
            <w:vAlign w:val="bottom"/>
          </w:tcPr>
          <w:p w14:paraId="004BC0CA" w14:textId="6C5EE0D2"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p>
        </w:tc>
        <w:tc>
          <w:tcPr>
            <w:tcW w:w="930" w:type="dxa"/>
            <w:tcBorders>
              <w:left w:val="nil"/>
              <w:right w:val="nil"/>
            </w:tcBorders>
            <w:shd w:val="clear" w:color="auto" w:fill="auto"/>
            <w:noWrap/>
            <w:vAlign w:val="bottom"/>
          </w:tcPr>
          <w:p w14:paraId="752FABD1" w14:textId="0EE3C587"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p>
        </w:tc>
        <w:tc>
          <w:tcPr>
            <w:tcW w:w="930" w:type="dxa"/>
            <w:tcBorders>
              <w:left w:val="nil"/>
              <w:right w:val="nil"/>
            </w:tcBorders>
            <w:shd w:val="clear" w:color="auto" w:fill="auto"/>
            <w:noWrap/>
            <w:vAlign w:val="bottom"/>
          </w:tcPr>
          <w:p w14:paraId="580F3305" w14:textId="3035C605"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p>
        </w:tc>
        <w:tc>
          <w:tcPr>
            <w:tcW w:w="817" w:type="dxa"/>
            <w:tcBorders>
              <w:left w:val="nil"/>
              <w:right w:val="nil"/>
            </w:tcBorders>
            <w:vAlign w:val="bottom"/>
          </w:tcPr>
          <w:p w14:paraId="09E3A759" w14:textId="77777777" w:rsidR="001D2B3B" w:rsidRPr="000C18F3" w:rsidDel="009E1FE3" w:rsidRDefault="001D2B3B" w:rsidP="00862F4F">
            <w:pPr>
              <w:spacing w:after="0" w:line="240" w:lineRule="auto"/>
              <w:jc w:val="center"/>
              <w:rPr>
                <w:rFonts w:ascii="Times New Roman" w:eastAsia="Times New Roman" w:hAnsi="Times New Roman" w:cs="Times New Roman"/>
                <w:color w:val="000000"/>
                <w:sz w:val="16"/>
                <w:szCs w:val="16"/>
              </w:rPr>
            </w:pPr>
          </w:p>
        </w:tc>
        <w:tc>
          <w:tcPr>
            <w:tcW w:w="932" w:type="dxa"/>
            <w:tcBorders>
              <w:left w:val="nil"/>
              <w:right w:val="nil"/>
            </w:tcBorders>
            <w:shd w:val="clear" w:color="auto" w:fill="auto"/>
            <w:noWrap/>
            <w:vAlign w:val="bottom"/>
          </w:tcPr>
          <w:p w14:paraId="5A251BC9" w14:textId="19FA84D0" w:rsidR="001D2B3B" w:rsidRPr="000C18F3" w:rsidRDefault="001D2B3B" w:rsidP="00862F4F">
            <w:pPr>
              <w:spacing w:after="0" w:line="240" w:lineRule="auto"/>
              <w:jc w:val="center"/>
              <w:rPr>
                <w:rFonts w:ascii="Times New Roman" w:eastAsia="Times New Roman" w:hAnsi="Times New Roman" w:cs="Times New Roman"/>
                <w:color w:val="000000"/>
                <w:sz w:val="16"/>
                <w:szCs w:val="16"/>
              </w:rPr>
            </w:pPr>
          </w:p>
        </w:tc>
      </w:tr>
      <w:tr w:rsidR="0045192C" w:rsidRPr="000C18F3" w14:paraId="185D00C8" w14:textId="77777777" w:rsidTr="00D334A5">
        <w:trPr>
          <w:trHeight w:val="255"/>
        </w:trPr>
        <w:tc>
          <w:tcPr>
            <w:tcW w:w="2160" w:type="dxa"/>
            <w:tcBorders>
              <w:left w:val="nil"/>
              <w:bottom w:val="nil"/>
              <w:right w:val="nil"/>
            </w:tcBorders>
            <w:shd w:val="clear" w:color="auto" w:fill="auto"/>
            <w:noWrap/>
            <w:vAlign w:val="bottom"/>
            <w:hideMark/>
          </w:tcPr>
          <w:p w14:paraId="7DF6CC20" w14:textId="77777777"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ACDV B72</w:t>
            </w:r>
          </w:p>
        </w:tc>
        <w:tc>
          <w:tcPr>
            <w:tcW w:w="829" w:type="dxa"/>
            <w:tcBorders>
              <w:left w:val="nil"/>
              <w:bottom w:val="nil"/>
              <w:right w:val="nil"/>
            </w:tcBorders>
            <w:shd w:val="clear" w:color="auto" w:fill="auto"/>
            <w:noWrap/>
            <w:vAlign w:val="bottom"/>
            <w:hideMark/>
          </w:tcPr>
          <w:p w14:paraId="0001F1A6" w14:textId="3AC5CE9E"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376</w:t>
            </w:r>
          </w:p>
        </w:tc>
        <w:tc>
          <w:tcPr>
            <w:tcW w:w="932" w:type="dxa"/>
            <w:tcBorders>
              <w:left w:val="nil"/>
              <w:bottom w:val="nil"/>
              <w:right w:val="nil"/>
            </w:tcBorders>
            <w:shd w:val="clear" w:color="auto" w:fill="auto"/>
            <w:noWrap/>
            <w:vAlign w:val="bottom"/>
            <w:hideMark/>
          </w:tcPr>
          <w:p w14:paraId="65A010E5" w14:textId="51945FE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32%</w:t>
            </w:r>
          </w:p>
        </w:tc>
        <w:tc>
          <w:tcPr>
            <w:tcW w:w="778" w:type="dxa"/>
            <w:tcBorders>
              <w:left w:val="nil"/>
              <w:bottom w:val="nil"/>
              <w:right w:val="nil"/>
            </w:tcBorders>
            <w:vAlign w:val="bottom"/>
          </w:tcPr>
          <w:p w14:paraId="4E145933" w14:textId="634001B5"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w:t>
            </w:r>
          </w:p>
        </w:tc>
        <w:tc>
          <w:tcPr>
            <w:tcW w:w="930" w:type="dxa"/>
            <w:tcBorders>
              <w:left w:val="nil"/>
              <w:bottom w:val="nil"/>
              <w:right w:val="nil"/>
            </w:tcBorders>
            <w:shd w:val="clear" w:color="auto" w:fill="auto"/>
            <w:noWrap/>
            <w:vAlign w:val="bottom"/>
            <w:hideMark/>
          </w:tcPr>
          <w:p w14:paraId="63AA4EF2" w14:textId="44313A2D"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53%</w:t>
            </w:r>
          </w:p>
        </w:tc>
        <w:tc>
          <w:tcPr>
            <w:tcW w:w="930" w:type="dxa"/>
            <w:tcBorders>
              <w:left w:val="nil"/>
              <w:bottom w:val="nil"/>
              <w:right w:val="nil"/>
            </w:tcBorders>
            <w:shd w:val="clear" w:color="auto" w:fill="auto"/>
            <w:noWrap/>
            <w:vAlign w:val="bottom"/>
            <w:hideMark/>
          </w:tcPr>
          <w:p w14:paraId="17A37C99" w14:textId="2F91AED5"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2" w:type="dxa"/>
            <w:tcBorders>
              <w:left w:val="nil"/>
              <w:bottom w:val="nil"/>
              <w:right w:val="nil"/>
            </w:tcBorders>
            <w:shd w:val="clear" w:color="auto" w:fill="auto"/>
            <w:noWrap/>
            <w:vAlign w:val="bottom"/>
            <w:hideMark/>
          </w:tcPr>
          <w:p w14:paraId="780D3E5E" w14:textId="02ECFD1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left w:val="nil"/>
              <w:bottom w:val="nil"/>
              <w:right w:val="nil"/>
            </w:tcBorders>
            <w:shd w:val="clear" w:color="auto" w:fill="auto"/>
            <w:noWrap/>
            <w:vAlign w:val="bottom"/>
            <w:hideMark/>
          </w:tcPr>
          <w:p w14:paraId="2F1E9BAE" w14:textId="58B641C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left w:val="nil"/>
              <w:bottom w:val="nil"/>
              <w:right w:val="nil"/>
            </w:tcBorders>
            <w:shd w:val="clear" w:color="auto" w:fill="auto"/>
            <w:noWrap/>
            <w:vAlign w:val="bottom"/>
            <w:hideMark/>
          </w:tcPr>
          <w:p w14:paraId="44471BAE" w14:textId="63067B1C"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left w:val="nil"/>
              <w:bottom w:val="nil"/>
              <w:right w:val="nil"/>
            </w:tcBorders>
            <w:shd w:val="clear" w:color="auto" w:fill="auto"/>
            <w:noWrap/>
            <w:vAlign w:val="bottom"/>
          </w:tcPr>
          <w:p w14:paraId="00F89B52" w14:textId="59A8F03E"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817" w:type="dxa"/>
            <w:tcBorders>
              <w:left w:val="nil"/>
              <w:bottom w:val="nil"/>
              <w:right w:val="nil"/>
            </w:tcBorders>
            <w:vAlign w:val="bottom"/>
          </w:tcPr>
          <w:p w14:paraId="41C9464F" w14:textId="4115689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15%</w:t>
            </w:r>
          </w:p>
        </w:tc>
        <w:tc>
          <w:tcPr>
            <w:tcW w:w="932" w:type="dxa"/>
            <w:tcBorders>
              <w:left w:val="nil"/>
              <w:bottom w:val="nil"/>
              <w:right w:val="nil"/>
            </w:tcBorders>
            <w:shd w:val="clear" w:color="auto" w:fill="auto"/>
            <w:noWrap/>
            <w:vAlign w:val="bottom"/>
            <w:hideMark/>
          </w:tcPr>
          <w:p w14:paraId="5C6B3855" w14:textId="7D97C0B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100%</w:t>
            </w:r>
          </w:p>
        </w:tc>
      </w:tr>
      <w:tr w:rsidR="0045192C" w:rsidRPr="000C18F3" w14:paraId="0E003CD6" w14:textId="77777777" w:rsidTr="00D334A5">
        <w:trPr>
          <w:trHeight w:val="255"/>
        </w:trPr>
        <w:tc>
          <w:tcPr>
            <w:tcW w:w="2160" w:type="dxa"/>
            <w:tcBorders>
              <w:top w:val="nil"/>
              <w:left w:val="nil"/>
              <w:bottom w:val="nil"/>
              <w:right w:val="nil"/>
            </w:tcBorders>
            <w:shd w:val="clear" w:color="auto" w:fill="auto"/>
            <w:noWrap/>
            <w:vAlign w:val="bottom"/>
            <w:hideMark/>
          </w:tcPr>
          <w:p w14:paraId="2B8E55E3" w14:textId="51C16BA0"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Math B60</w:t>
            </w:r>
          </w:p>
        </w:tc>
        <w:tc>
          <w:tcPr>
            <w:tcW w:w="829" w:type="dxa"/>
            <w:tcBorders>
              <w:top w:val="nil"/>
              <w:left w:val="nil"/>
              <w:bottom w:val="nil"/>
              <w:right w:val="nil"/>
            </w:tcBorders>
            <w:shd w:val="clear" w:color="auto" w:fill="auto"/>
            <w:noWrap/>
            <w:vAlign w:val="bottom"/>
            <w:hideMark/>
          </w:tcPr>
          <w:p w14:paraId="0E81C1B4" w14:textId="1EB802D4"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576</w:t>
            </w:r>
          </w:p>
        </w:tc>
        <w:tc>
          <w:tcPr>
            <w:tcW w:w="932" w:type="dxa"/>
            <w:tcBorders>
              <w:top w:val="nil"/>
              <w:left w:val="nil"/>
              <w:bottom w:val="nil"/>
              <w:right w:val="nil"/>
            </w:tcBorders>
            <w:shd w:val="clear" w:color="auto" w:fill="auto"/>
            <w:noWrap/>
            <w:vAlign w:val="bottom"/>
            <w:hideMark/>
          </w:tcPr>
          <w:p w14:paraId="22F0E0DF" w14:textId="14513A5D"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14%</w:t>
            </w:r>
          </w:p>
        </w:tc>
        <w:tc>
          <w:tcPr>
            <w:tcW w:w="778" w:type="dxa"/>
            <w:tcBorders>
              <w:top w:val="nil"/>
              <w:left w:val="nil"/>
              <w:bottom w:val="nil"/>
              <w:right w:val="nil"/>
            </w:tcBorders>
            <w:vAlign w:val="bottom"/>
          </w:tcPr>
          <w:p w14:paraId="398A70D1" w14:textId="298E60A3"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6114CB2F" w14:textId="0B38AFD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75C3B538" w14:textId="18BFA653"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84%</w:t>
            </w:r>
          </w:p>
        </w:tc>
        <w:tc>
          <w:tcPr>
            <w:tcW w:w="932" w:type="dxa"/>
            <w:tcBorders>
              <w:top w:val="nil"/>
              <w:left w:val="nil"/>
              <w:bottom w:val="nil"/>
              <w:right w:val="nil"/>
            </w:tcBorders>
            <w:shd w:val="clear" w:color="auto" w:fill="auto"/>
            <w:noWrap/>
            <w:vAlign w:val="bottom"/>
            <w:hideMark/>
          </w:tcPr>
          <w:p w14:paraId="06CB7DF5" w14:textId="0B5C8D5B"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47ABE6BC" w14:textId="78A78F4E"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28BFA61F" w14:textId="4F31ACD4"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5BBDF91D" w14:textId="6D5A6289"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817" w:type="dxa"/>
            <w:tcBorders>
              <w:top w:val="nil"/>
              <w:left w:val="nil"/>
              <w:bottom w:val="nil"/>
              <w:right w:val="nil"/>
            </w:tcBorders>
            <w:vAlign w:val="bottom"/>
          </w:tcPr>
          <w:p w14:paraId="166B2BC2" w14:textId="3F83215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2%</w:t>
            </w:r>
          </w:p>
        </w:tc>
        <w:tc>
          <w:tcPr>
            <w:tcW w:w="932" w:type="dxa"/>
            <w:tcBorders>
              <w:top w:val="nil"/>
              <w:left w:val="nil"/>
              <w:bottom w:val="nil"/>
              <w:right w:val="nil"/>
            </w:tcBorders>
            <w:shd w:val="clear" w:color="auto" w:fill="auto"/>
            <w:noWrap/>
            <w:vAlign w:val="bottom"/>
            <w:hideMark/>
          </w:tcPr>
          <w:p w14:paraId="220AA8F3" w14:textId="619B1B1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100%</w:t>
            </w:r>
          </w:p>
        </w:tc>
      </w:tr>
      <w:tr w:rsidR="0045192C" w:rsidRPr="000C18F3" w14:paraId="60E7F571" w14:textId="77777777" w:rsidTr="00D334A5">
        <w:trPr>
          <w:trHeight w:val="255"/>
        </w:trPr>
        <w:tc>
          <w:tcPr>
            <w:tcW w:w="2160" w:type="dxa"/>
            <w:tcBorders>
              <w:top w:val="nil"/>
              <w:left w:val="nil"/>
              <w:bottom w:val="nil"/>
              <w:right w:val="nil"/>
            </w:tcBorders>
            <w:shd w:val="clear" w:color="auto" w:fill="auto"/>
            <w:noWrap/>
            <w:vAlign w:val="bottom"/>
            <w:hideMark/>
          </w:tcPr>
          <w:p w14:paraId="3A2A86F4" w14:textId="417E36DE"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Math B65</w:t>
            </w:r>
          </w:p>
        </w:tc>
        <w:tc>
          <w:tcPr>
            <w:tcW w:w="829" w:type="dxa"/>
            <w:tcBorders>
              <w:top w:val="nil"/>
              <w:left w:val="nil"/>
              <w:bottom w:val="nil"/>
              <w:right w:val="nil"/>
            </w:tcBorders>
            <w:shd w:val="clear" w:color="auto" w:fill="auto"/>
            <w:noWrap/>
            <w:vAlign w:val="bottom"/>
            <w:hideMark/>
          </w:tcPr>
          <w:p w14:paraId="0C8814BD" w14:textId="201BFA53"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74</w:t>
            </w:r>
          </w:p>
        </w:tc>
        <w:tc>
          <w:tcPr>
            <w:tcW w:w="932" w:type="dxa"/>
            <w:tcBorders>
              <w:top w:val="nil"/>
              <w:left w:val="nil"/>
              <w:bottom w:val="nil"/>
              <w:right w:val="nil"/>
            </w:tcBorders>
            <w:shd w:val="clear" w:color="auto" w:fill="auto"/>
            <w:noWrap/>
            <w:vAlign w:val="bottom"/>
            <w:hideMark/>
          </w:tcPr>
          <w:p w14:paraId="5B903ED2" w14:textId="6C5EF38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43%</w:t>
            </w:r>
          </w:p>
        </w:tc>
        <w:tc>
          <w:tcPr>
            <w:tcW w:w="778" w:type="dxa"/>
            <w:tcBorders>
              <w:top w:val="nil"/>
              <w:left w:val="nil"/>
              <w:bottom w:val="nil"/>
              <w:right w:val="nil"/>
            </w:tcBorders>
            <w:vAlign w:val="bottom"/>
          </w:tcPr>
          <w:p w14:paraId="7B613B37" w14:textId="561E058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26BFB7AB" w14:textId="11B176C9"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23F5E18E" w14:textId="6026B07E"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2" w:type="dxa"/>
            <w:tcBorders>
              <w:top w:val="nil"/>
              <w:left w:val="nil"/>
              <w:bottom w:val="nil"/>
              <w:right w:val="nil"/>
            </w:tcBorders>
            <w:shd w:val="clear" w:color="auto" w:fill="auto"/>
            <w:noWrap/>
            <w:vAlign w:val="bottom"/>
            <w:hideMark/>
          </w:tcPr>
          <w:p w14:paraId="49E80FE3" w14:textId="474DC9C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66B660F6" w14:textId="0E43E39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7DB2B3FA" w14:textId="5D7EE614"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26%</w:t>
            </w:r>
          </w:p>
        </w:tc>
        <w:tc>
          <w:tcPr>
            <w:tcW w:w="930" w:type="dxa"/>
            <w:tcBorders>
              <w:top w:val="nil"/>
              <w:left w:val="nil"/>
              <w:bottom w:val="nil"/>
              <w:right w:val="nil"/>
            </w:tcBorders>
            <w:shd w:val="clear" w:color="auto" w:fill="auto"/>
            <w:noWrap/>
            <w:vAlign w:val="bottom"/>
          </w:tcPr>
          <w:p w14:paraId="23D93CA7" w14:textId="24A4203E"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23%</w:t>
            </w:r>
          </w:p>
        </w:tc>
        <w:tc>
          <w:tcPr>
            <w:tcW w:w="817" w:type="dxa"/>
            <w:tcBorders>
              <w:top w:val="nil"/>
              <w:left w:val="nil"/>
              <w:bottom w:val="nil"/>
              <w:right w:val="nil"/>
            </w:tcBorders>
            <w:vAlign w:val="bottom"/>
          </w:tcPr>
          <w:p w14:paraId="7A183AF7" w14:textId="47759F1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8%</w:t>
            </w:r>
          </w:p>
        </w:tc>
        <w:tc>
          <w:tcPr>
            <w:tcW w:w="932" w:type="dxa"/>
            <w:tcBorders>
              <w:top w:val="nil"/>
              <w:left w:val="nil"/>
              <w:bottom w:val="nil"/>
              <w:right w:val="nil"/>
            </w:tcBorders>
            <w:shd w:val="clear" w:color="auto" w:fill="auto"/>
            <w:noWrap/>
            <w:vAlign w:val="bottom"/>
            <w:hideMark/>
          </w:tcPr>
          <w:p w14:paraId="5FF8A53D" w14:textId="287A6242"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100%</w:t>
            </w:r>
          </w:p>
        </w:tc>
      </w:tr>
      <w:tr w:rsidR="0045192C" w:rsidRPr="000C18F3" w14:paraId="402B75C9" w14:textId="77777777" w:rsidTr="00D334A5">
        <w:trPr>
          <w:trHeight w:val="255"/>
        </w:trPr>
        <w:tc>
          <w:tcPr>
            <w:tcW w:w="2160" w:type="dxa"/>
            <w:tcBorders>
              <w:top w:val="nil"/>
              <w:left w:val="nil"/>
              <w:right w:val="nil"/>
            </w:tcBorders>
            <w:shd w:val="clear" w:color="auto" w:fill="auto"/>
            <w:noWrap/>
            <w:vAlign w:val="bottom"/>
            <w:hideMark/>
          </w:tcPr>
          <w:p w14:paraId="3DBFD98D" w14:textId="2B8636FC"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LRNC B530 (Math B60)</w:t>
            </w:r>
          </w:p>
        </w:tc>
        <w:tc>
          <w:tcPr>
            <w:tcW w:w="829" w:type="dxa"/>
            <w:tcBorders>
              <w:top w:val="nil"/>
              <w:left w:val="nil"/>
              <w:right w:val="nil"/>
            </w:tcBorders>
            <w:shd w:val="clear" w:color="auto" w:fill="auto"/>
            <w:noWrap/>
            <w:vAlign w:val="bottom"/>
            <w:hideMark/>
          </w:tcPr>
          <w:p w14:paraId="0409C67A" w14:textId="4413D8D3"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44</w:t>
            </w:r>
          </w:p>
        </w:tc>
        <w:tc>
          <w:tcPr>
            <w:tcW w:w="932" w:type="dxa"/>
            <w:tcBorders>
              <w:top w:val="nil"/>
              <w:left w:val="nil"/>
              <w:right w:val="nil"/>
            </w:tcBorders>
            <w:shd w:val="clear" w:color="auto" w:fill="auto"/>
            <w:noWrap/>
            <w:vAlign w:val="bottom"/>
            <w:hideMark/>
          </w:tcPr>
          <w:p w14:paraId="060FD80B" w14:textId="4871FAAE"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778" w:type="dxa"/>
            <w:tcBorders>
              <w:top w:val="nil"/>
              <w:left w:val="nil"/>
              <w:right w:val="nil"/>
            </w:tcBorders>
            <w:vAlign w:val="bottom"/>
          </w:tcPr>
          <w:p w14:paraId="4697EDCD" w14:textId="58C82F91"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w:t>
            </w:r>
          </w:p>
        </w:tc>
        <w:tc>
          <w:tcPr>
            <w:tcW w:w="930" w:type="dxa"/>
            <w:tcBorders>
              <w:top w:val="nil"/>
              <w:left w:val="nil"/>
              <w:right w:val="nil"/>
            </w:tcBorders>
            <w:shd w:val="clear" w:color="auto" w:fill="auto"/>
            <w:noWrap/>
            <w:vAlign w:val="bottom"/>
            <w:hideMark/>
          </w:tcPr>
          <w:p w14:paraId="18A1EC88" w14:textId="57AAD1DB"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right w:val="nil"/>
            </w:tcBorders>
            <w:shd w:val="clear" w:color="auto" w:fill="auto"/>
            <w:noWrap/>
            <w:vAlign w:val="bottom"/>
            <w:hideMark/>
          </w:tcPr>
          <w:p w14:paraId="16FBDFCC" w14:textId="4F41A6E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2" w:type="dxa"/>
            <w:tcBorders>
              <w:top w:val="nil"/>
              <w:left w:val="nil"/>
              <w:right w:val="nil"/>
            </w:tcBorders>
            <w:shd w:val="clear" w:color="auto" w:fill="auto"/>
            <w:noWrap/>
            <w:vAlign w:val="bottom"/>
            <w:hideMark/>
          </w:tcPr>
          <w:p w14:paraId="56E1385D" w14:textId="24ADF9A4"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98%</w:t>
            </w:r>
          </w:p>
        </w:tc>
        <w:tc>
          <w:tcPr>
            <w:tcW w:w="930" w:type="dxa"/>
            <w:tcBorders>
              <w:top w:val="nil"/>
              <w:left w:val="nil"/>
              <w:right w:val="nil"/>
            </w:tcBorders>
            <w:shd w:val="clear" w:color="auto" w:fill="auto"/>
            <w:noWrap/>
            <w:vAlign w:val="bottom"/>
            <w:hideMark/>
          </w:tcPr>
          <w:p w14:paraId="193C2FA3" w14:textId="414EC1C0"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right w:val="nil"/>
            </w:tcBorders>
            <w:shd w:val="clear" w:color="auto" w:fill="auto"/>
            <w:noWrap/>
            <w:vAlign w:val="bottom"/>
            <w:hideMark/>
          </w:tcPr>
          <w:p w14:paraId="34FC509D" w14:textId="056BACE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right w:val="nil"/>
            </w:tcBorders>
            <w:shd w:val="clear" w:color="auto" w:fill="auto"/>
            <w:noWrap/>
            <w:vAlign w:val="bottom"/>
          </w:tcPr>
          <w:p w14:paraId="6E3D79A4" w14:textId="066655BC"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817" w:type="dxa"/>
            <w:tcBorders>
              <w:top w:val="nil"/>
              <w:left w:val="nil"/>
              <w:right w:val="nil"/>
            </w:tcBorders>
            <w:vAlign w:val="bottom"/>
          </w:tcPr>
          <w:p w14:paraId="6DD08D23" w14:textId="1EF3CF3C"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2%</w:t>
            </w:r>
          </w:p>
        </w:tc>
        <w:tc>
          <w:tcPr>
            <w:tcW w:w="932" w:type="dxa"/>
            <w:tcBorders>
              <w:top w:val="nil"/>
              <w:left w:val="nil"/>
              <w:right w:val="nil"/>
            </w:tcBorders>
            <w:shd w:val="clear" w:color="auto" w:fill="auto"/>
            <w:noWrap/>
            <w:vAlign w:val="bottom"/>
            <w:hideMark/>
          </w:tcPr>
          <w:p w14:paraId="47707453" w14:textId="0E9B1064"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100%</w:t>
            </w:r>
          </w:p>
        </w:tc>
      </w:tr>
      <w:tr w:rsidR="0045192C" w:rsidRPr="000C18F3" w14:paraId="04BD6725" w14:textId="77777777" w:rsidTr="00D334A5">
        <w:trPr>
          <w:trHeight w:val="255"/>
        </w:trPr>
        <w:tc>
          <w:tcPr>
            <w:tcW w:w="2160" w:type="dxa"/>
            <w:tcBorders>
              <w:top w:val="nil"/>
              <w:left w:val="nil"/>
              <w:bottom w:val="nil"/>
              <w:right w:val="nil"/>
            </w:tcBorders>
            <w:shd w:val="clear" w:color="auto" w:fill="auto"/>
            <w:noWrap/>
            <w:vAlign w:val="bottom"/>
            <w:hideMark/>
          </w:tcPr>
          <w:p w14:paraId="5E526D7E" w14:textId="37304780"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Math B70</w:t>
            </w:r>
          </w:p>
        </w:tc>
        <w:tc>
          <w:tcPr>
            <w:tcW w:w="829" w:type="dxa"/>
            <w:tcBorders>
              <w:top w:val="nil"/>
              <w:left w:val="nil"/>
              <w:bottom w:val="nil"/>
              <w:right w:val="nil"/>
            </w:tcBorders>
            <w:shd w:val="clear" w:color="auto" w:fill="auto"/>
            <w:noWrap/>
            <w:vAlign w:val="bottom"/>
            <w:hideMark/>
          </w:tcPr>
          <w:p w14:paraId="1B3F73EF" w14:textId="033A32DC"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404</w:t>
            </w:r>
          </w:p>
        </w:tc>
        <w:tc>
          <w:tcPr>
            <w:tcW w:w="932" w:type="dxa"/>
            <w:tcBorders>
              <w:top w:val="nil"/>
              <w:left w:val="nil"/>
              <w:bottom w:val="nil"/>
              <w:right w:val="nil"/>
            </w:tcBorders>
            <w:shd w:val="clear" w:color="auto" w:fill="auto"/>
            <w:noWrap/>
            <w:vAlign w:val="bottom"/>
            <w:hideMark/>
          </w:tcPr>
          <w:p w14:paraId="6C4F66A5" w14:textId="6ABDD180"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28%</w:t>
            </w:r>
          </w:p>
        </w:tc>
        <w:tc>
          <w:tcPr>
            <w:tcW w:w="778" w:type="dxa"/>
            <w:tcBorders>
              <w:top w:val="nil"/>
              <w:left w:val="nil"/>
              <w:bottom w:val="nil"/>
              <w:right w:val="nil"/>
            </w:tcBorders>
            <w:vAlign w:val="bottom"/>
          </w:tcPr>
          <w:p w14:paraId="5EC92BFB" w14:textId="12D5A7BE"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46D615FC" w14:textId="0F1B0275"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1E163F23" w14:textId="1A39FCA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2" w:type="dxa"/>
            <w:tcBorders>
              <w:top w:val="nil"/>
              <w:left w:val="nil"/>
              <w:bottom w:val="nil"/>
              <w:right w:val="nil"/>
            </w:tcBorders>
            <w:shd w:val="clear" w:color="auto" w:fill="auto"/>
            <w:noWrap/>
            <w:vAlign w:val="bottom"/>
            <w:hideMark/>
          </w:tcPr>
          <w:p w14:paraId="7DEDED8F" w14:textId="3D9E4459"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hideMark/>
          </w:tcPr>
          <w:p w14:paraId="2BBF7C37" w14:textId="7BB0CE3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31%</w:t>
            </w:r>
          </w:p>
        </w:tc>
        <w:tc>
          <w:tcPr>
            <w:tcW w:w="930" w:type="dxa"/>
            <w:tcBorders>
              <w:top w:val="nil"/>
              <w:left w:val="nil"/>
              <w:bottom w:val="nil"/>
              <w:right w:val="nil"/>
            </w:tcBorders>
            <w:shd w:val="clear" w:color="auto" w:fill="auto"/>
            <w:noWrap/>
            <w:vAlign w:val="bottom"/>
            <w:hideMark/>
          </w:tcPr>
          <w:p w14:paraId="6C0D07CB" w14:textId="48E4038C"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28%</w:t>
            </w:r>
          </w:p>
        </w:tc>
        <w:tc>
          <w:tcPr>
            <w:tcW w:w="930" w:type="dxa"/>
            <w:tcBorders>
              <w:top w:val="nil"/>
              <w:left w:val="nil"/>
              <w:bottom w:val="nil"/>
              <w:right w:val="nil"/>
            </w:tcBorders>
            <w:shd w:val="clear" w:color="auto" w:fill="auto"/>
            <w:noWrap/>
            <w:vAlign w:val="bottom"/>
          </w:tcPr>
          <w:p w14:paraId="186703A7" w14:textId="0A6204A5"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10%</w:t>
            </w:r>
          </w:p>
        </w:tc>
        <w:tc>
          <w:tcPr>
            <w:tcW w:w="817" w:type="dxa"/>
            <w:tcBorders>
              <w:top w:val="nil"/>
              <w:left w:val="nil"/>
              <w:bottom w:val="nil"/>
              <w:right w:val="nil"/>
            </w:tcBorders>
            <w:vAlign w:val="bottom"/>
          </w:tcPr>
          <w:p w14:paraId="0A8B9C28" w14:textId="6D58EB3B"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3%</w:t>
            </w:r>
          </w:p>
        </w:tc>
        <w:tc>
          <w:tcPr>
            <w:tcW w:w="932" w:type="dxa"/>
            <w:tcBorders>
              <w:top w:val="nil"/>
              <w:left w:val="nil"/>
              <w:bottom w:val="nil"/>
              <w:right w:val="nil"/>
            </w:tcBorders>
            <w:shd w:val="clear" w:color="auto" w:fill="auto"/>
            <w:noWrap/>
            <w:vAlign w:val="bottom"/>
            <w:hideMark/>
          </w:tcPr>
          <w:p w14:paraId="4303D2DE" w14:textId="74C37C7C"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100%</w:t>
            </w:r>
          </w:p>
        </w:tc>
      </w:tr>
      <w:tr w:rsidR="0045192C" w:rsidRPr="000C18F3" w14:paraId="5B8BD03E" w14:textId="77777777" w:rsidTr="00D334A5">
        <w:trPr>
          <w:trHeight w:val="255"/>
        </w:trPr>
        <w:tc>
          <w:tcPr>
            <w:tcW w:w="2160" w:type="dxa"/>
            <w:tcBorders>
              <w:top w:val="nil"/>
              <w:left w:val="nil"/>
              <w:bottom w:val="nil"/>
              <w:right w:val="nil"/>
            </w:tcBorders>
            <w:shd w:val="clear" w:color="auto" w:fill="auto"/>
            <w:noWrap/>
            <w:vAlign w:val="bottom"/>
          </w:tcPr>
          <w:p w14:paraId="618E8BCD" w14:textId="77777777"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p>
        </w:tc>
        <w:tc>
          <w:tcPr>
            <w:tcW w:w="829" w:type="dxa"/>
            <w:tcBorders>
              <w:top w:val="nil"/>
              <w:left w:val="nil"/>
              <w:bottom w:val="nil"/>
              <w:right w:val="nil"/>
            </w:tcBorders>
            <w:shd w:val="clear" w:color="auto" w:fill="auto"/>
            <w:noWrap/>
            <w:vAlign w:val="bottom"/>
          </w:tcPr>
          <w:p w14:paraId="349620D3" w14:textId="77777777"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p>
        </w:tc>
        <w:tc>
          <w:tcPr>
            <w:tcW w:w="932" w:type="dxa"/>
            <w:tcBorders>
              <w:top w:val="nil"/>
              <w:left w:val="nil"/>
              <w:bottom w:val="nil"/>
              <w:right w:val="nil"/>
            </w:tcBorders>
            <w:shd w:val="clear" w:color="auto" w:fill="auto"/>
            <w:noWrap/>
            <w:vAlign w:val="bottom"/>
          </w:tcPr>
          <w:p w14:paraId="7E7600F6"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778" w:type="dxa"/>
            <w:tcBorders>
              <w:top w:val="nil"/>
              <w:left w:val="nil"/>
              <w:bottom w:val="nil"/>
              <w:right w:val="nil"/>
            </w:tcBorders>
            <w:vAlign w:val="bottom"/>
          </w:tcPr>
          <w:p w14:paraId="7F76D915"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nil"/>
              <w:right w:val="nil"/>
            </w:tcBorders>
            <w:shd w:val="clear" w:color="auto" w:fill="auto"/>
            <w:noWrap/>
            <w:vAlign w:val="bottom"/>
          </w:tcPr>
          <w:p w14:paraId="4A46EC23"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nil"/>
              <w:right w:val="nil"/>
            </w:tcBorders>
            <w:shd w:val="clear" w:color="auto" w:fill="auto"/>
            <w:noWrap/>
            <w:vAlign w:val="bottom"/>
          </w:tcPr>
          <w:p w14:paraId="1DDDC665"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2" w:type="dxa"/>
            <w:tcBorders>
              <w:top w:val="nil"/>
              <w:left w:val="nil"/>
              <w:bottom w:val="nil"/>
              <w:right w:val="nil"/>
            </w:tcBorders>
            <w:shd w:val="clear" w:color="auto" w:fill="auto"/>
            <w:noWrap/>
            <w:vAlign w:val="bottom"/>
          </w:tcPr>
          <w:p w14:paraId="23441C0E"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nil"/>
              <w:right w:val="nil"/>
            </w:tcBorders>
            <w:shd w:val="clear" w:color="auto" w:fill="auto"/>
            <w:noWrap/>
            <w:vAlign w:val="bottom"/>
          </w:tcPr>
          <w:p w14:paraId="06F4F7E4"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nil"/>
              <w:right w:val="nil"/>
            </w:tcBorders>
            <w:shd w:val="clear" w:color="auto" w:fill="auto"/>
            <w:noWrap/>
            <w:vAlign w:val="bottom"/>
          </w:tcPr>
          <w:p w14:paraId="7ED6AAA5"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nil"/>
              <w:right w:val="nil"/>
            </w:tcBorders>
            <w:shd w:val="clear" w:color="auto" w:fill="auto"/>
            <w:noWrap/>
            <w:vAlign w:val="bottom"/>
          </w:tcPr>
          <w:p w14:paraId="7B6042D7"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817" w:type="dxa"/>
            <w:tcBorders>
              <w:top w:val="nil"/>
              <w:left w:val="nil"/>
              <w:bottom w:val="nil"/>
              <w:right w:val="nil"/>
            </w:tcBorders>
            <w:vAlign w:val="bottom"/>
          </w:tcPr>
          <w:p w14:paraId="7791276D"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2" w:type="dxa"/>
            <w:tcBorders>
              <w:top w:val="nil"/>
              <w:left w:val="nil"/>
              <w:bottom w:val="nil"/>
              <w:right w:val="nil"/>
            </w:tcBorders>
            <w:shd w:val="clear" w:color="auto" w:fill="auto"/>
            <w:noWrap/>
            <w:vAlign w:val="bottom"/>
          </w:tcPr>
          <w:p w14:paraId="36F12100" w14:textId="28F26ECB"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r>
      <w:tr w:rsidR="0045192C" w:rsidRPr="000C18F3" w14:paraId="12CE13C5" w14:textId="77777777" w:rsidTr="00D334A5">
        <w:trPr>
          <w:trHeight w:val="255"/>
        </w:trPr>
        <w:tc>
          <w:tcPr>
            <w:tcW w:w="2160" w:type="dxa"/>
            <w:tcBorders>
              <w:top w:val="nil"/>
              <w:left w:val="nil"/>
              <w:bottom w:val="nil"/>
              <w:right w:val="nil"/>
            </w:tcBorders>
            <w:shd w:val="clear" w:color="auto" w:fill="auto"/>
            <w:noWrap/>
            <w:vAlign w:val="bottom"/>
          </w:tcPr>
          <w:p w14:paraId="3627523A" w14:textId="3C3CDAE2" w:rsidR="0045192C" w:rsidRPr="000C18F3" w:rsidRDefault="0045192C" w:rsidP="0045192C">
            <w:pPr>
              <w:spacing w:after="0" w:line="240" w:lineRule="auto"/>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Unsuccessful in First Attempt of First Math</w:t>
            </w:r>
          </w:p>
        </w:tc>
        <w:tc>
          <w:tcPr>
            <w:tcW w:w="829" w:type="dxa"/>
            <w:tcBorders>
              <w:top w:val="nil"/>
              <w:left w:val="nil"/>
              <w:bottom w:val="nil"/>
              <w:right w:val="nil"/>
            </w:tcBorders>
            <w:shd w:val="clear" w:color="auto" w:fill="auto"/>
            <w:noWrap/>
            <w:vAlign w:val="bottom"/>
          </w:tcPr>
          <w:p w14:paraId="1D8A4ACC" w14:textId="77777777"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p>
        </w:tc>
        <w:tc>
          <w:tcPr>
            <w:tcW w:w="932" w:type="dxa"/>
            <w:tcBorders>
              <w:top w:val="nil"/>
              <w:left w:val="nil"/>
              <w:bottom w:val="nil"/>
              <w:right w:val="nil"/>
            </w:tcBorders>
            <w:shd w:val="clear" w:color="auto" w:fill="auto"/>
            <w:noWrap/>
            <w:vAlign w:val="bottom"/>
          </w:tcPr>
          <w:p w14:paraId="5D6431C6"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778" w:type="dxa"/>
            <w:tcBorders>
              <w:top w:val="nil"/>
              <w:left w:val="nil"/>
              <w:bottom w:val="nil"/>
              <w:right w:val="nil"/>
            </w:tcBorders>
            <w:vAlign w:val="bottom"/>
          </w:tcPr>
          <w:p w14:paraId="0D2D84A7"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nil"/>
              <w:right w:val="nil"/>
            </w:tcBorders>
            <w:shd w:val="clear" w:color="auto" w:fill="auto"/>
            <w:noWrap/>
            <w:vAlign w:val="bottom"/>
          </w:tcPr>
          <w:p w14:paraId="2703A0C8"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nil"/>
              <w:right w:val="nil"/>
            </w:tcBorders>
            <w:shd w:val="clear" w:color="auto" w:fill="auto"/>
            <w:noWrap/>
            <w:vAlign w:val="bottom"/>
          </w:tcPr>
          <w:p w14:paraId="513BCD1B"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2" w:type="dxa"/>
            <w:tcBorders>
              <w:top w:val="nil"/>
              <w:left w:val="nil"/>
              <w:bottom w:val="nil"/>
              <w:right w:val="nil"/>
            </w:tcBorders>
            <w:shd w:val="clear" w:color="auto" w:fill="auto"/>
            <w:noWrap/>
            <w:vAlign w:val="bottom"/>
          </w:tcPr>
          <w:p w14:paraId="26B8DB0D"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nil"/>
              <w:right w:val="nil"/>
            </w:tcBorders>
            <w:shd w:val="clear" w:color="auto" w:fill="auto"/>
            <w:noWrap/>
            <w:vAlign w:val="bottom"/>
          </w:tcPr>
          <w:p w14:paraId="1CB853FF"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nil"/>
              <w:right w:val="nil"/>
            </w:tcBorders>
            <w:shd w:val="clear" w:color="auto" w:fill="auto"/>
            <w:noWrap/>
            <w:vAlign w:val="bottom"/>
          </w:tcPr>
          <w:p w14:paraId="667B220B"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nil"/>
              <w:right w:val="nil"/>
            </w:tcBorders>
            <w:shd w:val="clear" w:color="auto" w:fill="auto"/>
            <w:noWrap/>
            <w:vAlign w:val="bottom"/>
          </w:tcPr>
          <w:p w14:paraId="57E3E0EF"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817" w:type="dxa"/>
            <w:tcBorders>
              <w:top w:val="nil"/>
              <w:left w:val="nil"/>
              <w:bottom w:val="nil"/>
              <w:right w:val="nil"/>
            </w:tcBorders>
            <w:vAlign w:val="bottom"/>
          </w:tcPr>
          <w:p w14:paraId="72C6CF22"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2" w:type="dxa"/>
            <w:tcBorders>
              <w:top w:val="nil"/>
              <w:left w:val="nil"/>
              <w:bottom w:val="nil"/>
              <w:right w:val="nil"/>
            </w:tcBorders>
            <w:shd w:val="clear" w:color="auto" w:fill="auto"/>
            <w:noWrap/>
            <w:vAlign w:val="bottom"/>
          </w:tcPr>
          <w:p w14:paraId="5C3906FE" w14:textId="16A27DF5"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r>
      <w:tr w:rsidR="0045192C" w:rsidRPr="000C18F3" w14:paraId="2BEFD426" w14:textId="77777777" w:rsidTr="00D334A5">
        <w:trPr>
          <w:trHeight w:val="255"/>
        </w:trPr>
        <w:tc>
          <w:tcPr>
            <w:tcW w:w="2160" w:type="dxa"/>
            <w:tcBorders>
              <w:top w:val="nil"/>
              <w:left w:val="nil"/>
              <w:bottom w:val="nil"/>
              <w:right w:val="nil"/>
            </w:tcBorders>
            <w:shd w:val="clear" w:color="auto" w:fill="auto"/>
            <w:noWrap/>
            <w:vAlign w:val="bottom"/>
          </w:tcPr>
          <w:p w14:paraId="6AFCE548" w14:textId="40584D1E"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ACDV B72</w:t>
            </w:r>
          </w:p>
        </w:tc>
        <w:tc>
          <w:tcPr>
            <w:tcW w:w="829" w:type="dxa"/>
            <w:tcBorders>
              <w:top w:val="nil"/>
              <w:left w:val="nil"/>
              <w:bottom w:val="nil"/>
              <w:right w:val="nil"/>
            </w:tcBorders>
            <w:shd w:val="clear" w:color="auto" w:fill="auto"/>
            <w:noWrap/>
            <w:vAlign w:val="bottom"/>
          </w:tcPr>
          <w:p w14:paraId="02F4ECDD" w14:textId="2FD93E5B"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241</w:t>
            </w:r>
          </w:p>
        </w:tc>
        <w:tc>
          <w:tcPr>
            <w:tcW w:w="932" w:type="dxa"/>
            <w:tcBorders>
              <w:top w:val="nil"/>
              <w:left w:val="nil"/>
              <w:bottom w:val="nil"/>
              <w:right w:val="nil"/>
            </w:tcBorders>
            <w:shd w:val="clear" w:color="auto" w:fill="auto"/>
            <w:noWrap/>
            <w:vAlign w:val="bottom"/>
          </w:tcPr>
          <w:p w14:paraId="092F9329" w14:textId="3C39FAA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74%</w:t>
            </w:r>
          </w:p>
        </w:tc>
        <w:tc>
          <w:tcPr>
            <w:tcW w:w="778" w:type="dxa"/>
            <w:tcBorders>
              <w:top w:val="nil"/>
              <w:left w:val="nil"/>
              <w:bottom w:val="nil"/>
              <w:right w:val="nil"/>
            </w:tcBorders>
            <w:vAlign w:val="bottom"/>
          </w:tcPr>
          <w:p w14:paraId="002937E7" w14:textId="1751D175"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23%</w:t>
            </w:r>
          </w:p>
        </w:tc>
        <w:tc>
          <w:tcPr>
            <w:tcW w:w="930" w:type="dxa"/>
            <w:tcBorders>
              <w:top w:val="nil"/>
              <w:left w:val="nil"/>
              <w:bottom w:val="nil"/>
              <w:right w:val="nil"/>
            </w:tcBorders>
            <w:shd w:val="clear" w:color="auto" w:fill="auto"/>
            <w:noWrap/>
            <w:vAlign w:val="bottom"/>
          </w:tcPr>
          <w:p w14:paraId="3F1EB11A" w14:textId="38DD217D"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177D0353" w14:textId="165A83CA"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2" w:type="dxa"/>
            <w:tcBorders>
              <w:top w:val="nil"/>
              <w:left w:val="nil"/>
              <w:bottom w:val="nil"/>
              <w:right w:val="nil"/>
            </w:tcBorders>
            <w:shd w:val="clear" w:color="auto" w:fill="auto"/>
            <w:noWrap/>
            <w:vAlign w:val="bottom"/>
          </w:tcPr>
          <w:p w14:paraId="64B79D47" w14:textId="297EABE2"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73198AD3" w14:textId="7B94CC39"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35EFBF48" w14:textId="166B9FB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4F18B7DC" w14:textId="2506C92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817" w:type="dxa"/>
            <w:tcBorders>
              <w:top w:val="nil"/>
              <w:left w:val="nil"/>
              <w:bottom w:val="nil"/>
              <w:right w:val="nil"/>
            </w:tcBorders>
            <w:vAlign w:val="bottom"/>
          </w:tcPr>
          <w:p w14:paraId="71E369C9" w14:textId="1060DC94"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3%</w:t>
            </w:r>
          </w:p>
        </w:tc>
        <w:tc>
          <w:tcPr>
            <w:tcW w:w="932" w:type="dxa"/>
            <w:tcBorders>
              <w:top w:val="nil"/>
              <w:left w:val="nil"/>
              <w:bottom w:val="nil"/>
              <w:right w:val="nil"/>
            </w:tcBorders>
            <w:shd w:val="clear" w:color="auto" w:fill="auto"/>
            <w:noWrap/>
            <w:vAlign w:val="bottom"/>
          </w:tcPr>
          <w:p w14:paraId="02525768" w14:textId="50052EDB"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100%</w:t>
            </w:r>
          </w:p>
        </w:tc>
      </w:tr>
      <w:tr w:rsidR="0045192C" w:rsidRPr="000C18F3" w14:paraId="13819BE0" w14:textId="77777777" w:rsidTr="00D334A5">
        <w:trPr>
          <w:trHeight w:val="255"/>
        </w:trPr>
        <w:tc>
          <w:tcPr>
            <w:tcW w:w="2160" w:type="dxa"/>
            <w:tcBorders>
              <w:top w:val="nil"/>
              <w:left w:val="nil"/>
              <w:bottom w:val="nil"/>
              <w:right w:val="nil"/>
            </w:tcBorders>
            <w:shd w:val="clear" w:color="auto" w:fill="auto"/>
            <w:noWrap/>
            <w:vAlign w:val="bottom"/>
          </w:tcPr>
          <w:p w14:paraId="76E0B3F0" w14:textId="169344A1"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Math B60</w:t>
            </w:r>
          </w:p>
        </w:tc>
        <w:tc>
          <w:tcPr>
            <w:tcW w:w="829" w:type="dxa"/>
            <w:tcBorders>
              <w:top w:val="nil"/>
              <w:left w:val="nil"/>
              <w:bottom w:val="nil"/>
              <w:right w:val="nil"/>
            </w:tcBorders>
            <w:shd w:val="clear" w:color="auto" w:fill="auto"/>
            <w:noWrap/>
            <w:vAlign w:val="bottom"/>
          </w:tcPr>
          <w:p w14:paraId="2564067C" w14:textId="6EFADEB2"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475</w:t>
            </w:r>
          </w:p>
        </w:tc>
        <w:tc>
          <w:tcPr>
            <w:tcW w:w="932" w:type="dxa"/>
            <w:tcBorders>
              <w:top w:val="nil"/>
              <w:left w:val="nil"/>
              <w:bottom w:val="nil"/>
              <w:right w:val="nil"/>
            </w:tcBorders>
            <w:shd w:val="clear" w:color="auto" w:fill="auto"/>
            <w:noWrap/>
            <w:vAlign w:val="bottom"/>
          </w:tcPr>
          <w:p w14:paraId="0959861D" w14:textId="293E5710"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63%</w:t>
            </w:r>
          </w:p>
        </w:tc>
        <w:tc>
          <w:tcPr>
            <w:tcW w:w="778" w:type="dxa"/>
            <w:tcBorders>
              <w:top w:val="nil"/>
              <w:left w:val="nil"/>
              <w:bottom w:val="nil"/>
              <w:right w:val="nil"/>
            </w:tcBorders>
            <w:vAlign w:val="bottom"/>
          </w:tcPr>
          <w:p w14:paraId="1812F2D3" w14:textId="579ED92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27%</w:t>
            </w:r>
          </w:p>
        </w:tc>
        <w:tc>
          <w:tcPr>
            <w:tcW w:w="930" w:type="dxa"/>
            <w:tcBorders>
              <w:top w:val="nil"/>
              <w:left w:val="nil"/>
              <w:bottom w:val="nil"/>
              <w:right w:val="nil"/>
            </w:tcBorders>
            <w:shd w:val="clear" w:color="auto" w:fill="auto"/>
            <w:noWrap/>
            <w:vAlign w:val="bottom"/>
          </w:tcPr>
          <w:p w14:paraId="5EC39357" w14:textId="03FD8CEE"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0FF86665" w14:textId="31143F2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2" w:type="dxa"/>
            <w:tcBorders>
              <w:top w:val="nil"/>
              <w:left w:val="nil"/>
              <w:bottom w:val="nil"/>
              <w:right w:val="nil"/>
            </w:tcBorders>
            <w:shd w:val="clear" w:color="auto" w:fill="auto"/>
            <w:noWrap/>
            <w:vAlign w:val="bottom"/>
          </w:tcPr>
          <w:p w14:paraId="22569B76" w14:textId="70C8B4CE"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6F96C067" w14:textId="5ECD2EA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056014A6" w14:textId="0083CB8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21214AF3" w14:textId="32FE8D89"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817" w:type="dxa"/>
            <w:tcBorders>
              <w:top w:val="nil"/>
              <w:left w:val="nil"/>
              <w:bottom w:val="nil"/>
              <w:right w:val="nil"/>
            </w:tcBorders>
            <w:vAlign w:val="bottom"/>
          </w:tcPr>
          <w:p w14:paraId="082CA7DE" w14:textId="6A889729"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11%</w:t>
            </w:r>
          </w:p>
        </w:tc>
        <w:tc>
          <w:tcPr>
            <w:tcW w:w="932" w:type="dxa"/>
            <w:tcBorders>
              <w:top w:val="nil"/>
              <w:left w:val="nil"/>
              <w:bottom w:val="nil"/>
              <w:right w:val="nil"/>
            </w:tcBorders>
            <w:shd w:val="clear" w:color="auto" w:fill="auto"/>
            <w:noWrap/>
            <w:vAlign w:val="bottom"/>
          </w:tcPr>
          <w:p w14:paraId="1545029A" w14:textId="3C5E493E"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100%</w:t>
            </w:r>
          </w:p>
        </w:tc>
      </w:tr>
      <w:tr w:rsidR="0045192C" w:rsidRPr="000C18F3" w14:paraId="6973634A" w14:textId="77777777" w:rsidTr="00D334A5">
        <w:trPr>
          <w:trHeight w:val="255"/>
        </w:trPr>
        <w:tc>
          <w:tcPr>
            <w:tcW w:w="2160" w:type="dxa"/>
            <w:tcBorders>
              <w:top w:val="nil"/>
              <w:left w:val="nil"/>
              <w:bottom w:val="nil"/>
              <w:right w:val="nil"/>
            </w:tcBorders>
            <w:shd w:val="clear" w:color="auto" w:fill="auto"/>
            <w:noWrap/>
            <w:vAlign w:val="bottom"/>
          </w:tcPr>
          <w:p w14:paraId="679D89D2" w14:textId="2ABC87F7"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Math B65</w:t>
            </w:r>
          </w:p>
        </w:tc>
        <w:tc>
          <w:tcPr>
            <w:tcW w:w="829" w:type="dxa"/>
            <w:tcBorders>
              <w:top w:val="nil"/>
              <w:left w:val="nil"/>
              <w:bottom w:val="nil"/>
              <w:right w:val="nil"/>
            </w:tcBorders>
            <w:shd w:val="clear" w:color="auto" w:fill="auto"/>
            <w:noWrap/>
            <w:vAlign w:val="bottom"/>
          </w:tcPr>
          <w:p w14:paraId="21BD37CD" w14:textId="151BEA4C"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45</w:t>
            </w:r>
          </w:p>
        </w:tc>
        <w:tc>
          <w:tcPr>
            <w:tcW w:w="932" w:type="dxa"/>
            <w:tcBorders>
              <w:top w:val="nil"/>
              <w:left w:val="nil"/>
              <w:bottom w:val="nil"/>
              <w:right w:val="nil"/>
            </w:tcBorders>
            <w:shd w:val="clear" w:color="auto" w:fill="auto"/>
            <w:noWrap/>
            <w:vAlign w:val="bottom"/>
          </w:tcPr>
          <w:p w14:paraId="73126645" w14:textId="6AF81663"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71%</w:t>
            </w:r>
          </w:p>
        </w:tc>
        <w:tc>
          <w:tcPr>
            <w:tcW w:w="778" w:type="dxa"/>
            <w:tcBorders>
              <w:top w:val="nil"/>
              <w:left w:val="nil"/>
              <w:bottom w:val="nil"/>
              <w:right w:val="nil"/>
            </w:tcBorders>
            <w:vAlign w:val="bottom"/>
          </w:tcPr>
          <w:p w14:paraId="023494E5" w14:textId="4A7FB752"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731C0FB9" w14:textId="20A8993C"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16942465" w14:textId="7F0B617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2" w:type="dxa"/>
            <w:tcBorders>
              <w:top w:val="nil"/>
              <w:left w:val="nil"/>
              <w:bottom w:val="nil"/>
              <w:right w:val="nil"/>
            </w:tcBorders>
            <w:shd w:val="clear" w:color="auto" w:fill="auto"/>
            <w:noWrap/>
            <w:vAlign w:val="bottom"/>
          </w:tcPr>
          <w:p w14:paraId="2F699BF5" w14:textId="72A72E2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0190CAF1" w14:textId="12A28E39"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2AC63739" w14:textId="0136E485"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13BEFDC0" w14:textId="668F04F1"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817" w:type="dxa"/>
            <w:tcBorders>
              <w:top w:val="nil"/>
              <w:left w:val="nil"/>
              <w:bottom w:val="nil"/>
              <w:right w:val="nil"/>
            </w:tcBorders>
            <w:vAlign w:val="bottom"/>
          </w:tcPr>
          <w:p w14:paraId="49D1EA14" w14:textId="17BD703A"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29%</w:t>
            </w:r>
          </w:p>
        </w:tc>
        <w:tc>
          <w:tcPr>
            <w:tcW w:w="932" w:type="dxa"/>
            <w:tcBorders>
              <w:top w:val="nil"/>
              <w:left w:val="nil"/>
              <w:bottom w:val="nil"/>
              <w:right w:val="nil"/>
            </w:tcBorders>
            <w:shd w:val="clear" w:color="auto" w:fill="auto"/>
            <w:noWrap/>
            <w:vAlign w:val="bottom"/>
          </w:tcPr>
          <w:p w14:paraId="21197A3E" w14:textId="3430A90B"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100%</w:t>
            </w:r>
          </w:p>
        </w:tc>
      </w:tr>
      <w:tr w:rsidR="0045192C" w:rsidRPr="000C18F3" w14:paraId="44A2AEF0" w14:textId="77777777" w:rsidTr="00D334A5">
        <w:trPr>
          <w:trHeight w:val="255"/>
        </w:trPr>
        <w:tc>
          <w:tcPr>
            <w:tcW w:w="2160" w:type="dxa"/>
            <w:tcBorders>
              <w:top w:val="nil"/>
              <w:left w:val="nil"/>
              <w:bottom w:val="nil"/>
              <w:right w:val="nil"/>
            </w:tcBorders>
            <w:shd w:val="clear" w:color="auto" w:fill="auto"/>
            <w:noWrap/>
            <w:vAlign w:val="bottom"/>
          </w:tcPr>
          <w:p w14:paraId="624FA2D4" w14:textId="0B9AFBAF"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LRNC B530 (Math B60)</w:t>
            </w:r>
          </w:p>
        </w:tc>
        <w:tc>
          <w:tcPr>
            <w:tcW w:w="829" w:type="dxa"/>
            <w:tcBorders>
              <w:top w:val="nil"/>
              <w:left w:val="nil"/>
              <w:bottom w:val="nil"/>
              <w:right w:val="nil"/>
            </w:tcBorders>
            <w:shd w:val="clear" w:color="auto" w:fill="auto"/>
            <w:noWrap/>
            <w:vAlign w:val="bottom"/>
          </w:tcPr>
          <w:p w14:paraId="24268140" w14:textId="5987149F"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6</w:t>
            </w:r>
          </w:p>
        </w:tc>
        <w:tc>
          <w:tcPr>
            <w:tcW w:w="932" w:type="dxa"/>
            <w:tcBorders>
              <w:top w:val="nil"/>
              <w:left w:val="nil"/>
              <w:bottom w:val="nil"/>
              <w:right w:val="nil"/>
            </w:tcBorders>
            <w:shd w:val="clear" w:color="auto" w:fill="auto"/>
            <w:noWrap/>
            <w:vAlign w:val="bottom"/>
          </w:tcPr>
          <w:p w14:paraId="74392CBE" w14:textId="2E2EF06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778" w:type="dxa"/>
            <w:tcBorders>
              <w:top w:val="nil"/>
              <w:left w:val="nil"/>
              <w:bottom w:val="nil"/>
              <w:right w:val="nil"/>
            </w:tcBorders>
            <w:vAlign w:val="bottom"/>
          </w:tcPr>
          <w:p w14:paraId="6CF20A38" w14:textId="59C974A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6B3CC6A9" w14:textId="208E528A"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159E2FB1" w14:textId="0F01405E"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2" w:type="dxa"/>
            <w:tcBorders>
              <w:top w:val="nil"/>
              <w:left w:val="nil"/>
              <w:bottom w:val="nil"/>
              <w:right w:val="nil"/>
            </w:tcBorders>
            <w:shd w:val="clear" w:color="auto" w:fill="auto"/>
            <w:noWrap/>
            <w:vAlign w:val="bottom"/>
          </w:tcPr>
          <w:p w14:paraId="0E602B48" w14:textId="3E0F0D85"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1A691A29" w14:textId="62868A12"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4D1D68CA" w14:textId="5E6BBDD0"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3D490413" w14:textId="34264983"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817" w:type="dxa"/>
            <w:tcBorders>
              <w:top w:val="nil"/>
              <w:left w:val="nil"/>
              <w:bottom w:val="nil"/>
              <w:right w:val="nil"/>
            </w:tcBorders>
            <w:vAlign w:val="bottom"/>
          </w:tcPr>
          <w:p w14:paraId="527E2B3E" w14:textId="3BDEF544"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100%</w:t>
            </w:r>
          </w:p>
        </w:tc>
        <w:tc>
          <w:tcPr>
            <w:tcW w:w="932" w:type="dxa"/>
            <w:tcBorders>
              <w:top w:val="nil"/>
              <w:left w:val="nil"/>
              <w:bottom w:val="nil"/>
              <w:right w:val="nil"/>
            </w:tcBorders>
            <w:shd w:val="clear" w:color="auto" w:fill="auto"/>
            <w:noWrap/>
            <w:vAlign w:val="bottom"/>
          </w:tcPr>
          <w:p w14:paraId="352E19DB" w14:textId="150DEE5D"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100%</w:t>
            </w:r>
          </w:p>
        </w:tc>
      </w:tr>
      <w:tr w:rsidR="0045192C" w:rsidRPr="000C18F3" w14:paraId="0AF5473B" w14:textId="77777777" w:rsidTr="00D334A5">
        <w:trPr>
          <w:trHeight w:val="255"/>
        </w:trPr>
        <w:tc>
          <w:tcPr>
            <w:tcW w:w="2160" w:type="dxa"/>
            <w:tcBorders>
              <w:top w:val="nil"/>
              <w:left w:val="nil"/>
              <w:bottom w:val="nil"/>
              <w:right w:val="nil"/>
            </w:tcBorders>
            <w:shd w:val="clear" w:color="auto" w:fill="auto"/>
            <w:noWrap/>
            <w:vAlign w:val="bottom"/>
          </w:tcPr>
          <w:p w14:paraId="7D09379C" w14:textId="5885A8CE"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Math B70</w:t>
            </w:r>
          </w:p>
        </w:tc>
        <w:tc>
          <w:tcPr>
            <w:tcW w:w="829" w:type="dxa"/>
            <w:tcBorders>
              <w:top w:val="nil"/>
              <w:left w:val="nil"/>
              <w:bottom w:val="nil"/>
              <w:right w:val="nil"/>
            </w:tcBorders>
            <w:shd w:val="clear" w:color="auto" w:fill="auto"/>
            <w:noWrap/>
            <w:vAlign w:val="bottom"/>
          </w:tcPr>
          <w:p w14:paraId="65A7519B" w14:textId="737400E6" w:rsidR="0045192C" w:rsidRPr="000C18F3" w:rsidRDefault="0045192C" w:rsidP="0045192C">
            <w:pPr>
              <w:tabs>
                <w:tab w:val="decimal" w:pos="508"/>
              </w:tabs>
              <w:spacing w:after="0" w:line="240" w:lineRule="auto"/>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361</w:t>
            </w:r>
          </w:p>
        </w:tc>
        <w:tc>
          <w:tcPr>
            <w:tcW w:w="932" w:type="dxa"/>
            <w:tcBorders>
              <w:top w:val="nil"/>
              <w:left w:val="nil"/>
              <w:bottom w:val="nil"/>
              <w:right w:val="nil"/>
            </w:tcBorders>
            <w:shd w:val="clear" w:color="auto" w:fill="auto"/>
            <w:noWrap/>
            <w:vAlign w:val="bottom"/>
          </w:tcPr>
          <w:p w14:paraId="5EF2A3EA" w14:textId="4453778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50%</w:t>
            </w:r>
          </w:p>
        </w:tc>
        <w:tc>
          <w:tcPr>
            <w:tcW w:w="778" w:type="dxa"/>
            <w:tcBorders>
              <w:top w:val="nil"/>
              <w:left w:val="nil"/>
              <w:bottom w:val="nil"/>
              <w:right w:val="nil"/>
            </w:tcBorders>
            <w:vAlign w:val="bottom"/>
          </w:tcPr>
          <w:p w14:paraId="4BBE6D8F" w14:textId="511D7F89"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42%</w:t>
            </w:r>
          </w:p>
        </w:tc>
        <w:tc>
          <w:tcPr>
            <w:tcW w:w="930" w:type="dxa"/>
            <w:tcBorders>
              <w:top w:val="nil"/>
              <w:left w:val="nil"/>
              <w:bottom w:val="nil"/>
              <w:right w:val="nil"/>
            </w:tcBorders>
            <w:shd w:val="clear" w:color="auto" w:fill="auto"/>
            <w:noWrap/>
            <w:vAlign w:val="bottom"/>
          </w:tcPr>
          <w:p w14:paraId="648EEEFA" w14:textId="73B29085"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5A72CF6D" w14:textId="245F31C8"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2" w:type="dxa"/>
            <w:tcBorders>
              <w:top w:val="nil"/>
              <w:left w:val="nil"/>
              <w:bottom w:val="nil"/>
              <w:right w:val="nil"/>
            </w:tcBorders>
            <w:shd w:val="clear" w:color="auto" w:fill="auto"/>
            <w:noWrap/>
            <w:vAlign w:val="bottom"/>
          </w:tcPr>
          <w:p w14:paraId="70CACCA0" w14:textId="73059C0C"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2F18F758" w14:textId="394062C2"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6BD5B4C5" w14:textId="7619839D"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930" w:type="dxa"/>
            <w:tcBorders>
              <w:top w:val="nil"/>
              <w:left w:val="nil"/>
              <w:bottom w:val="nil"/>
              <w:right w:val="nil"/>
            </w:tcBorders>
            <w:shd w:val="clear" w:color="auto" w:fill="auto"/>
            <w:noWrap/>
            <w:vAlign w:val="bottom"/>
          </w:tcPr>
          <w:p w14:paraId="058D61CE" w14:textId="3190EB8F"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w:t>
            </w:r>
          </w:p>
        </w:tc>
        <w:tc>
          <w:tcPr>
            <w:tcW w:w="817" w:type="dxa"/>
            <w:tcBorders>
              <w:top w:val="nil"/>
              <w:left w:val="nil"/>
              <w:bottom w:val="nil"/>
              <w:right w:val="nil"/>
            </w:tcBorders>
            <w:vAlign w:val="bottom"/>
          </w:tcPr>
          <w:p w14:paraId="3D7D1F3D" w14:textId="1FA99BA0"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hAnsi="Times New Roman" w:cs="Times New Roman"/>
                <w:color w:val="000000"/>
                <w:sz w:val="16"/>
                <w:szCs w:val="16"/>
              </w:rPr>
              <w:t>8%</w:t>
            </w:r>
          </w:p>
        </w:tc>
        <w:tc>
          <w:tcPr>
            <w:tcW w:w="932" w:type="dxa"/>
            <w:tcBorders>
              <w:top w:val="nil"/>
              <w:left w:val="nil"/>
              <w:bottom w:val="nil"/>
              <w:right w:val="nil"/>
            </w:tcBorders>
            <w:shd w:val="clear" w:color="auto" w:fill="auto"/>
            <w:noWrap/>
            <w:vAlign w:val="bottom"/>
          </w:tcPr>
          <w:p w14:paraId="1BEDC041" w14:textId="4D4DD1F9"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r w:rsidRPr="000C18F3">
              <w:rPr>
                <w:rFonts w:ascii="Times New Roman" w:eastAsia="Times New Roman" w:hAnsi="Times New Roman" w:cs="Times New Roman"/>
                <w:color w:val="000000"/>
                <w:sz w:val="16"/>
                <w:szCs w:val="16"/>
              </w:rPr>
              <w:t>100%</w:t>
            </w:r>
          </w:p>
        </w:tc>
      </w:tr>
      <w:tr w:rsidR="0045192C" w:rsidRPr="000C18F3" w14:paraId="027520B7" w14:textId="77777777" w:rsidTr="00D334A5">
        <w:trPr>
          <w:trHeight w:val="255"/>
        </w:trPr>
        <w:tc>
          <w:tcPr>
            <w:tcW w:w="2160" w:type="dxa"/>
            <w:tcBorders>
              <w:top w:val="nil"/>
              <w:left w:val="nil"/>
              <w:bottom w:val="single" w:sz="4" w:space="0" w:color="auto"/>
              <w:right w:val="nil"/>
            </w:tcBorders>
            <w:shd w:val="clear" w:color="auto" w:fill="auto"/>
            <w:noWrap/>
            <w:vAlign w:val="bottom"/>
          </w:tcPr>
          <w:p w14:paraId="10B61F5E" w14:textId="77777777" w:rsidR="0045192C" w:rsidRPr="000C18F3" w:rsidRDefault="0045192C" w:rsidP="0045192C">
            <w:pPr>
              <w:spacing w:after="0" w:line="240" w:lineRule="auto"/>
              <w:jc w:val="right"/>
              <w:rPr>
                <w:rFonts w:ascii="Times New Roman" w:eastAsia="Times New Roman" w:hAnsi="Times New Roman" w:cs="Times New Roman"/>
                <w:color w:val="000000"/>
                <w:sz w:val="16"/>
                <w:szCs w:val="16"/>
              </w:rPr>
            </w:pPr>
          </w:p>
        </w:tc>
        <w:tc>
          <w:tcPr>
            <w:tcW w:w="829" w:type="dxa"/>
            <w:tcBorders>
              <w:top w:val="nil"/>
              <w:left w:val="nil"/>
              <w:bottom w:val="single" w:sz="4" w:space="0" w:color="auto"/>
              <w:right w:val="nil"/>
            </w:tcBorders>
            <w:shd w:val="clear" w:color="auto" w:fill="auto"/>
            <w:noWrap/>
            <w:vAlign w:val="bottom"/>
          </w:tcPr>
          <w:p w14:paraId="35DE2115" w14:textId="77777777" w:rsidR="0045192C" w:rsidRPr="000C18F3" w:rsidRDefault="0045192C" w:rsidP="0045192C">
            <w:pPr>
              <w:tabs>
                <w:tab w:val="decimal" w:pos="508"/>
              </w:tabs>
              <w:spacing w:after="0" w:line="240" w:lineRule="auto"/>
              <w:rPr>
                <w:rFonts w:ascii="Times New Roman" w:hAnsi="Times New Roman" w:cs="Times New Roman"/>
                <w:color w:val="000000"/>
                <w:sz w:val="16"/>
                <w:szCs w:val="16"/>
              </w:rPr>
            </w:pPr>
          </w:p>
        </w:tc>
        <w:tc>
          <w:tcPr>
            <w:tcW w:w="932" w:type="dxa"/>
            <w:tcBorders>
              <w:top w:val="nil"/>
              <w:left w:val="nil"/>
              <w:bottom w:val="single" w:sz="4" w:space="0" w:color="auto"/>
              <w:right w:val="nil"/>
            </w:tcBorders>
            <w:shd w:val="clear" w:color="auto" w:fill="auto"/>
            <w:noWrap/>
            <w:vAlign w:val="bottom"/>
          </w:tcPr>
          <w:p w14:paraId="25A7E47E" w14:textId="77777777" w:rsidR="0045192C" w:rsidRPr="000C18F3" w:rsidRDefault="0045192C" w:rsidP="0045192C">
            <w:pPr>
              <w:spacing w:after="0" w:line="240" w:lineRule="auto"/>
              <w:jc w:val="center"/>
              <w:rPr>
                <w:rFonts w:ascii="Times New Roman" w:hAnsi="Times New Roman" w:cs="Times New Roman"/>
                <w:color w:val="000000"/>
                <w:sz w:val="16"/>
                <w:szCs w:val="16"/>
              </w:rPr>
            </w:pPr>
          </w:p>
        </w:tc>
        <w:tc>
          <w:tcPr>
            <w:tcW w:w="778" w:type="dxa"/>
            <w:tcBorders>
              <w:top w:val="nil"/>
              <w:left w:val="nil"/>
              <w:bottom w:val="single" w:sz="4" w:space="0" w:color="auto"/>
              <w:right w:val="nil"/>
            </w:tcBorders>
            <w:vAlign w:val="bottom"/>
          </w:tcPr>
          <w:p w14:paraId="34F582A7" w14:textId="77777777" w:rsidR="0045192C" w:rsidRPr="000C18F3" w:rsidRDefault="0045192C" w:rsidP="0045192C">
            <w:pPr>
              <w:spacing w:after="0" w:line="240" w:lineRule="auto"/>
              <w:jc w:val="center"/>
              <w:rPr>
                <w:rFonts w:ascii="Times New Roman" w:hAnsi="Times New Roman" w:cs="Times New Roman"/>
                <w:color w:val="000000"/>
                <w:sz w:val="16"/>
                <w:szCs w:val="16"/>
              </w:rPr>
            </w:pPr>
          </w:p>
        </w:tc>
        <w:tc>
          <w:tcPr>
            <w:tcW w:w="930" w:type="dxa"/>
            <w:tcBorders>
              <w:top w:val="nil"/>
              <w:left w:val="nil"/>
              <w:bottom w:val="single" w:sz="4" w:space="0" w:color="auto"/>
              <w:right w:val="nil"/>
            </w:tcBorders>
            <w:shd w:val="clear" w:color="auto" w:fill="auto"/>
            <w:noWrap/>
            <w:vAlign w:val="bottom"/>
          </w:tcPr>
          <w:p w14:paraId="49A20215" w14:textId="77777777" w:rsidR="0045192C" w:rsidRPr="000C18F3" w:rsidRDefault="0045192C" w:rsidP="0045192C">
            <w:pPr>
              <w:spacing w:after="0" w:line="240" w:lineRule="auto"/>
              <w:jc w:val="center"/>
              <w:rPr>
                <w:rFonts w:ascii="Times New Roman" w:hAnsi="Times New Roman" w:cs="Times New Roman"/>
                <w:color w:val="000000"/>
                <w:sz w:val="16"/>
                <w:szCs w:val="16"/>
              </w:rPr>
            </w:pPr>
          </w:p>
        </w:tc>
        <w:tc>
          <w:tcPr>
            <w:tcW w:w="930" w:type="dxa"/>
            <w:tcBorders>
              <w:top w:val="nil"/>
              <w:left w:val="nil"/>
              <w:bottom w:val="single" w:sz="4" w:space="0" w:color="auto"/>
              <w:right w:val="nil"/>
            </w:tcBorders>
            <w:shd w:val="clear" w:color="auto" w:fill="auto"/>
            <w:noWrap/>
            <w:vAlign w:val="bottom"/>
          </w:tcPr>
          <w:p w14:paraId="6736A90E" w14:textId="77777777" w:rsidR="0045192C" w:rsidRPr="000C18F3" w:rsidRDefault="0045192C" w:rsidP="0045192C">
            <w:pPr>
              <w:spacing w:after="0" w:line="240" w:lineRule="auto"/>
              <w:jc w:val="center"/>
              <w:rPr>
                <w:rFonts w:ascii="Times New Roman" w:hAnsi="Times New Roman" w:cs="Times New Roman"/>
                <w:color w:val="000000"/>
                <w:sz w:val="16"/>
                <w:szCs w:val="16"/>
              </w:rPr>
            </w:pPr>
          </w:p>
        </w:tc>
        <w:tc>
          <w:tcPr>
            <w:tcW w:w="932" w:type="dxa"/>
            <w:tcBorders>
              <w:top w:val="nil"/>
              <w:left w:val="nil"/>
              <w:bottom w:val="single" w:sz="4" w:space="0" w:color="auto"/>
              <w:right w:val="nil"/>
            </w:tcBorders>
            <w:shd w:val="clear" w:color="auto" w:fill="auto"/>
            <w:noWrap/>
            <w:vAlign w:val="bottom"/>
          </w:tcPr>
          <w:p w14:paraId="46C3FE8A"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single" w:sz="4" w:space="0" w:color="auto"/>
              <w:right w:val="nil"/>
            </w:tcBorders>
            <w:shd w:val="clear" w:color="auto" w:fill="auto"/>
            <w:noWrap/>
            <w:vAlign w:val="bottom"/>
          </w:tcPr>
          <w:p w14:paraId="6808C3DB"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single" w:sz="4" w:space="0" w:color="auto"/>
              <w:right w:val="nil"/>
            </w:tcBorders>
            <w:shd w:val="clear" w:color="auto" w:fill="auto"/>
            <w:noWrap/>
            <w:vAlign w:val="bottom"/>
          </w:tcPr>
          <w:p w14:paraId="334E8C97"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930" w:type="dxa"/>
            <w:tcBorders>
              <w:top w:val="nil"/>
              <w:left w:val="nil"/>
              <w:bottom w:val="single" w:sz="4" w:space="0" w:color="auto"/>
              <w:right w:val="nil"/>
            </w:tcBorders>
            <w:shd w:val="clear" w:color="auto" w:fill="auto"/>
            <w:noWrap/>
            <w:vAlign w:val="bottom"/>
          </w:tcPr>
          <w:p w14:paraId="72407E16"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c>
          <w:tcPr>
            <w:tcW w:w="817" w:type="dxa"/>
            <w:tcBorders>
              <w:top w:val="nil"/>
              <w:left w:val="nil"/>
              <w:bottom w:val="single" w:sz="4" w:space="0" w:color="auto"/>
              <w:right w:val="nil"/>
            </w:tcBorders>
            <w:vAlign w:val="bottom"/>
          </w:tcPr>
          <w:p w14:paraId="2F32132B" w14:textId="77777777" w:rsidR="0045192C" w:rsidRPr="000C18F3" w:rsidRDefault="0045192C" w:rsidP="0045192C">
            <w:pPr>
              <w:spacing w:after="0" w:line="240" w:lineRule="auto"/>
              <w:jc w:val="center"/>
              <w:rPr>
                <w:rFonts w:ascii="Times New Roman" w:hAnsi="Times New Roman" w:cs="Times New Roman"/>
                <w:color w:val="000000"/>
                <w:sz w:val="16"/>
                <w:szCs w:val="16"/>
              </w:rPr>
            </w:pPr>
          </w:p>
        </w:tc>
        <w:tc>
          <w:tcPr>
            <w:tcW w:w="932" w:type="dxa"/>
            <w:tcBorders>
              <w:top w:val="nil"/>
              <w:left w:val="nil"/>
              <w:bottom w:val="single" w:sz="4" w:space="0" w:color="auto"/>
              <w:right w:val="nil"/>
            </w:tcBorders>
            <w:shd w:val="clear" w:color="auto" w:fill="auto"/>
            <w:noWrap/>
            <w:vAlign w:val="bottom"/>
          </w:tcPr>
          <w:p w14:paraId="2F163828" w14:textId="77777777" w:rsidR="0045192C" w:rsidRPr="000C18F3" w:rsidRDefault="0045192C" w:rsidP="0045192C">
            <w:pPr>
              <w:spacing w:after="0" w:line="240" w:lineRule="auto"/>
              <w:jc w:val="center"/>
              <w:rPr>
                <w:rFonts w:ascii="Times New Roman" w:eastAsia="Times New Roman" w:hAnsi="Times New Roman" w:cs="Times New Roman"/>
                <w:color w:val="000000"/>
                <w:sz w:val="16"/>
                <w:szCs w:val="16"/>
              </w:rPr>
            </w:pPr>
          </w:p>
        </w:tc>
      </w:tr>
    </w:tbl>
    <w:p w14:paraId="0AF87264" w14:textId="660B0348" w:rsidR="00007311" w:rsidRPr="00347697" w:rsidRDefault="00A5589D" w:rsidP="00347697">
      <w:pPr>
        <w:spacing w:after="0" w:line="240" w:lineRule="auto"/>
        <w:rPr>
          <w:rFonts w:ascii="Times New Roman" w:hAnsi="Times New Roman" w:cs="Times New Roman"/>
          <w:sz w:val="20"/>
          <w:szCs w:val="20"/>
        </w:rPr>
      </w:pPr>
      <w:r w:rsidRPr="00347697">
        <w:rPr>
          <w:rFonts w:ascii="Times New Roman" w:hAnsi="Times New Roman" w:cs="Times New Roman"/>
          <w:sz w:val="20"/>
          <w:szCs w:val="20"/>
        </w:rPr>
        <w:t xml:space="preserve">NOTE:  Cells with few students were collapsed together into the </w:t>
      </w:r>
      <w:r w:rsidR="008A3330">
        <w:rPr>
          <w:rFonts w:ascii="Times New Roman" w:hAnsi="Times New Roman" w:cs="Times New Roman"/>
          <w:i/>
          <w:sz w:val="20"/>
          <w:szCs w:val="20"/>
        </w:rPr>
        <w:t>Other</w:t>
      </w:r>
      <w:r w:rsidR="008A3330" w:rsidRPr="00347697">
        <w:rPr>
          <w:rFonts w:ascii="Times New Roman" w:hAnsi="Times New Roman" w:cs="Times New Roman"/>
          <w:sz w:val="20"/>
          <w:szCs w:val="20"/>
        </w:rPr>
        <w:t xml:space="preserve"> </w:t>
      </w:r>
      <w:r w:rsidRPr="00347697">
        <w:rPr>
          <w:rFonts w:ascii="Times New Roman" w:hAnsi="Times New Roman" w:cs="Times New Roman"/>
          <w:sz w:val="20"/>
          <w:szCs w:val="20"/>
        </w:rPr>
        <w:t xml:space="preserve">column.  As a result, cells marked "-----" do not necessarily indicate that </w:t>
      </w:r>
      <w:r>
        <w:rPr>
          <w:rFonts w:ascii="Times New Roman" w:hAnsi="Times New Roman" w:cs="Times New Roman"/>
          <w:sz w:val="20"/>
          <w:szCs w:val="20"/>
        </w:rPr>
        <w:t>zero</w:t>
      </w:r>
      <w:r w:rsidRPr="00347697">
        <w:rPr>
          <w:rFonts w:ascii="Times New Roman" w:hAnsi="Times New Roman" w:cs="Times New Roman"/>
          <w:sz w:val="20"/>
          <w:szCs w:val="20"/>
        </w:rPr>
        <w:t xml:space="preserve"> students attempted a given combination of first and second courses</w:t>
      </w:r>
      <w:r w:rsidR="00E5271B" w:rsidRPr="00347697">
        <w:rPr>
          <w:rFonts w:ascii="Times New Roman" w:hAnsi="Times New Roman" w:cs="Times New Roman"/>
          <w:sz w:val="20"/>
          <w:szCs w:val="20"/>
        </w:rPr>
        <w:t xml:space="preserve">.  </w:t>
      </w:r>
      <w:r w:rsidRPr="00347697">
        <w:rPr>
          <w:rFonts w:ascii="Times New Roman" w:hAnsi="Times New Roman" w:cs="Times New Roman"/>
          <w:sz w:val="20"/>
          <w:szCs w:val="20"/>
        </w:rPr>
        <w:t>Rather, these cells simply had too few students to warrant further analysis at this time.</w:t>
      </w:r>
    </w:p>
    <w:p w14:paraId="22DC99E3" w14:textId="77777777" w:rsidR="001F5B30" w:rsidRDefault="001F5B30" w:rsidP="00347697">
      <w:pPr>
        <w:spacing w:after="0" w:line="240" w:lineRule="auto"/>
        <w:rPr>
          <w:rFonts w:ascii="Times New Roman" w:hAnsi="Times New Roman" w:cs="Times New Roman"/>
          <w:sz w:val="24"/>
          <w:szCs w:val="24"/>
        </w:rPr>
      </w:pPr>
    </w:p>
    <w:p w14:paraId="3592186D" w14:textId="77777777" w:rsidR="00655DAE" w:rsidRDefault="00655DAE">
      <w:pPr>
        <w:rPr>
          <w:rFonts w:ascii="Times New Roman" w:hAnsi="Times New Roman" w:cs="Times New Roman"/>
          <w:sz w:val="24"/>
          <w:szCs w:val="24"/>
        </w:rPr>
      </w:pPr>
      <w:r>
        <w:rPr>
          <w:rFonts w:ascii="Times New Roman" w:hAnsi="Times New Roman" w:cs="Times New Roman"/>
          <w:sz w:val="24"/>
          <w:szCs w:val="24"/>
        </w:rPr>
        <w:br w:type="page"/>
      </w:r>
    </w:p>
    <w:p w14:paraId="18072233" w14:textId="4F89DD03" w:rsidR="00A5589D" w:rsidRDefault="00282C3C" w:rsidP="00347697">
      <w:pPr>
        <w:spacing w:after="0" w:line="240" w:lineRule="auto"/>
        <w:rPr>
          <w:rFonts w:ascii="Times New Roman" w:hAnsi="Times New Roman" w:cs="Times New Roman"/>
          <w:sz w:val="24"/>
          <w:szCs w:val="24"/>
        </w:rPr>
      </w:pPr>
      <w:r w:rsidRPr="00AC012C">
        <w:rPr>
          <w:rFonts w:ascii="Times New Roman" w:hAnsi="Times New Roman" w:cs="Times New Roman"/>
          <w:sz w:val="24"/>
          <w:szCs w:val="24"/>
        </w:rPr>
        <w:lastRenderedPageBreak/>
        <w:t xml:space="preserve">Table </w:t>
      </w:r>
      <w:r w:rsidR="00704D3F" w:rsidRPr="00AA0620">
        <w:rPr>
          <w:rFonts w:ascii="Times New Roman" w:hAnsi="Times New Roman" w:cs="Times New Roman"/>
          <w:sz w:val="24"/>
          <w:szCs w:val="24"/>
        </w:rPr>
        <w:t>5</w:t>
      </w:r>
      <w:r w:rsidRPr="00AA0620">
        <w:rPr>
          <w:rFonts w:ascii="Times New Roman" w:hAnsi="Times New Roman" w:cs="Times New Roman"/>
          <w:sz w:val="24"/>
          <w:szCs w:val="24"/>
        </w:rPr>
        <w:t>:  Selected outcomes by math pathway</w:t>
      </w:r>
      <w:r w:rsidR="00364750" w:rsidRPr="00AA0620">
        <w:rPr>
          <w:rFonts w:ascii="Times New Roman" w:hAnsi="Times New Roman" w:cs="Times New Roman"/>
          <w:sz w:val="24"/>
          <w:szCs w:val="24"/>
        </w:rPr>
        <w:t xml:space="preserve"> (transfer-seeking students only)</w:t>
      </w:r>
    </w:p>
    <w:p w14:paraId="6AABB965" w14:textId="77777777" w:rsidR="00282C3C" w:rsidRDefault="00282C3C" w:rsidP="00347697">
      <w:pPr>
        <w:spacing w:after="0" w:line="240" w:lineRule="auto"/>
        <w:rPr>
          <w:rFonts w:ascii="Times New Roman" w:hAnsi="Times New Roman" w:cs="Times New Roman"/>
          <w:sz w:val="24"/>
          <w:szCs w:val="24"/>
        </w:rPr>
      </w:pPr>
    </w:p>
    <w:tbl>
      <w:tblPr>
        <w:tblW w:w="12960" w:type="dxa"/>
        <w:tblLayout w:type="fixed"/>
        <w:tblCellMar>
          <w:left w:w="115" w:type="dxa"/>
          <w:right w:w="115" w:type="dxa"/>
        </w:tblCellMar>
        <w:tblLook w:val="04A0" w:firstRow="1" w:lastRow="0" w:firstColumn="1" w:lastColumn="0" w:noHBand="0" w:noVBand="1"/>
      </w:tblPr>
      <w:tblGrid>
        <w:gridCol w:w="2340"/>
        <w:gridCol w:w="1959"/>
        <w:gridCol w:w="2340"/>
        <w:gridCol w:w="1315"/>
        <w:gridCol w:w="2503"/>
        <w:gridCol w:w="2503"/>
      </w:tblGrid>
      <w:tr w:rsidR="00F65457" w:rsidRPr="000C18F3" w14:paraId="00855FC9" w14:textId="77777777" w:rsidTr="00E6476E">
        <w:trPr>
          <w:trHeight w:val="255"/>
        </w:trPr>
        <w:tc>
          <w:tcPr>
            <w:tcW w:w="2448" w:type="dxa"/>
            <w:tcBorders>
              <w:top w:val="single" w:sz="4" w:space="0" w:color="auto"/>
              <w:left w:val="nil"/>
              <w:bottom w:val="single" w:sz="4" w:space="0" w:color="auto"/>
              <w:right w:val="nil"/>
            </w:tcBorders>
            <w:shd w:val="clear" w:color="auto" w:fill="auto"/>
            <w:noWrap/>
            <w:vAlign w:val="bottom"/>
            <w:hideMark/>
          </w:tcPr>
          <w:p w14:paraId="3755DBA0" w14:textId="7B0A1755" w:rsidR="00F65457" w:rsidRPr="000C18F3" w:rsidRDefault="00F65457" w:rsidP="00F65457">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First Math</w:t>
            </w:r>
          </w:p>
        </w:tc>
        <w:tc>
          <w:tcPr>
            <w:tcW w:w="2047" w:type="dxa"/>
            <w:tcBorders>
              <w:top w:val="single" w:sz="4" w:space="0" w:color="auto"/>
              <w:left w:val="nil"/>
              <w:bottom w:val="single" w:sz="4" w:space="0" w:color="auto"/>
              <w:right w:val="nil"/>
            </w:tcBorders>
            <w:shd w:val="clear" w:color="auto" w:fill="auto"/>
            <w:noWrap/>
            <w:vAlign w:val="bottom"/>
            <w:hideMark/>
          </w:tcPr>
          <w:p w14:paraId="569FB327" w14:textId="77777777" w:rsidR="00F65457" w:rsidRPr="000C18F3" w:rsidRDefault="00F65457" w:rsidP="00F65457">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 xml:space="preserve">Outcome in </w:t>
            </w:r>
          </w:p>
          <w:p w14:paraId="73D7564C" w14:textId="47A8BB68" w:rsidR="00F65457" w:rsidRPr="000C18F3" w:rsidRDefault="00F65457" w:rsidP="00F65457">
            <w:pPr>
              <w:spacing w:after="0" w:line="240" w:lineRule="auto"/>
              <w:jc w:val="center"/>
              <w:rPr>
                <w:rFonts w:ascii="Times New Roman" w:eastAsia="Times New Roman" w:hAnsi="Times New Roman" w:cs="Times New Roman"/>
                <w:sz w:val="20"/>
                <w:szCs w:val="20"/>
              </w:rPr>
            </w:pPr>
            <w:r w:rsidRPr="000C18F3">
              <w:rPr>
                <w:rFonts w:ascii="Times New Roman" w:eastAsia="Times New Roman" w:hAnsi="Times New Roman" w:cs="Times New Roman"/>
                <w:color w:val="000000"/>
                <w:sz w:val="20"/>
                <w:szCs w:val="20"/>
              </w:rPr>
              <w:t>First Math</w:t>
            </w:r>
          </w:p>
        </w:tc>
        <w:tc>
          <w:tcPr>
            <w:tcW w:w="2448" w:type="dxa"/>
            <w:tcBorders>
              <w:top w:val="single" w:sz="4" w:space="0" w:color="auto"/>
              <w:left w:val="nil"/>
              <w:bottom w:val="single" w:sz="4" w:space="0" w:color="auto"/>
              <w:right w:val="nil"/>
            </w:tcBorders>
            <w:shd w:val="clear" w:color="auto" w:fill="auto"/>
            <w:noWrap/>
            <w:vAlign w:val="bottom"/>
            <w:hideMark/>
          </w:tcPr>
          <w:p w14:paraId="2716A543" w14:textId="1091DE23" w:rsidR="00F65457" w:rsidRPr="000C18F3" w:rsidRDefault="00F65457" w:rsidP="00F65457">
            <w:pPr>
              <w:spacing w:after="0" w:line="240" w:lineRule="auto"/>
              <w:jc w:val="center"/>
              <w:rPr>
                <w:rFonts w:ascii="Times New Roman" w:eastAsia="Times New Roman" w:hAnsi="Times New Roman" w:cs="Times New Roman"/>
                <w:sz w:val="20"/>
                <w:szCs w:val="20"/>
              </w:rPr>
            </w:pPr>
            <w:r w:rsidRPr="000C18F3">
              <w:rPr>
                <w:rFonts w:ascii="Times New Roman" w:eastAsia="Times New Roman" w:hAnsi="Times New Roman" w:cs="Times New Roman"/>
                <w:color w:val="000000"/>
                <w:sz w:val="20"/>
                <w:szCs w:val="20"/>
              </w:rPr>
              <w:t>Second Math</w:t>
            </w:r>
          </w:p>
        </w:tc>
        <w:tc>
          <w:tcPr>
            <w:tcW w:w="1370" w:type="dxa"/>
            <w:tcBorders>
              <w:top w:val="single" w:sz="4" w:space="0" w:color="auto"/>
              <w:left w:val="nil"/>
              <w:bottom w:val="single" w:sz="4" w:space="0" w:color="auto"/>
              <w:right w:val="nil"/>
            </w:tcBorders>
            <w:shd w:val="clear" w:color="auto" w:fill="auto"/>
            <w:noWrap/>
            <w:vAlign w:val="bottom"/>
            <w:hideMark/>
          </w:tcPr>
          <w:p w14:paraId="2ACEB45D" w14:textId="59E7AC67" w:rsidR="00F65457" w:rsidRPr="000C18F3" w:rsidRDefault="00F65457" w:rsidP="00F65457">
            <w:pPr>
              <w:spacing w:after="0" w:line="240" w:lineRule="auto"/>
              <w:jc w:val="center"/>
              <w:rPr>
                <w:rFonts w:ascii="Times New Roman" w:eastAsia="Times New Roman" w:hAnsi="Times New Roman" w:cs="Times New Roman"/>
                <w:sz w:val="20"/>
                <w:szCs w:val="20"/>
              </w:rPr>
            </w:pPr>
            <w:r w:rsidRPr="000C18F3">
              <w:rPr>
                <w:rFonts w:ascii="Times New Roman" w:eastAsia="Times New Roman" w:hAnsi="Times New Roman" w:cs="Times New Roman"/>
                <w:i/>
                <w:color w:val="000000"/>
                <w:sz w:val="20"/>
                <w:szCs w:val="20"/>
              </w:rPr>
              <w:t>N</w:t>
            </w:r>
          </w:p>
        </w:tc>
        <w:tc>
          <w:tcPr>
            <w:tcW w:w="2619" w:type="dxa"/>
            <w:tcBorders>
              <w:top w:val="single" w:sz="4" w:space="0" w:color="auto"/>
              <w:left w:val="nil"/>
              <w:bottom w:val="single" w:sz="4" w:space="0" w:color="auto"/>
              <w:right w:val="nil"/>
            </w:tcBorders>
            <w:shd w:val="clear" w:color="auto" w:fill="auto"/>
            <w:noWrap/>
            <w:vAlign w:val="bottom"/>
            <w:hideMark/>
          </w:tcPr>
          <w:p w14:paraId="56EA1007" w14:textId="415826C7" w:rsidR="00F65457" w:rsidRPr="000C18F3" w:rsidRDefault="00F65457" w:rsidP="00F65457">
            <w:pPr>
              <w:spacing w:after="0" w:line="240" w:lineRule="auto"/>
              <w:jc w:val="center"/>
              <w:rPr>
                <w:rFonts w:ascii="Times New Roman" w:eastAsia="Times New Roman" w:hAnsi="Times New Roman" w:cs="Times New Roman"/>
                <w:sz w:val="20"/>
                <w:szCs w:val="20"/>
              </w:rPr>
            </w:pPr>
            <w:r w:rsidRPr="000C18F3">
              <w:rPr>
                <w:rFonts w:ascii="Times New Roman" w:eastAsia="Times New Roman" w:hAnsi="Times New Roman" w:cs="Times New Roman"/>
                <w:color w:val="000000"/>
                <w:sz w:val="20"/>
                <w:szCs w:val="20"/>
              </w:rPr>
              <w:t>% successful in second math (on first attempt)</w:t>
            </w:r>
          </w:p>
        </w:tc>
        <w:tc>
          <w:tcPr>
            <w:tcW w:w="2619" w:type="dxa"/>
            <w:tcBorders>
              <w:top w:val="single" w:sz="4" w:space="0" w:color="auto"/>
              <w:left w:val="nil"/>
              <w:bottom w:val="single" w:sz="4" w:space="0" w:color="auto"/>
              <w:right w:val="nil"/>
            </w:tcBorders>
            <w:shd w:val="clear" w:color="auto" w:fill="auto"/>
            <w:noWrap/>
            <w:vAlign w:val="bottom"/>
            <w:hideMark/>
          </w:tcPr>
          <w:p w14:paraId="7B1C1CAF" w14:textId="08276C74" w:rsidR="00F65457" w:rsidRPr="000C18F3" w:rsidRDefault="00F65457" w:rsidP="00BD7A29">
            <w:pPr>
              <w:spacing w:after="0" w:line="240" w:lineRule="auto"/>
              <w:jc w:val="center"/>
              <w:rPr>
                <w:rFonts w:ascii="Times New Roman" w:eastAsia="Times New Roman" w:hAnsi="Times New Roman" w:cs="Times New Roman"/>
                <w:sz w:val="20"/>
                <w:szCs w:val="20"/>
              </w:rPr>
            </w:pPr>
            <w:r w:rsidRPr="000C18F3">
              <w:rPr>
                <w:rFonts w:ascii="Times New Roman" w:eastAsia="Times New Roman" w:hAnsi="Times New Roman" w:cs="Times New Roman"/>
                <w:color w:val="000000"/>
                <w:sz w:val="20"/>
                <w:szCs w:val="20"/>
              </w:rPr>
              <w:t xml:space="preserve">% </w:t>
            </w:r>
            <w:r w:rsidR="00BD7A29">
              <w:rPr>
                <w:rFonts w:ascii="Times New Roman" w:eastAsia="Times New Roman" w:hAnsi="Times New Roman" w:cs="Times New Roman"/>
                <w:color w:val="000000"/>
                <w:sz w:val="20"/>
                <w:szCs w:val="20"/>
              </w:rPr>
              <w:t>achieved</w:t>
            </w:r>
            <w:r w:rsidR="00580C81">
              <w:rPr>
                <w:rFonts w:ascii="Times New Roman" w:eastAsia="Times New Roman" w:hAnsi="Times New Roman" w:cs="Times New Roman"/>
                <w:color w:val="000000"/>
                <w:sz w:val="20"/>
                <w:szCs w:val="20"/>
              </w:rPr>
              <w:t xml:space="preserve"> </w:t>
            </w:r>
            <w:r w:rsidRPr="000C18F3">
              <w:rPr>
                <w:rFonts w:ascii="Times New Roman" w:eastAsia="Times New Roman" w:hAnsi="Times New Roman" w:cs="Times New Roman"/>
                <w:color w:val="000000"/>
                <w:sz w:val="20"/>
                <w:szCs w:val="20"/>
              </w:rPr>
              <w:t>transfer-level quantitative competency</w:t>
            </w:r>
          </w:p>
        </w:tc>
      </w:tr>
      <w:tr w:rsidR="00E6476E" w:rsidRPr="000C18F3" w14:paraId="0523F2F2" w14:textId="77777777" w:rsidTr="00E6476E">
        <w:trPr>
          <w:trHeight w:val="255"/>
        </w:trPr>
        <w:tc>
          <w:tcPr>
            <w:tcW w:w="2448" w:type="dxa"/>
            <w:tcBorders>
              <w:top w:val="single" w:sz="4" w:space="0" w:color="auto"/>
              <w:left w:val="nil"/>
              <w:right w:val="nil"/>
            </w:tcBorders>
            <w:shd w:val="clear" w:color="auto" w:fill="auto"/>
            <w:noWrap/>
            <w:vAlign w:val="bottom"/>
          </w:tcPr>
          <w:p w14:paraId="6579AAF6"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2047" w:type="dxa"/>
            <w:tcBorders>
              <w:top w:val="single" w:sz="4" w:space="0" w:color="auto"/>
              <w:left w:val="nil"/>
              <w:right w:val="nil"/>
            </w:tcBorders>
            <w:shd w:val="clear" w:color="auto" w:fill="auto"/>
            <w:noWrap/>
            <w:vAlign w:val="bottom"/>
          </w:tcPr>
          <w:p w14:paraId="07A09742"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2448" w:type="dxa"/>
            <w:tcBorders>
              <w:top w:val="single" w:sz="4" w:space="0" w:color="auto"/>
              <w:left w:val="nil"/>
              <w:right w:val="nil"/>
            </w:tcBorders>
            <w:shd w:val="clear" w:color="auto" w:fill="auto"/>
            <w:noWrap/>
            <w:vAlign w:val="bottom"/>
          </w:tcPr>
          <w:p w14:paraId="36D76411"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right w:val="nil"/>
            </w:tcBorders>
            <w:shd w:val="clear" w:color="auto" w:fill="auto"/>
            <w:noWrap/>
            <w:vAlign w:val="bottom"/>
          </w:tcPr>
          <w:p w14:paraId="0026B6A6" w14:textId="77777777" w:rsidR="00E6476E" w:rsidRPr="000C18F3" w:rsidRDefault="00E6476E" w:rsidP="0082685F">
            <w:pPr>
              <w:tabs>
                <w:tab w:val="decimal" w:pos="675"/>
              </w:tabs>
              <w:spacing w:after="0" w:line="240" w:lineRule="auto"/>
              <w:rPr>
                <w:rFonts w:ascii="Times New Roman" w:hAnsi="Times New Roman" w:cs="Times New Roman"/>
                <w:color w:val="000000"/>
                <w:sz w:val="20"/>
                <w:szCs w:val="20"/>
              </w:rPr>
            </w:pPr>
          </w:p>
        </w:tc>
        <w:tc>
          <w:tcPr>
            <w:tcW w:w="2619" w:type="dxa"/>
            <w:tcBorders>
              <w:top w:val="single" w:sz="4" w:space="0" w:color="auto"/>
              <w:left w:val="nil"/>
              <w:right w:val="nil"/>
            </w:tcBorders>
            <w:shd w:val="clear" w:color="auto" w:fill="auto"/>
            <w:noWrap/>
            <w:vAlign w:val="bottom"/>
          </w:tcPr>
          <w:p w14:paraId="6839A2F1" w14:textId="77777777" w:rsidR="00E6476E" w:rsidRPr="000C18F3" w:rsidRDefault="00E6476E" w:rsidP="0082685F">
            <w:pPr>
              <w:spacing w:after="0" w:line="240" w:lineRule="auto"/>
              <w:jc w:val="center"/>
              <w:rPr>
                <w:rFonts w:ascii="Times New Roman" w:hAnsi="Times New Roman" w:cs="Times New Roman"/>
                <w:color w:val="000000"/>
                <w:sz w:val="20"/>
                <w:szCs w:val="20"/>
              </w:rPr>
            </w:pPr>
          </w:p>
        </w:tc>
        <w:tc>
          <w:tcPr>
            <w:tcW w:w="2619" w:type="dxa"/>
            <w:tcBorders>
              <w:top w:val="single" w:sz="4" w:space="0" w:color="auto"/>
              <w:left w:val="nil"/>
              <w:right w:val="nil"/>
            </w:tcBorders>
            <w:shd w:val="clear" w:color="auto" w:fill="auto"/>
            <w:noWrap/>
            <w:vAlign w:val="bottom"/>
          </w:tcPr>
          <w:p w14:paraId="062CF0F1" w14:textId="77777777" w:rsidR="00E6476E" w:rsidRPr="000C18F3" w:rsidRDefault="00E6476E" w:rsidP="0082685F">
            <w:pPr>
              <w:spacing w:after="0" w:line="240" w:lineRule="auto"/>
              <w:jc w:val="center"/>
              <w:rPr>
                <w:rFonts w:ascii="Times New Roman" w:hAnsi="Times New Roman" w:cs="Times New Roman"/>
                <w:color w:val="000000"/>
                <w:sz w:val="20"/>
                <w:szCs w:val="20"/>
              </w:rPr>
            </w:pPr>
          </w:p>
        </w:tc>
      </w:tr>
      <w:tr w:rsidR="0082685F" w:rsidRPr="000C18F3" w14:paraId="07C148A7" w14:textId="77777777" w:rsidTr="00E6476E">
        <w:trPr>
          <w:trHeight w:val="255"/>
        </w:trPr>
        <w:tc>
          <w:tcPr>
            <w:tcW w:w="2448" w:type="dxa"/>
            <w:tcBorders>
              <w:left w:val="nil"/>
              <w:bottom w:val="nil"/>
              <w:right w:val="nil"/>
            </w:tcBorders>
            <w:shd w:val="clear" w:color="auto" w:fill="auto"/>
            <w:noWrap/>
            <w:vAlign w:val="bottom"/>
            <w:hideMark/>
          </w:tcPr>
          <w:p w14:paraId="17B85F63" w14:textId="0382A14A"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ACDV B72</w:t>
            </w:r>
          </w:p>
        </w:tc>
        <w:tc>
          <w:tcPr>
            <w:tcW w:w="2047" w:type="dxa"/>
            <w:tcBorders>
              <w:left w:val="nil"/>
              <w:bottom w:val="nil"/>
              <w:right w:val="nil"/>
            </w:tcBorders>
            <w:shd w:val="clear" w:color="auto" w:fill="auto"/>
            <w:noWrap/>
            <w:vAlign w:val="bottom"/>
            <w:hideMark/>
          </w:tcPr>
          <w:p w14:paraId="173029BE"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left w:val="nil"/>
              <w:bottom w:val="nil"/>
              <w:right w:val="nil"/>
            </w:tcBorders>
            <w:shd w:val="clear" w:color="auto" w:fill="auto"/>
            <w:noWrap/>
            <w:vAlign w:val="bottom"/>
            <w:hideMark/>
          </w:tcPr>
          <w:p w14:paraId="2DBE15A9"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B60</w:t>
            </w:r>
          </w:p>
        </w:tc>
        <w:tc>
          <w:tcPr>
            <w:tcW w:w="1370" w:type="dxa"/>
            <w:tcBorders>
              <w:left w:val="nil"/>
              <w:bottom w:val="nil"/>
              <w:right w:val="nil"/>
            </w:tcBorders>
            <w:shd w:val="clear" w:color="auto" w:fill="auto"/>
            <w:noWrap/>
            <w:vAlign w:val="bottom"/>
            <w:hideMark/>
          </w:tcPr>
          <w:p w14:paraId="7051B5FE" w14:textId="72E20D0D"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198</w:t>
            </w:r>
          </w:p>
        </w:tc>
        <w:tc>
          <w:tcPr>
            <w:tcW w:w="2619" w:type="dxa"/>
            <w:tcBorders>
              <w:left w:val="nil"/>
              <w:bottom w:val="nil"/>
              <w:right w:val="nil"/>
            </w:tcBorders>
            <w:shd w:val="clear" w:color="auto" w:fill="auto"/>
            <w:noWrap/>
            <w:vAlign w:val="bottom"/>
            <w:hideMark/>
          </w:tcPr>
          <w:p w14:paraId="09BFBF4F" w14:textId="631FF729"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49%</w:t>
            </w:r>
          </w:p>
        </w:tc>
        <w:tc>
          <w:tcPr>
            <w:tcW w:w="2619" w:type="dxa"/>
            <w:tcBorders>
              <w:left w:val="nil"/>
              <w:bottom w:val="nil"/>
              <w:right w:val="nil"/>
            </w:tcBorders>
            <w:shd w:val="clear" w:color="auto" w:fill="auto"/>
            <w:noWrap/>
            <w:vAlign w:val="bottom"/>
            <w:hideMark/>
          </w:tcPr>
          <w:p w14:paraId="516E18FB" w14:textId="044A681A"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8%</w:t>
            </w:r>
          </w:p>
        </w:tc>
      </w:tr>
      <w:tr w:rsidR="0082685F" w:rsidRPr="000C18F3" w14:paraId="60779333" w14:textId="77777777" w:rsidTr="00E6476E">
        <w:trPr>
          <w:trHeight w:val="255"/>
        </w:trPr>
        <w:tc>
          <w:tcPr>
            <w:tcW w:w="2448" w:type="dxa"/>
            <w:tcBorders>
              <w:top w:val="nil"/>
              <w:left w:val="nil"/>
              <w:bottom w:val="nil"/>
              <w:right w:val="nil"/>
            </w:tcBorders>
            <w:shd w:val="clear" w:color="auto" w:fill="auto"/>
            <w:noWrap/>
            <w:vAlign w:val="bottom"/>
            <w:hideMark/>
          </w:tcPr>
          <w:p w14:paraId="32C30532"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B60</w:t>
            </w:r>
          </w:p>
        </w:tc>
        <w:tc>
          <w:tcPr>
            <w:tcW w:w="2047" w:type="dxa"/>
            <w:tcBorders>
              <w:top w:val="nil"/>
              <w:left w:val="nil"/>
              <w:bottom w:val="nil"/>
              <w:right w:val="nil"/>
            </w:tcBorders>
            <w:shd w:val="clear" w:color="auto" w:fill="auto"/>
            <w:noWrap/>
            <w:vAlign w:val="bottom"/>
            <w:hideMark/>
          </w:tcPr>
          <w:p w14:paraId="7EAB2E65"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081FD3BA"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1370" w:type="dxa"/>
            <w:tcBorders>
              <w:top w:val="nil"/>
              <w:left w:val="nil"/>
              <w:bottom w:val="nil"/>
              <w:right w:val="nil"/>
            </w:tcBorders>
            <w:shd w:val="clear" w:color="auto" w:fill="auto"/>
            <w:noWrap/>
            <w:vAlign w:val="bottom"/>
            <w:hideMark/>
          </w:tcPr>
          <w:p w14:paraId="480A43F0" w14:textId="6FB9AAC6"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483</w:t>
            </w:r>
          </w:p>
        </w:tc>
        <w:tc>
          <w:tcPr>
            <w:tcW w:w="2619" w:type="dxa"/>
            <w:tcBorders>
              <w:top w:val="nil"/>
              <w:left w:val="nil"/>
              <w:bottom w:val="nil"/>
              <w:right w:val="nil"/>
            </w:tcBorders>
            <w:shd w:val="clear" w:color="auto" w:fill="auto"/>
            <w:noWrap/>
            <w:vAlign w:val="bottom"/>
            <w:hideMark/>
          </w:tcPr>
          <w:p w14:paraId="4CDD1EF6" w14:textId="7DD1BDF1"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55%</w:t>
            </w:r>
          </w:p>
        </w:tc>
        <w:tc>
          <w:tcPr>
            <w:tcW w:w="2619" w:type="dxa"/>
            <w:tcBorders>
              <w:top w:val="nil"/>
              <w:left w:val="nil"/>
              <w:bottom w:val="nil"/>
              <w:right w:val="nil"/>
            </w:tcBorders>
            <w:shd w:val="clear" w:color="auto" w:fill="auto"/>
            <w:noWrap/>
            <w:vAlign w:val="bottom"/>
            <w:hideMark/>
          </w:tcPr>
          <w:p w14:paraId="56F71899" w14:textId="4C6B2A5D"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28%</w:t>
            </w:r>
          </w:p>
        </w:tc>
      </w:tr>
      <w:tr w:rsidR="0082685F" w:rsidRPr="000C18F3" w14:paraId="6D0E01F8" w14:textId="77777777" w:rsidTr="00E6476E">
        <w:trPr>
          <w:trHeight w:val="255"/>
        </w:trPr>
        <w:tc>
          <w:tcPr>
            <w:tcW w:w="2448" w:type="dxa"/>
            <w:tcBorders>
              <w:top w:val="nil"/>
              <w:left w:val="nil"/>
              <w:bottom w:val="nil"/>
              <w:right w:val="nil"/>
            </w:tcBorders>
            <w:shd w:val="clear" w:color="auto" w:fill="auto"/>
            <w:noWrap/>
            <w:vAlign w:val="bottom"/>
            <w:hideMark/>
          </w:tcPr>
          <w:p w14:paraId="665701C3"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B65</w:t>
            </w:r>
          </w:p>
        </w:tc>
        <w:tc>
          <w:tcPr>
            <w:tcW w:w="2047" w:type="dxa"/>
            <w:tcBorders>
              <w:top w:val="nil"/>
              <w:left w:val="nil"/>
              <w:bottom w:val="nil"/>
              <w:right w:val="nil"/>
            </w:tcBorders>
            <w:shd w:val="clear" w:color="auto" w:fill="auto"/>
            <w:noWrap/>
            <w:vAlign w:val="bottom"/>
            <w:hideMark/>
          </w:tcPr>
          <w:p w14:paraId="32EB87CF"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10C5CE3E"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B22</w:t>
            </w:r>
          </w:p>
        </w:tc>
        <w:tc>
          <w:tcPr>
            <w:tcW w:w="1370" w:type="dxa"/>
            <w:tcBorders>
              <w:top w:val="nil"/>
              <w:left w:val="nil"/>
              <w:bottom w:val="nil"/>
              <w:right w:val="nil"/>
            </w:tcBorders>
            <w:shd w:val="clear" w:color="auto" w:fill="auto"/>
            <w:noWrap/>
            <w:vAlign w:val="bottom"/>
            <w:hideMark/>
          </w:tcPr>
          <w:p w14:paraId="0F85E34A" w14:textId="6D8BA0E4"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19</w:t>
            </w:r>
          </w:p>
        </w:tc>
        <w:tc>
          <w:tcPr>
            <w:tcW w:w="2619" w:type="dxa"/>
            <w:tcBorders>
              <w:top w:val="nil"/>
              <w:left w:val="nil"/>
              <w:bottom w:val="nil"/>
              <w:right w:val="nil"/>
            </w:tcBorders>
            <w:shd w:val="clear" w:color="auto" w:fill="auto"/>
            <w:noWrap/>
            <w:vAlign w:val="bottom"/>
            <w:hideMark/>
          </w:tcPr>
          <w:p w14:paraId="1E6D3B4B" w14:textId="6B352F7B"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42%</w:t>
            </w:r>
          </w:p>
        </w:tc>
        <w:tc>
          <w:tcPr>
            <w:tcW w:w="2619" w:type="dxa"/>
            <w:tcBorders>
              <w:top w:val="nil"/>
              <w:left w:val="nil"/>
              <w:bottom w:val="nil"/>
              <w:right w:val="nil"/>
            </w:tcBorders>
            <w:shd w:val="clear" w:color="auto" w:fill="auto"/>
            <w:noWrap/>
            <w:vAlign w:val="bottom"/>
            <w:hideMark/>
          </w:tcPr>
          <w:p w14:paraId="0E3A48F8" w14:textId="60B3B81E"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53%</w:t>
            </w:r>
          </w:p>
        </w:tc>
      </w:tr>
      <w:tr w:rsidR="0082685F" w:rsidRPr="000C18F3" w14:paraId="5B12BF34" w14:textId="77777777" w:rsidTr="00E6476E">
        <w:trPr>
          <w:trHeight w:val="255"/>
        </w:trPr>
        <w:tc>
          <w:tcPr>
            <w:tcW w:w="2448" w:type="dxa"/>
            <w:tcBorders>
              <w:top w:val="nil"/>
              <w:left w:val="nil"/>
              <w:bottom w:val="nil"/>
              <w:right w:val="nil"/>
            </w:tcBorders>
            <w:shd w:val="clear" w:color="auto" w:fill="auto"/>
            <w:noWrap/>
            <w:vAlign w:val="bottom"/>
            <w:hideMark/>
          </w:tcPr>
          <w:p w14:paraId="4D6E89EB"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B65</w:t>
            </w:r>
          </w:p>
        </w:tc>
        <w:tc>
          <w:tcPr>
            <w:tcW w:w="2047" w:type="dxa"/>
            <w:tcBorders>
              <w:top w:val="nil"/>
              <w:left w:val="nil"/>
              <w:bottom w:val="nil"/>
              <w:right w:val="nil"/>
            </w:tcBorders>
            <w:shd w:val="clear" w:color="auto" w:fill="auto"/>
            <w:noWrap/>
            <w:vAlign w:val="bottom"/>
            <w:hideMark/>
          </w:tcPr>
          <w:p w14:paraId="24ADDBE8"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3CDA1D76"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Psyc B5</w:t>
            </w:r>
          </w:p>
        </w:tc>
        <w:tc>
          <w:tcPr>
            <w:tcW w:w="1370" w:type="dxa"/>
            <w:tcBorders>
              <w:top w:val="nil"/>
              <w:left w:val="nil"/>
              <w:bottom w:val="nil"/>
              <w:right w:val="nil"/>
            </w:tcBorders>
            <w:shd w:val="clear" w:color="auto" w:fill="auto"/>
            <w:noWrap/>
            <w:vAlign w:val="bottom"/>
            <w:hideMark/>
          </w:tcPr>
          <w:p w14:paraId="16A90AF7" w14:textId="709E82E5"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17</w:t>
            </w:r>
          </w:p>
        </w:tc>
        <w:tc>
          <w:tcPr>
            <w:tcW w:w="2619" w:type="dxa"/>
            <w:tcBorders>
              <w:top w:val="nil"/>
              <w:left w:val="nil"/>
              <w:bottom w:val="nil"/>
              <w:right w:val="nil"/>
            </w:tcBorders>
            <w:shd w:val="clear" w:color="auto" w:fill="auto"/>
            <w:noWrap/>
            <w:vAlign w:val="bottom"/>
            <w:hideMark/>
          </w:tcPr>
          <w:p w14:paraId="6E166A10" w14:textId="1CAB6988"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88%</w:t>
            </w:r>
          </w:p>
        </w:tc>
        <w:tc>
          <w:tcPr>
            <w:tcW w:w="2619" w:type="dxa"/>
            <w:tcBorders>
              <w:top w:val="nil"/>
              <w:left w:val="nil"/>
              <w:bottom w:val="nil"/>
              <w:right w:val="nil"/>
            </w:tcBorders>
            <w:shd w:val="clear" w:color="auto" w:fill="auto"/>
            <w:noWrap/>
            <w:vAlign w:val="bottom"/>
            <w:hideMark/>
          </w:tcPr>
          <w:p w14:paraId="48AAC9F6" w14:textId="67C730D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88%</w:t>
            </w:r>
          </w:p>
        </w:tc>
      </w:tr>
      <w:tr w:rsidR="0082685F" w:rsidRPr="000C18F3" w14:paraId="73F70493" w14:textId="77777777" w:rsidTr="00E6476E">
        <w:trPr>
          <w:trHeight w:val="255"/>
        </w:trPr>
        <w:tc>
          <w:tcPr>
            <w:tcW w:w="2448" w:type="dxa"/>
            <w:tcBorders>
              <w:top w:val="nil"/>
              <w:left w:val="nil"/>
              <w:bottom w:val="nil"/>
              <w:right w:val="nil"/>
            </w:tcBorders>
            <w:shd w:val="clear" w:color="auto" w:fill="auto"/>
            <w:noWrap/>
            <w:vAlign w:val="bottom"/>
            <w:hideMark/>
          </w:tcPr>
          <w:p w14:paraId="793E09C0" w14:textId="0D6484A1"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LRNC B530</w:t>
            </w:r>
            <w:r w:rsidR="00633507" w:rsidRPr="000C18F3">
              <w:rPr>
                <w:rFonts w:ascii="Times New Roman" w:eastAsia="Times New Roman" w:hAnsi="Times New Roman" w:cs="Times New Roman"/>
                <w:color w:val="000000"/>
                <w:sz w:val="20"/>
                <w:szCs w:val="20"/>
              </w:rPr>
              <w:t xml:space="preserve"> (Math B6</w:t>
            </w:r>
            <w:r w:rsidR="00C71C3C" w:rsidRPr="000C18F3">
              <w:rPr>
                <w:rFonts w:ascii="Times New Roman" w:eastAsia="Times New Roman" w:hAnsi="Times New Roman" w:cs="Times New Roman"/>
                <w:color w:val="000000"/>
                <w:sz w:val="20"/>
                <w:szCs w:val="20"/>
              </w:rPr>
              <w:t>0)</w:t>
            </w:r>
          </w:p>
        </w:tc>
        <w:tc>
          <w:tcPr>
            <w:tcW w:w="2047" w:type="dxa"/>
            <w:tcBorders>
              <w:top w:val="nil"/>
              <w:left w:val="nil"/>
              <w:bottom w:val="nil"/>
              <w:right w:val="nil"/>
            </w:tcBorders>
            <w:shd w:val="clear" w:color="auto" w:fill="auto"/>
            <w:noWrap/>
            <w:vAlign w:val="bottom"/>
            <w:hideMark/>
          </w:tcPr>
          <w:p w14:paraId="5C08FF1D"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602FD8D2" w14:textId="50897DC8" w:rsidR="0082685F" w:rsidRPr="000C18F3" w:rsidRDefault="0082685F" w:rsidP="00786E63">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LRNC B530</w:t>
            </w:r>
            <w:r w:rsidR="00633507" w:rsidRPr="000C18F3">
              <w:rPr>
                <w:rFonts w:ascii="Times New Roman" w:eastAsia="Times New Roman" w:hAnsi="Times New Roman" w:cs="Times New Roman"/>
                <w:color w:val="000000"/>
                <w:sz w:val="20"/>
                <w:szCs w:val="20"/>
              </w:rPr>
              <w:t xml:space="preserve"> (Math B</w:t>
            </w:r>
            <w:r w:rsidR="00786E63" w:rsidRPr="000C18F3">
              <w:rPr>
                <w:rFonts w:ascii="Times New Roman" w:eastAsia="Times New Roman" w:hAnsi="Times New Roman" w:cs="Times New Roman"/>
                <w:color w:val="000000"/>
                <w:sz w:val="20"/>
                <w:szCs w:val="20"/>
              </w:rPr>
              <w:t>7</w:t>
            </w:r>
            <w:r w:rsidR="00633507" w:rsidRPr="000C18F3">
              <w:rPr>
                <w:rFonts w:ascii="Times New Roman" w:eastAsia="Times New Roman" w:hAnsi="Times New Roman" w:cs="Times New Roman"/>
                <w:color w:val="000000"/>
                <w:sz w:val="20"/>
                <w:szCs w:val="20"/>
              </w:rPr>
              <w:t>0)</w:t>
            </w:r>
          </w:p>
        </w:tc>
        <w:tc>
          <w:tcPr>
            <w:tcW w:w="1370" w:type="dxa"/>
            <w:tcBorders>
              <w:top w:val="nil"/>
              <w:left w:val="nil"/>
              <w:bottom w:val="nil"/>
              <w:right w:val="nil"/>
            </w:tcBorders>
            <w:shd w:val="clear" w:color="auto" w:fill="auto"/>
            <w:noWrap/>
            <w:vAlign w:val="bottom"/>
            <w:hideMark/>
          </w:tcPr>
          <w:p w14:paraId="269DCF9A" w14:textId="6D6245D2"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43</w:t>
            </w:r>
          </w:p>
        </w:tc>
        <w:tc>
          <w:tcPr>
            <w:tcW w:w="2619" w:type="dxa"/>
            <w:tcBorders>
              <w:top w:val="nil"/>
              <w:left w:val="nil"/>
              <w:bottom w:val="nil"/>
              <w:right w:val="nil"/>
            </w:tcBorders>
            <w:shd w:val="clear" w:color="auto" w:fill="auto"/>
            <w:noWrap/>
            <w:vAlign w:val="bottom"/>
            <w:hideMark/>
          </w:tcPr>
          <w:p w14:paraId="0F31FC39" w14:textId="46EED1A2"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58%</w:t>
            </w:r>
          </w:p>
        </w:tc>
        <w:tc>
          <w:tcPr>
            <w:tcW w:w="2619" w:type="dxa"/>
            <w:tcBorders>
              <w:top w:val="nil"/>
              <w:left w:val="nil"/>
              <w:bottom w:val="nil"/>
              <w:right w:val="nil"/>
            </w:tcBorders>
            <w:shd w:val="clear" w:color="auto" w:fill="auto"/>
            <w:noWrap/>
            <w:vAlign w:val="bottom"/>
            <w:hideMark/>
          </w:tcPr>
          <w:p w14:paraId="7321D50B" w14:textId="056C4CC5"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47%</w:t>
            </w:r>
          </w:p>
        </w:tc>
      </w:tr>
      <w:tr w:rsidR="0082685F" w:rsidRPr="000C18F3" w14:paraId="102862D3" w14:textId="77777777" w:rsidTr="00E6476E">
        <w:trPr>
          <w:trHeight w:val="255"/>
        </w:trPr>
        <w:tc>
          <w:tcPr>
            <w:tcW w:w="2448" w:type="dxa"/>
            <w:tcBorders>
              <w:top w:val="nil"/>
              <w:left w:val="nil"/>
              <w:bottom w:val="nil"/>
              <w:right w:val="nil"/>
            </w:tcBorders>
            <w:shd w:val="clear" w:color="auto" w:fill="auto"/>
            <w:noWrap/>
            <w:vAlign w:val="bottom"/>
            <w:hideMark/>
          </w:tcPr>
          <w:p w14:paraId="667765B9"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2047" w:type="dxa"/>
            <w:tcBorders>
              <w:top w:val="nil"/>
              <w:left w:val="nil"/>
              <w:bottom w:val="nil"/>
              <w:right w:val="nil"/>
            </w:tcBorders>
            <w:shd w:val="clear" w:color="auto" w:fill="auto"/>
            <w:noWrap/>
            <w:vAlign w:val="bottom"/>
            <w:hideMark/>
          </w:tcPr>
          <w:p w14:paraId="0D8660D2"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773D205E"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B1A</w:t>
            </w:r>
          </w:p>
        </w:tc>
        <w:tc>
          <w:tcPr>
            <w:tcW w:w="1370" w:type="dxa"/>
            <w:tcBorders>
              <w:top w:val="nil"/>
              <w:left w:val="nil"/>
              <w:bottom w:val="nil"/>
              <w:right w:val="nil"/>
            </w:tcBorders>
            <w:shd w:val="clear" w:color="auto" w:fill="auto"/>
            <w:noWrap/>
            <w:vAlign w:val="bottom"/>
            <w:hideMark/>
          </w:tcPr>
          <w:p w14:paraId="7F0FAC4F" w14:textId="793CD1A0"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124</w:t>
            </w:r>
          </w:p>
        </w:tc>
        <w:tc>
          <w:tcPr>
            <w:tcW w:w="2619" w:type="dxa"/>
            <w:tcBorders>
              <w:top w:val="nil"/>
              <w:left w:val="nil"/>
              <w:bottom w:val="nil"/>
              <w:right w:val="nil"/>
            </w:tcBorders>
            <w:shd w:val="clear" w:color="auto" w:fill="auto"/>
            <w:noWrap/>
            <w:vAlign w:val="bottom"/>
            <w:hideMark/>
          </w:tcPr>
          <w:p w14:paraId="17523DC6" w14:textId="6BBD0AC3"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51%</w:t>
            </w:r>
          </w:p>
        </w:tc>
        <w:tc>
          <w:tcPr>
            <w:tcW w:w="2619" w:type="dxa"/>
            <w:tcBorders>
              <w:top w:val="nil"/>
              <w:left w:val="nil"/>
              <w:bottom w:val="nil"/>
              <w:right w:val="nil"/>
            </w:tcBorders>
            <w:shd w:val="clear" w:color="auto" w:fill="auto"/>
            <w:noWrap/>
            <w:vAlign w:val="bottom"/>
            <w:hideMark/>
          </w:tcPr>
          <w:p w14:paraId="507769F3" w14:textId="28E1EE74"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71%</w:t>
            </w:r>
          </w:p>
        </w:tc>
      </w:tr>
      <w:tr w:rsidR="0082685F" w:rsidRPr="000C18F3" w14:paraId="277F0C2F" w14:textId="77777777" w:rsidTr="00E6476E">
        <w:trPr>
          <w:trHeight w:val="255"/>
        </w:trPr>
        <w:tc>
          <w:tcPr>
            <w:tcW w:w="2448" w:type="dxa"/>
            <w:tcBorders>
              <w:top w:val="nil"/>
              <w:left w:val="nil"/>
              <w:bottom w:val="nil"/>
              <w:right w:val="nil"/>
            </w:tcBorders>
            <w:shd w:val="clear" w:color="auto" w:fill="auto"/>
            <w:noWrap/>
            <w:vAlign w:val="bottom"/>
            <w:hideMark/>
          </w:tcPr>
          <w:p w14:paraId="7864006E"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2047" w:type="dxa"/>
            <w:tcBorders>
              <w:top w:val="nil"/>
              <w:left w:val="nil"/>
              <w:bottom w:val="nil"/>
              <w:right w:val="nil"/>
            </w:tcBorders>
            <w:shd w:val="clear" w:color="auto" w:fill="auto"/>
            <w:noWrap/>
            <w:vAlign w:val="bottom"/>
            <w:hideMark/>
          </w:tcPr>
          <w:p w14:paraId="2F717C9D"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2FC6683B"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B22</w:t>
            </w:r>
          </w:p>
        </w:tc>
        <w:tc>
          <w:tcPr>
            <w:tcW w:w="1370" w:type="dxa"/>
            <w:tcBorders>
              <w:top w:val="nil"/>
              <w:left w:val="nil"/>
              <w:bottom w:val="nil"/>
              <w:right w:val="nil"/>
            </w:tcBorders>
            <w:shd w:val="clear" w:color="auto" w:fill="auto"/>
            <w:noWrap/>
            <w:vAlign w:val="bottom"/>
            <w:hideMark/>
          </w:tcPr>
          <w:p w14:paraId="69996710" w14:textId="791EE55D"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113</w:t>
            </w:r>
          </w:p>
        </w:tc>
        <w:tc>
          <w:tcPr>
            <w:tcW w:w="2619" w:type="dxa"/>
            <w:tcBorders>
              <w:top w:val="nil"/>
              <w:left w:val="nil"/>
              <w:bottom w:val="nil"/>
              <w:right w:val="nil"/>
            </w:tcBorders>
            <w:shd w:val="clear" w:color="auto" w:fill="auto"/>
            <w:noWrap/>
            <w:vAlign w:val="bottom"/>
            <w:hideMark/>
          </w:tcPr>
          <w:p w14:paraId="3D13C387" w14:textId="5AB2D1DD"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50%</w:t>
            </w:r>
          </w:p>
        </w:tc>
        <w:tc>
          <w:tcPr>
            <w:tcW w:w="2619" w:type="dxa"/>
            <w:tcBorders>
              <w:top w:val="nil"/>
              <w:left w:val="nil"/>
              <w:bottom w:val="nil"/>
              <w:right w:val="nil"/>
            </w:tcBorders>
            <w:shd w:val="clear" w:color="auto" w:fill="auto"/>
            <w:noWrap/>
            <w:vAlign w:val="bottom"/>
            <w:hideMark/>
          </w:tcPr>
          <w:p w14:paraId="682D28B1" w14:textId="672CBCD5"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76%</w:t>
            </w:r>
          </w:p>
        </w:tc>
      </w:tr>
      <w:tr w:rsidR="0082685F" w:rsidRPr="000C18F3" w14:paraId="2FC8E7D2" w14:textId="77777777" w:rsidTr="00E6476E">
        <w:trPr>
          <w:trHeight w:val="255"/>
        </w:trPr>
        <w:tc>
          <w:tcPr>
            <w:tcW w:w="2448" w:type="dxa"/>
            <w:tcBorders>
              <w:top w:val="nil"/>
              <w:left w:val="nil"/>
              <w:bottom w:val="nil"/>
              <w:right w:val="nil"/>
            </w:tcBorders>
            <w:shd w:val="clear" w:color="auto" w:fill="auto"/>
            <w:noWrap/>
            <w:vAlign w:val="bottom"/>
            <w:hideMark/>
          </w:tcPr>
          <w:p w14:paraId="5003208B"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2047" w:type="dxa"/>
            <w:tcBorders>
              <w:top w:val="nil"/>
              <w:left w:val="nil"/>
              <w:bottom w:val="nil"/>
              <w:right w:val="nil"/>
            </w:tcBorders>
            <w:shd w:val="clear" w:color="auto" w:fill="auto"/>
            <w:noWrap/>
            <w:vAlign w:val="bottom"/>
            <w:hideMark/>
          </w:tcPr>
          <w:p w14:paraId="23045A8D"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791295D5"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Psyc B5</w:t>
            </w:r>
          </w:p>
        </w:tc>
        <w:tc>
          <w:tcPr>
            <w:tcW w:w="1370" w:type="dxa"/>
            <w:tcBorders>
              <w:top w:val="nil"/>
              <w:left w:val="nil"/>
              <w:bottom w:val="nil"/>
              <w:right w:val="nil"/>
            </w:tcBorders>
            <w:shd w:val="clear" w:color="auto" w:fill="auto"/>
            <w:noWrap/>
            <w:vAlign w:val="bottom"/>
            <w:hideMark/>
          </w:tcPr>
          <w:p w14:paraId="590AF893" w14:textId="37FBEDE5"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41</w:t>
            </w:r>
          </w:p>
        </w:tc>
        <w:tc>
          <w:tcPr>
            <w:tcW w:w="2619" w:type="dxa"/>
            <w:tcBorders>
              <w:top w:val="nil"/>
              <w:left w:val="nil"/>
              <w:bottom w:val="nil"/>
              <w:right w:val="nil"/>
            </w:tcBorders>
            <w:shd w:val="clear" w:color="auto" w:fill="auto"/>
            <w:noWrap/>
            <w:vAlign w:val="bottom"/>
            <w:hideMark/>
          </w:tcPr>
          <w:p w14:paraId="14EF0455" w14:textId="79A09344"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90%</w:t>
            </w:r>
          </w:p>
        </w:tc>
        <w:tc>
          <w:tcPr>
            <w:tcW w:w="2619" w:type="dxa"/>
            <w:tcBorders>
              <w:top w:val="nil"/>
              <w:left w:val="nil"/>
              <w:bottom w:val="nil"/>
              <w:right w:val="nil"/>
            </w:tcBorders>
            <w:shd w:val="clear" w:color="auto" w:fill="auto"/>
            <w:noWrap/>
            <w:vAlign w:val="bottom"/>
            <w:hideMark/>
          </w:tcPr>
          <w:p w14:paraId="1F703C60" w14:textId="6EB5C9AA"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93%</w:t>
            </w:r>
          </w:p>
        </w:tc>
      </w:tr>
      <w:tr w:rsidR="00017DA1" w:rsidRPr="000C18F3" w14:paraId="042A5616" w14:textId="77777777" w:rsidTr="00E6476E">
        <w:trPr>
          <w:trHeight w:val="255"/>
        </w:trPr>
        <w:tc>
          <w:tcPr>
            <w:tcW w:w="2448" w:type="dxa"/>
            <w:tcBorders>
              <w:top w:val="nil"/>
              <w:left w:val="nil"/>
              <w:bottom w:val="nil"/>
              <w:right w:val="nil"/>
            </w:tcBorders>
            <w:shd w:val="clear" w:color="auto" w:fill="auto"/>
            <w:noWrap/>
            <w:vAlign w:val="bottom"/>
            <w:hideMark/>
          </w:tcPr>
          <w:p w14:paraId="49723EED" w14:textId="77777777" w:rsidR="00017DA1" w:rsidRPr="000C18F3" w:rsidRDefault="00017DA1" w:rsidP="002C4797">
            <w:pPr>
              <w:spacing w:after="0" w:line="240" w:lineRule="auto"/>
              <w:jc w:val="center"/>
              <w:rPr>
                <w:rFonts w:ascii="Times New Roman" w:eastAsia="Times New Roman" w:hAnsi="Times New Roman" w:cs="Times New Roman"/>
                <w:color w:val="000000"/>
                <w:sz w:val="20"/>
                <w:szCs w:val="20"/>
              </w:rPr>
            </w:pPr>
          </w:p>
        </w:tc>
        <w:tc>
          <w:tcPr>
            <w:tcW w:w="2047" w:type="dxa"/>
            <w:tcBorders>
              <w:top w:val="nil"/>
              <w:left w:val="nil"/>
              <w:bottom w:val="nil"/>
              <w:right w:val="nil"/>
            </w:tcBorders>
            <w:shd w:val="clear" w:color="auto" w:fill="auto"/>
            <w:noWrap/>
            <w:vAlign w:val="bottom"/>
            <w:hideMark/>
          </w:tcPr>
          <w:p w14:paraId="3EE4E98F" w14:textId="77777777" w:rsidR="00017DA1" w:rsidRPr="000C18F3" w:rsidRDefault="00017DA1" w:rsidP="002C4797">
            <w:pPr>
              <w:spacing w:after="0" w:line="240" w:lineRule="auto"/>
              <w:jc w:val="center"/>
              <w:rPr>
                <w:rFonts w:ascii="Times New Roman" w:eastAsia="Times New Roman" w:hAnsi="Times New Roman" w:cs="Times New Roman"/>
                <w:sz w:val="20"/>
                <w:szCs w:val="20"/>
              </w:rPr>
            </w:pPr>
          </w:p>
        </w:tc>
        <w:tc>
          <w:tcPr>
            <w:tcW w:w="2448" w:type="dxa"/>
            <w:tcBorders>
              <w:top w:val="nil"/>
              <w:left w:val="nil"/>
              <w:bottom w:val="nil"/>
              <w:right w:val="nil"/>
            </w:tcBorders>
            <w:shd w:val="clear" w:color="auto" w:fill="auto"/>
            <w:noWrap/>
            <w:vAlign w:val="bottom"/>
            <w:hideMark/>
          </w:tcPr>
          <w:p w14:paraId="6EE0D628" w14:textId="77777777" w:rsidR="00017DA1" w:rsidRPr="000C18F3" w:rsidRDefault="00017DA1" w:rsidP="002C4797">
            <w:pPr>
              <w:spacing w:after="0" w:line="240" w:lineRule="auto"/>
              <w:jc w:val="cente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bottom"/>
            <w:hideMark/>
          </w:tcPr>
          <w:p w14:paraId="4284BA1C" w14:textId="77777777" w:rsidR="00017DA1" w:rsidRPr="000C18F3" w:rsidRDefault="00017DA1" w:rsidP="00E7213D">
            <w:pPr>
              <w:tabs>
                <w:tab w:val="decimal" w:pos="675"/>
              </w:tabs>
              <w:spacing w:after="0" w:line="240" w:lineRule="auto"/>
              <w:rPr>
                <w:rFonts w:ascii="Times New Roman" w:eastAsia="Times New Roman" w:hAnsi="Times New Roman" w:cs="Times New Roman"/>
                <w:sz w:val="20"/>
                <w:szCs w:val="20"/>
              </w:rPr>
            </w:pPr>
          </w:p>
        </w:tc>
        <w:tc>
          <w:tcPr>
            <w:tcW w:w="2619" w:type="dxa"/>
            <w:tcBorders>
              <w:top w:val="nil"/>
              <w:left w:val="nil"/>
              <w:bottom w:val="nil"/>
              <w:right w:val="nil"/>
            </w:tcBorders>
            <w:shd w:val="clear" w:color="auto" w:fill="auto"/>
            <w:noWrap/>
            <w:vAlign w:val="bottom"/>
            <w:hideMark/>
          </w:tcPr>
          <w:p w14:paraId="78E4AE7E" w14:textId="77777777" w:rsidR="00017DA1" w:rsidRPr="000C18F3" w:rsidRDefault="00017DA1" w:rsidP="00950BEF">
            <w:pPr>
              <w:spacing w:after="0" w:line="240" w:lineRule="auto"/>
              <w:jc w:val="center"/>
              <w:rPr>
                <w:rFonts w:ascii="Times New Roman" w:eastAsia="Times New Roman" w:hAnsi="Times New Roman" w:cs="Times New Roman"/>
                <w:sz w:val="20"/>
                <w:szCs w:val="20"/>
              </w:rPr>
            </w:pPr>
          </w:p>
        </w:tc>
        <w:tc>
          <w:tcPr>
            <w:tcW w:w="2619" w:type="dxa"/>
            <w:tcBorders>
              <w:top w:val="nil"/>
              <w:left w:val="nil"/>
              <w:bottom w:val="nil"/>
              <w:right w:val="nil"/>
            </w:tcBorders>
            <w:shd w:val="clear" w:color="auto" w:fill="auto"/>
            <w:noWrap/>
            <w:vAlign w:val="bottom"/>
            <w:hideMark/>
          </w:tcPr>
          <w:p w14:paraId="41BCD453" w14:textId="77777777" w:rsidR="00017DA1" w:rsidRPr="000C18F3" w:rsidRDefault="00017DA1" w:rsidP="00950BEF">
            <w:pPr>
              <w:spacing w:after="0" w:line="240" w:lineRule="auto"/>
              <w:jc w:val="center"/>
              <w:rPr>
                <w:rFonts w:ascii="Times New Roman" w:eastAsia="Times New Roman" w:hAnsi="Times New Roman" w:cs="Times New Roman"/>
                <w:sz w:val="20"/>
                <w:szCs w:val="20"/>
              </w:rPr>
            </w:pPr>
          </w:p>
        </w:tc>
      </w:tr>
      <w:tr w:rsidR="0082685F" w:rsidRPr="000C18F3" w14:paraId="5FB34FD8" w14:textId="77777777" w:rsidTr="00E6476E">
        <w:trPr>
          <w:trHeight w:val="255"/>
        </w:trPr>
        <w:tc>
          <w:tcPr>
            <w:tcW w:w="2448" w:type="dxa"/>
            <w:tcBorders>
              <w:top w:val="nil"/>
              <w:left w:val="nil"/>
              <w:bottom w:val="nil"/>
              <w:right w:val="nil"/>
            </w:tcBorders>
            <w:shd w:val="clear" w:color="auto" w:fill="auto"/>
            <w:noWrap/>
            <w:vAlign w:val="bottom"/>
            <w:hideMark/>
          </w:tcPr>
          <w:p w14:paraId="67354CFA" w14:textId="598E6138"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ACDV B72</w:t>
            </w:r>
          </w:p>
        </w:tc>
        <w:tc>
          <w:tcPr>
            <w:tcW w:w="2047" w:type="dxa"/>
            <w:tcBorders>
              <w:top w:val="nil"/>
              <w:left w:val="nil"/>
              <w:bottom w:val="nil"/>
              <w:right w:val="nil"/>
            </w:tcBorders>
            <w:shd w:val="clear" w:color="auto" w:fill="auto"/>
            <w:noWrap/>
            <w:vAlign w:val="bottom"/>
            <w:hideMark/>
          </w:tcPr>
          <w:p w14:paraId="02D6FB80"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0C7B0777" w14:textId="1E27AF71"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ACDV B72</w:t>
            </w:r>
          </w:p>
        </w:tc>
        <w:tc>
          <w:tcPr>
            <w:tcW w:w="1370" w:type="dxa"/>
            <w:tcBorders>
              <w:top w:val="nil"/>
              <w:left w:val="nil"/>
              <w:bottom w:val="nil"/>
              <w:right w:val="nil"/>
            </w:tcBorders>
            <w:shd w:val="clear" w:color="auto" w:fill="auto"/>
            <w:noWrap/>
            <w:vAlign w:val="bottom"/>
            <w:hideMark/>
          </w:tcPr>
          <w:p w14:paraId="66DA08EB" w14:textId="0966D612"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55</w:t>
            </w:r>
          </w:p>
        </w:tc>
        <w:tc>
          <w:tcPr>
            <w:tcW w:w="2619" w:type="dxa"/>
            <w:tcBorders>
              <w:top w:val="nil"/>
              <w:left w:val="nil"/>
              <w:bottom w:val="nil"/>
              <w:right w:val="nil"/>
            </w:tcBorders>
            <w:shd w:val="clear" w:color="auto" w:fill="auto"/>
            <w:noWrap/>
            <w:vAlign w:val="bottom"/>
            <w:hideMark/>
          </w:tcPr>
          <w:p w14:paraId="5595020B" w14:textId="30ADBD51"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45%</w:t>
            </w:r>
          </w:p>
        </w:tc>
        <w:tc>
          <w:tcPr>
            <w:tcW w:w="2619" w:type="dxa"/>
            <w:tcBorders>
              <w:top w:val="nil"/>
              <w:left w:val="nil"/>
              <w:bottom w:val="nil"/>
              <w:right w:val="nil"/>
            </w:tcBorders>
            <w:shd w:val="clear" w:color="auto" w:fill="auto"/>
            <w:noWrap/>
            <w:vAlign w:val="bottom"/>
            <w:hideMark/>
          </w:tcPr>
          <w:p w14:paraId="47BE042F" w14:textId="4871AAA1"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0%</w:t>
            </w:r>
          </w:p>
        </w:tc>
      </w:tr>
      <w:tr w:rsidR="0082685F" w:rsidRPr="000C18F3" w14:paraId="2C4C820D" w14:textId="77777777" w:rsidTr="00E6476E">
        <w:trPr>
          <w:trHeight w:val="255"/>
        </w:trPr>
        <w:tc>
          <w:tcPr>
            <w:tcW w:w="2448" w:type="dxa"/>
            <w:tcBorders>
              <w:top w:val="nil"/>
              <w:left w:val="nil"/>
              <w:bottom w:val="nil"/>
              <w:right w:val="nil"/>
            </w:tcBorders>
            <w:shd w:val="clear" w:color="auto" w:fill="auto"/>
            <w:noWrap/>
            <w:vAlign w:val="bottom"/>
            <w:hideMark/>
          </w:tcPr>
          <w:p w14:paraId="7D0B0A53"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B60</w:t>
            </w:r>
          </w:p>
        </w:tc>
        <w:tc>
          <w:tcPr>
            <w:tcW w:w="2047" w:type="dxa"/>
            <w:tcBorders>
              <w:top w:val="nil"/>
              <w:left w:val="nil"/>
              <w:bottom w:val="nil"/>
              <w:right w:val="nil"/>
            </w:tcBorders>
            <w:shd w:val="clear" w:color="auto" w:fill="auto"/>
            <w:noWrap/>
            <w:vAlign w:val="bottom"/>
            <w:hideMark/>
          </w:tcPr>
          <w:p w14:paraId="2B9811D5"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03F0DFA4"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B60</w:t>
            </w:r>
          </w:p>
        </w:tc>
        <w:tc>
          <w:tcPr>
            <w:tcW w:w="1370" w:type="dxa"/>
            <w:tcBorders>
              <w:top w:val="nil"/>
              <w:left w:val="nil"/>
              <w:bottom w:val="nil"/>
              <w:right w:val="nil"/>
            </w:tcBorders>
            <w:shd w:val="clear" w:color="auto" w:fill="auto"/>
            <w:noWrap/>
            <w:vAlign w:val="bottom"/>
            <w:hideMark/>
          </w:tcPr>
          <w:p w14:paraId="4AC04017" w14:textId="25B47285"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126</w:t>
            </w:r>
          </w:p>
        </w:tc>
        <w:tc>
          <w:tcPr>
            <w:tcW w:w="2619" w:type="dxa"/>
            <w:tcBorders>
              <w:top w:val="nil"/>
              <w:left w:val="nil"/>
              <w:bottom w:val="nil"/>
              <w:right w:val="nil"/>
            </w:tcBorders>
            <w:shd w:val="clear" w:color="auto" w:fill="auto"/>
            <w:noWrap/>
            <w:vAlign w:val="bottom"/>
            <w:hideMark/>
          </w:tcPr>
          <w:p w14:paraId="4C677DF5" w14:textId="30C2E566"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58%</w:t>
            </w:r>
          </w:p>
        </w:tc>
        <w:tc>
          <w:tcPr>
            <w:tcW w:w="2619" w:type="dxa"/>
            <w:tcBorders>
              <w:top w:val="nil"/>
              <w:left w:val="nil"/>
              <w:bottom w:val="nil"/>
              <w:right w:val="nil"/>
            </w:tcBorders>
            <w:shd w:val="clear" w:color="auto" w:fill="auto"/>
            <w:noWrap/>
            <w:vAlign w:val="bottom"/>
            <w:hideMark/>
          </w:tcPr>
          <w:p w14:paraId="00ADF2E9" w14:textId="18F416B4"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6%</w:t>
            </w:r>
          </w:p>
        </w:tc>
      </w:tr>
      <w:tr w:rsidR="0082685F" w:rsidRPr="000C18F3" w14:paraId="4071E4C7" w14:textId="77777777" w:rsidTr="00E6476E">
        <w:trPr>
          <w:trHeight w:val="255"/>
        </w:trPr>
        <w:tc>
          <w:tcPr>
            <w:tcW w:w="2448" w:type="dxa"/>
            <w:tcBorders>
              <w:top w:val="nil"/>
              <w:left w:val="nil"/>
              <w:bottom w:val="nil"/>
              <w:right w:val="nil"/>
            </w:tcBorders>
            <w:shd w:val="clear" w:color="auto" w:fill="auto"/>
            <w:noWrap/>
            <w:vAlign w:val="bottom"/>
            <w:hideMark/>
          </w:tcPr>
          <w:p w14:paraId="152D8855"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2047" w:type="dxa"/>
            <w:tcBorders>
              <w:top w:val="nil"/>
              <w:left w:val="nil"/>
              <w:bottom w:val="nil"/>
              <w:right w:val="nil"/>
            </w:tcBorders>
            <w:shd w:val="clear" w:color="auto" w:fill="auto"/>
            <w:noWrap/>
            <w:vAlign w:val="bottom"/>
            <w:hideMark/>
          </w:tcPr>
          <w:p w14:paraId="0ED3D61C"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6FC9B09C"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1370" w:type="dxa"/>
            <w:tcBorders>
              <w:top w:val="nil"/>
              <w:left w:val="nil"/>
              <w:bottom w:val="nil"/>
              <w:right w:val="nil"/>
            </w:tcBorders>
            <w:shd w:val="clear" w:color="auto" w:fill="auto"/>
            <w:noWrap/>
            <w:vAlign w:val="bottom"/>
            <w:hideMark/>
          </w:tcPr>
          <w:p w14:paraId="2789329B" w14:textId="27C6D2A9" w:rsidR="0082685F" w:rsidRPr="000C18F3" w:rsidRDefault="0082685F" w:rsidP="0082685F">
            <w:pPr>
              <w:tabs>
                <w:tab w:val="decimal" w:pos="675"/>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151</w:t>
            </w:r>
          </w:p>
        </w:tc>
        <w:tc>
          <w:tcPr>
            <w:tcW w:w="2619" w:type="dxa"/>
            <w:tcBorders>
              <w:top w:val="nil"/>
              <w:left w:val="nil"/>
              <w:bottom w:val="nil"/>
              <w:right w:val="nil"/>
            </w:tcBorders>
            <w:shd w:val="clear" w:color="auto" w:fill="auto"/>
            <w:noWrap/>
            <w:vAlign w:val="bottom"/>
            <w:hideMark/>
          </w:tcPr>
          <w:p w14:paraId="5567275E" w14:textId="50B67949"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50%</w:t>
            </w:r>
          </w:p>
        </w:tc>
        <w:tc>
          <w:tcPr>
            <w:tcW w:w="2619" w:type="dxa"/>
            <w:tcBorders>
              <w:top w:val="nil"/>
              <w:left w:val="nil"/>
              <w:bottom w:val="nil"/>
              <w:right w:val="nil"/>
            </w:tcBorders>
            <w:shd w:val="clear" w:color="auto" w:fill="auto"/>
            <w:noWrap/>
            <w:vAlign w:val="bottom"/>
            <w:hideMark/>
          </w:tcPr>
          <w:p w14:paraId="4582A7F3" w14:textId="14DCF779"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17%</w:t>
            </w:r>
          </w:p>
        </w:tc>
      </w:tr>
      <w:tr w:rsidR="00E6476E" w:rsidRPr="000C18F3" w14:paraId="2CDEFCEA" w14:textId="77777777" w:rsidTr="00E6476E">
        <w:trPr>
          <w:trHeight w:val="255"/>
        </w:trPr>
        <w:tc>
          <w:tcPr>
            <w:tcW w:w="2448" w:type="dxa"/>
            <w:tcBorders>
              <w:top w:val="nil"/>
              <w:left w:val="nil"/>
              <w:bottom w:val="single" w:sz="4" w:space="0" w:color="auto"/>
              <w:right w:val="nil"/>
            </w:tcBorders>
            <w:shd w:val="clear" w:color="auto" w:fill="auto"/>
            <w:noWrap/>
            <w:vAlign w:val="bottom"/>
          </w:tcPr>
          <w:p w14:paraId="65326E6F"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2047" w:type="dxa"/>
            <w:tcBorders>
              <w:top w:val="nil"/>
              <w:left w:val="nil"/>
              <w:bottom w:val="single" w:sz="4" w:space="0" w:color="auto"/>
              <w:right w:val="nil"/>
            </w:tcBorders>
            <w:shd w:val="clear" w:color="auto" w:fill="auto"/>
            <w:noWrap/>
            <w:vAlign w:val="bottom"/>
          </w:tcPr>
          <w:p w14:paraId="5AC38FD5"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2448" w:type="dxa"/>
            <w:tcBorders>
              <w:top w:val="nil"/>
              <w:left w:val="nil"/>
              <w:bottom w:val="single" w:sz="4" w:space="0" w:color="auto"/>
              <w:right w:val="nil"/>
            </w:tcBorders>
            <w:shd w:val="clear" w:color="auto" w:fill="auto"/>
            <w:noWrap/>
            <w:vAlign w:val="bottom"/>
          </w:tcPr>
          <w:p w14:paraId="1B71D3B8"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1370" w:type="dxa"/>
            <w:tcBorders>
              <w:top w:val="nil"/>
              <w:left w:val="nil"/>
              <w:bottom w:val="single" w:sz="4" w:space="0" w:color="auto"/>
              <w:right w:val="nil"/>
            </w:tcBorders>
            <w:shd w:val="clear" w:color="auto" w:fill="auto"/>
            <w:noWrap/>
            <w:vAlign w:val="bottom"/>
          </w:tcPr>
          <w:p w14:paraId="78D3FE8D" w14:textId="77777777" w:rsidR="00E6476E" w:rsidRPr="000C18F3" w:rsidRDefault="00E6476E" w:rsidP="0082685F">
            <w:pPr>
              <w:tabs>
                <w:tab w:val="decimal" w:pos="675"/>
              </w:tabs>
              <w:spacing w:after="0" w:line="240" w:lineRule="auto"/>
              <w:rPr>
                <w:rFonts w:ascii="Times New Roman" w:hAnsi="Times New Roman" w:cs="Times New Roman"/>
                <w:color w:val="000000"/>
                <w:sz w:val="20"/>
                <w:szCs w:val="20"/>
              </w:rPr>
            </w:pPr>
          </w:p>
        </w:tc>
        <w:tc>
          <w:tcPr>
            <w:tcW w:w="2619" w:type="dxa"/>
            <w:tcBorders>
              <w:top w:val="nil"/>
              <w:left w:val="nil"/>
              <w:bottom w:val="single" w:sz="4" w:space="0" w:color="auto"/>
              <w:right w:val="nil"/>
            </w:tcBorders>
            <w:shd w:val="clear" w:color="auto" w:fill="auto"/>
            <w:noWrap/>
            <w:vAlign w:val="bottom"/>
          </w:tcPr>
          <w:p w14:paraId="77D956B6" w14:textId="77777777" w:rsidR="00E6476E" w:rsidRPr="000C18F3" w:rsidRDefault="00E6476E" w:rsidP="0082685F">
            <w:pPr>
              <w:spacing w:after="0" w:line="240" w:lineRule="auto"/>
              <w:jc w:val="center"/>
              <w:rPr>
                <w:rFonts w:ascii="Times New Roman" w:hAnsi="Times New Roman" w:cs="Times New Roman"/>
                <w:color w:val="000000"/>
                <w:sz w:val="20"/>
                <w:szCs w:val="20"/>
              </w:rPr>
            </w:pPr>
          </w:p>
        </w:tc>
        <w:tc>
          <w:tcPr>
            <w:tcW w:w="2619" w:type="dxa"/>
            <w:tcBorders>
              <w:top w:val="nil"/>
              <w:left w:val="nil"/>
              <w:bottom w:val="single" w:sz="4" w:space="0" w:color="auto"/>
              <w:right w:val="nil"/>
            </w:tcBorders>
            <w:shd w:val="clear" w:color="auto" w:fill="auto"/>
            <w:noWrap/>
            <w:vAlign w:val="bottom"/>
          </w:tcPr>
          <w:p w14:paraId="67E08F1B" w14:textId="77777777" w:rsidR="00E6476E" w:rsidRPr="000C18F3" w:rsidRDefault="00E6476E" w:rsidP="0082685F">
            <w:pPr>
              <w:spacing w:after="0" w:line="240" w:lineRule="auto"/>
              <w:jc w:val="center"/>
              <w:rPr>
                <w:rFonts w:ascii="Times New Roman" w:hAnsi="Times New Roman" w:cs="Times New Roman"/>
                <w:color w:val="000000"/>
                <w:sz w:val="20"/>
                <w:szCs w:val="20"/>
              </w:rPr>
            </w:pPr>
          </w:p>
        </w:tc>
      </w:tr>
    </w:tbl>
    <w:p w14:paraId="58F4495B" w14:textId="77777777" w:rsidR="00282C3C" w:rsidRDefault="00282C3C" w:rsidP="00347697">
      <w:pPr>
        <w:spacing w:after="0" w:line="240" w:lineRule="auto"/>
        <w:rPr>
          <w:rFonts w:ascii="Times New Roman" w:hAnsi="Times New Roman" w:cs="Times New Roman"/>
          <w:sz w:val="24"/>
          <w:szCs w:val="24"/>
        </w:rPr>
      </w:pPr>
    </w:p>
    <w:p w14:paraId="4F08AEF6" w14:textId="77777777" w:rsidR="000D3729" w:rsidRDefault="000D3729">
      <w:pPr>
        <w:rPr>
          <w:rFonts w:ascii="Times New Roman" w:hAnsi="Times New Roman" w:cs="Times New Roman"/>
          <w:sz w:val="24"/>
          <w:szCs w:val="24"/>
        </w:rPr>
      </w:pPr>
      <w:r>
        <w:rPr>
          <w:rFonts w:ascii="Times New Roman" w:hAnsi="Times New Roman" w:cs="Times New Roman"/>
          <w:sz w:val="24"/>
          <w:szCs w:val="24"/>
        </w:rPr>
        <w:br w:type="page"/>
      </w:r>
    </w:p>
    <w:p w14:paraId="0D62E92D" w14:textId="6B7856B6" w:rsidR="00017DA1" w:rsidRDefault="00017DA1" w:rsidP="003476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A0620">
        <w:rPr>
          <w:rFonts w:ascii="Times New Roman" w:hAnsi="Times New Roman" w:cs="Times New Roman"/>
          <w:sz w:val="24"/>
          <w:szCs w:val="24"/>
        </w:rPr>
        <w:t>6</w:t>
      </w:r>
      <w:r>
        <w:rPr>
          <w:rFonts w:ascii="Times New Roman" w:hAnsi="Times New Roman" w:cs="Times New Roman"/>
          <w:sz w:val="24"/>
          <w:szCs w:val="24"/>
        </w:rPr>
        <w:t>:  Average number of terms to achieve transfer-level quantitative competency among students who did so, by math pathway (transfer-seeking students only)</w:t>
      </w:r>
    </w:p>
    <w:p w14:paraId="26980990" w14:textId="77777777" w:rsidR="00017DA1" w:rsidRDefault="00017DA1" w:rsidP="00347697">
      <w:pPr>
        <w:spacing w:after="0" w:line="240" w:lineRule="auto"/>
        <w:rPr>
          <w:rFonts w:ascii="Times New Roman" w:hAnsi="Times New Roman" w:cs="Times New Roman"/>
          <w:sz w:val="24"/>
          <w:szCs w:val="24"/>
        </w:rPr>
      </w:pPr>
    </w:p>
    <w:tbl>
      <w:tblPr>
        <w:tblW w:w="12960" w:type="dxa"/>
        <w:tblLayout w:type="fixed"/>
        <w:tblCellMar>
          <w:left w:w="115" w:type="dxa"/>
          <w:right w:w="115" w:type="dxa"/>
        </w:tblCellMar>
        <w:tblLook w:val="04A0" w:firstRow="1" w:lastRow="0" w:firstColumn="1" w:lastColumn="0" w:noHBand="0" w:noVBand="1"/>
      </w:tblPr>
      <w:tblGrid>
        <w:gridCol w:w="2286"/>
        <w:gridCol w:w="1865"/>
        <w:gridCol w:w="2286"/>
        <w:gridCol w:w="1109"/>
        <w:gridCol w:w="2707"/>
        <w:gridCol w:w="2707"/>
      </w:tblGrid>
      <w:tr w:rsidR="003843B0" w:rsidRPr="000C18F3" w14:paraId="1B6DAA0F" w14:textId="77777777" w:rsidTr="00C71C3C">
        <w:trPr>
          <w:trHeight w:val="255"/>
        </w:trPr>
        <w:tc>
          <w:tcPr>
            <w:tcW w:w="2448" w:type="dxa"/>
            <w:tcBorders>
              <w:top w:val="single" w:sz="4" w:space="0" w:color="auto"/>
              <w:left w:val="nil"/>
              <w:right w:val="nil"/>
            </w:tcBorders>
            <w:shd w:val="clear" w:color="auto" w:fill="auto"/>
            <w:noWrap/>
            <w:vAlign w:val="bottom"/>
          </w:tcPr>
          <w:p w14:paraId="08DDF718" w14:textId="77777777" w:rsidR="003843B0" w:rsidRPr="000C18F3" w:rsidRDefault="003843B0" w:rsidP="003843B0">
            <w:pPr>
              <w:spacing w:after="0" w:line="240" w:lineRule="auto"/>
              <w:jc w:val="center"/>
              <w:rPr>
                <w:rFonts w:ascii="Times New Roman" w:eastAsia="Times New Roman" w:hAnsi="Times New Roman" w:cs="Times New Roman"/>
                <w:color w:val="000000"/>
                <w:sz w:val="20"/>
                <w:szCs w:val="20"/>
              </w:rPr>
            </w:pPr>
          </w:p>
        </w:tc>
        <w:tc>
          <w:tcPr>
            <w:tcW w:w="1993" w:type="dxa"/>
            <w:tcBorders>
              <w:top w:val="single" w:sz="4" w:space="0" w:color="auto"/>
              <w:left w:val="nil"/>
              <w:right w:val="nil"/>
            </w:tcBorders>
            <w:shd w:val="clear" w:color="auto" w:fill="auto"/>
            <w:noWrap/>
            <w:vAlign w:val="bottom"/>
          </w:tcPr>
          <w:p w14:paraId="465D1834" w14:textId="77777777" w:rsidR="003843B0" w:rsidRPr="000C18F3" w:rsidRDefault="003843B0" w:rsidP="003843B0">
            <w:pPr>
              <w:spacing w:after="0" w:line="240" w:lineRule="auto"/>
              <w:jc w:val="center"/>
              <w:rPr>
                <w:rFonts w:ascii="Times New Roman" w:eastAsia="Times New Roman" w:hAnsi="Times New Roman" w:cs="Times New Roman"/>
                <w:color w:val="000000"/>
                <w:sz w:val="20"/>
                <w:szCs w:val="20"/>
              </w:rPr>
            </w:pPr>
          </w:p>
        </w:tc>
        <w:tc>
          <w:tcPr>
            <w:tcW w:w="2448" w:type="dxa"/>
            <w:tcBorders>
              <w:top w:val="single" w:sz="4" w:space="0" w:color="auto"/>
              <w:left w:val="nil"/>
              <w:right w:val="nil"/>
            </w:tcBorders>
            <w:shd w:val="clear" w:color="auto" w:fill="auto"/>
            <w:noWrap/>
            <w:vAlign w:val="bottom"/>
          </w:tcPr>
          <w:p w14:paraId="7C765D7A" w14:textId="77777777" w:rsidR="003843B0" w:rsidRPr="000C18F3" w:rsidRDefault="003843B0" w:rsidP="003843B0">
            <w:pPr>
              <w:spacing w:after="0" w:line="240" w:lineRule="auto"/>
              <w:jc w:val="center"/>
              <w:rPr>
                <w:rFonts w:ascii="Times New Roman" w:eastAsia="Times New Roman" w:hAnsi="Times New Roman" w:cs="Times New Roman"/>
                <w:color w:val="000000"/>
                <w:sz w:val="20"/>
                <w:szCs w:val="20"/>
              </w:rPr>
            </w:pPr>
          </w:p>
        </w:tc>
        <w:tc>
          <w:tcPr>
            <w:tcW w:w="1177" w:type="dxa"/>
            <w:tcBorders>
              <w:top w:val="single" w:sz="4" w:space="0" w:color="auto"/>
              <w:left w:val="nil"/>
              <w:right w:val="nil"/>
            </w:tcBorders>
            <w:shd w:val="clear" w:color="auto" w:fill="auto"/>
            <w:noWrap/>
            <w:vAlign w:val="bottom"/>
          </w:tcPr>
          <w:p w14:paraId="63ED024F" w14:textId="77777777" w:rsidR="003843B0" w:rsidRPr="000C18F3" w:rsidRDefault="003843B0" w:rsidP="003843B0">
            <w:pPr>
              <w:spacing w:after="0" w:line="240" w:lineRule="auto"/>
              <w:jc w:val="center"/>
              <w:rPr>
                <w:rFonts w:ascii="Times New Roman" w:eastAsia="Times New Roman" w:hAnsi="Times New Roman" w:cs="Times New Roman"/>
                <w:i/>
                <w:color w:val="000000"/>
                <w:sz w:val="20"/>
                <w:szCs w:val="20"/>
              </w:rPr>
            </w:pPr>
          </w:p>
        </w:tc>
        <w:tc>
          <w:tcPr>
            <w:tcW w:w="5804" w:type="dxa"/>
            <w:gridSpan w:val="2"/>
            <w:tcBorders>
              <w:top w:val="single" w:sz="4" w:space="0" w:color="auto"/>
              <w:left w:val="nil"/>
              <w:bottom w:val="single" w:sz="4" w:space="0" w:color="auto"/>
              <w:right w:val="nil"/>
            </w:tcBorders>
            <w:shd w:val="clear" w:color="auto" w:fill="auto"/>
            <w:noWrap/>
            <w:vAlign w:val="bottom"/>
          </w:tcPr>
          <w:p w14:paraId="6DBAFFB4" w14:textId="77777777" w:rsidR="003843B0" w:rsidRPr="000C18F3" w:rsidRDefault="003843B0" w:rsidP="003843B0">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average number of terms to first successfully completed</w:t>
            </w:r>
          </w:p>
          <w:p w14:paraId="100B4549" w14:textId="39F08823" w:rsidR="003843B0" w:rsidRPr="000C18F3" w:rsidRDefault="003843B0" w:rsidP="003843B0">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transfer-level quantitative course</w:t>
            </w:r>
          </w:p>
        </w:tc>
      </w:tr>
      <w:tr w:rsidR="003843B0" w:rsidRPr="000C18F3" w14:paraId="03153F11" w14:textId="77777777" w:rsidTr="00C71C3C">
        <w:trPr>
          <w:trHeight w:val="255"/>
        </w:trPr>
        <w:tc>
          <w:tcPr>
            <w:tcW w:w="2448" w:type="dxa"/>
            <w:tcBorders>
              <w:left w:val="nil"/>
              <w:bottom w:val="single" w:sz="4" w:space="0" w:color="auto"/>
              <w:right w:val="nil"/>
            </w:tcBorders>
            <w:shd w:val="clear" w:color="auto" w:fill="auto"/>
            <w:noWrap/>
            <w:vAlign w:val="bottom"/>
            <w:hideMark/>
          </w:tcPr>
          <w:p w14:paraId="551026AA" w14:textId="77777777" w:rsidR="003843B0" w:rsidRPr="000C18F3" w:rsidRDefault="003843B0" w:rsidP="003843B0">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First Math</w:t>
            </w:r>
          </w:p>
        </w:tc>
        <w:tc>
          <w:tcPr>
            <w:tcW w:w="1993" w:type="dxa"/>
            <w:tcBorders>
              <w:left w:val="nil"/>
              <w:bottom w:val="single" w:sz="4" w:space="0" w:color="auto"/>
              <w:right w:val="nil"/>
            </w:tcBorders>
            <w:shd w:val="clear" w:color="auto" w:fill="auto"/>
            <w:noWrap/>
            <w:vAlign w:val="bottom"/>
            <w:hideMark/>
          </w:tcPr>
          <w:p w14:paraId="2F2A4F43" w14:textId="77777777" w:rsidR="003843B0" w:rsidRPr="000C18F3" w:rsidRDefault="003843B0" w:rsidP="003843B0">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 xml:space="preserve">Outcome in </w:t>
            </w:r>
          </w:p>
          <w:p w14:paraId="67A83C7E" w14:textId="052F85F3" w:rsidR="003843B0" w:rsidRPr="000C18F3" w:rsidRDefault="003843B0" w:rsidP="003843B0">
            <w:pPr>
              <w:spacing w:after="0" w:line="240" w:lineRule="auto"/>
              <w:jc w:val="center"/>
              <w:rPr>
                <w:rFonts w:ascii="Times New Roman" w:eastAsia="Times New Roman" w:hAnsi="Times New Roman" w:cs="Times New Roman"/>
                <w:sz w:val="20"/>
                <w:szCs w:val="20"/>
              </w:rPr>
            </w:pPr>
            <w:r w:rsidRPr="000C18F3">
              <w:rPr>
                <w:rFonts w:ascii="Times New Roman" w:eastAsia="Times New Roman" w:hAnsi="Times New Roman" w:cs="Times New Roman"/>
                <w:color w:val="000000"/>
                <w:sz w:val="20"/>
                <w:szCs w:val="20"/>
              </w:rPr>
              <w:t>First Math</w:t>
            </w:r>
          </w:p>
        </w:tc>
        <w:tc>
          <w:tcPr>
            <w:tcW w:w="2448" w:type="dxa"/>
            <w:tcBorders>
              <w:left w:val="nil"/>
              <w:bottom w:val="single" w:sz="4" w:space="0" w:color="auto"/>
              <w:right w:val="nil"/>
            </w:tcBorders>
            <w:shd w:val="clear" w:color="auto" w:fill="auto"/>
            <w:noWrap/>
            <w:vAlign w:val="bottom"/>
            <w:hideMark/>
          </w:tcPr>
          <w:p w14:paraId="3C25ADD4" w14:textId="77777777" w:rsidR="003843B0" w:rsidRPr="000C18F3" w:rsidRDefault="003843B0" w:rsidP="003843B0">
            <w:pPr>
              <w:spacing w:after="0" w:line="240" w:lineRule="auto"/>
              <w:jc w:val="center"/>
              <w:rPr>
                <w:rFonts w:ascii="Times New Roman" w:eastAsia="Times New Roman" w:hAnsi="Times New Roman" w:cs="Times New Roman"/>
                <w:sz w:val="20"/>
                <w:szCs w:val="20"/>
              </w:rPr>
            </w:pPr>
            <w:r w:rsidRPr="000C18F3">
              <w:rPr>
                <w:rFonts w:ascii="Times New Roman" w:eastAsia="Times New Roman" w:hAnsi="Times New Roman" w:cs="Times New Roman"/>
                <w:color w:val="000000"/>
                <w:sz w:val="20"/>
                <w:szCs w:val="20"/>
              </w:rPr>
              <w:t>Second Math</w:t>
            </w:r>
          </w:p>
        </w:tc>
        <w:tc>
          <w:tcPr>
            <w:tcW w:w="1177" w:type="dxa"/>
            <w:tcBorders>
              <w:left w:val="nil"/>
              <w:bottom w:val="single" w:sz="4" w:space="0" w:color="auto"/>
              <w:right w:val="nil"/>
            </w:tcBorders>
            <w:shd w:val="clear" w:color="auto" w:fill="auto"/>
            <w:noWrap/>
            <w:vAlign w:val="bottom"/>
            <w:hideMark/>
          </w:tcPr>
          <w:p w14:paraId="0C8A61C1" w14:textId="77777777" w:rsidR="003843B0" w:rsidRPr="000C18F3" w:rsidRDefault="003843B0" w:rsidP="003843B0">
            <w:pPr>
              <w:spacing w:after="0" w:line="240" w:lineRule="auto"/>
              <w:jc w:val="center"/>
              <w:rPr>
                <w:rFonts w:ascii="Times New Roman" w:eastAsia="Times New Roman" w:hAnsi="Times New Roman" w:cs="Times New Roman"/>
                <w:sz w:val="20"/>
                <w:szCs w:val="20"/>
              </w:rPr>
            </w:pPr>
            <w:r w:rsidRPr="000C18F3">
              <w:rPr>
                <w:rFonts w:ascii="Times New Roman" w:eastAsia="Times New Roman" w:hAnsi="Times New Roman" w:cs="Times New Roman"/>
                <w:i/>
                <w:color w:val="000000"/>
                <w:sz w:val="20"/>
                <w:szCs w:val="20"/>
              </w:rPr>
              <w:t>N</w:t>
            </w:r>
          </w:p>
        </w:tc>
        <w:tc>
          <w:tcPr>
            <w:tcW w:w="2902" w:type="dxa"/>
            <w:tcBorders>
              <w:top w:val="single" w:sz="4" w:space="0" w:color="auto"/>
              <w:left w:val="nil"/>
              <w:bottom w:val="single" w:sz="4" w:space="0" w:color="auto"/>
              <w:right w:val="nil"/>
            </w:tcBorders>
            <w:shd w:val="clear" w:color="auto" w:fill="auto"/>
            <w:noWrap/>
            <w:vAlign w:val="bottom"/>
            <w:hideMark/>
          </w:tcPr>
          <w:p w14:paraId="33D4E462" w14:textId="7138BDEC" w:rsidR="003843B0" w:rsidRPr="000C18F3" w:rsidRDefault="003843B0" w:rsidP="003843B0">
            <w:pPr>
              <w:spacing w:after="0" w:line="240" w:lineRule="auto"/>
              <w:jc w:val="center"/>
              <w:rPr>
                <w:rFonts w:ascii="Times New Roman" w:eastAsia="Times New Roman" w:hAnsi="Times New Roman" w:cs="Times New Roman"/>
                <w:sz w:val="20"/>
                <w:szCs w:val="20"/>
              </w:rPr>
            </w:pPr>
            <w:r w:rsidRPr="000C18F3">
              <w:rPr>
                <w:rFonts w:ascii="Times New Roman" w:eastAsia="Times New Roman" w:hAnsi="Times New Roman" w:cs="Times New Roman"/>
                <w:color w:val="000000"/>
                <w:sz w:val="20"/>
                <w:szCs w:val="20"/>
              </w:rPr>
              <w:t>from college entry</w:t>
            </w:r>
          </w:p>
        </w:tc>
        <w:tc>
          <w:tcPr>
            <w:tcW w:w="2902" w:type="dxa"/>
            <w:tcBorders>
              <w:top w:val="single" w:sz="4" w:space="0" w:color="auto"/>
              <w:left w:val="nil"/>
              <w:bottom w:val="single" w:sz="4" w:space="0" w:color="auto"/>
              <w:right w:val="nil"/>
            </w:tcBorders>
            <w:shd w:val="clear" w:color="auto" w:fill="auto"/>
            <w:noWrap/>
            <w:vAlign w:val="bottom"/>
            <w:hideMark/>
          </w:tcPr>
          <w:p w14:paraId="094A5115" w14:textId="71E5E220" w:rsidR="003843B0" w:rsidRPr="000C18F3" w:rsidRDefault="003843B0" w:rsidP="003843B0">
            <w:pPr>
              <w:spacing w:after="0" w:line="240" w:lineRule="auto"/>
              <w:jc w:val="center"/>
              <w:rPr>
                <w:rFonts w:ascii="Times New Roman" w:eastAsia="Times New Roman" w:hAnsi="Times New Roman" w:cs="Times New Roman"/>
                <w:sz w:val="20"/>
                <w:szCs w:val="20"/>
              </w:rPr>
            </w:pPr>
            <w:r w:rsidRPr="000C18F3">
              <w:rPr>
                <w:rFonts w:ascii="Times New Roman" w:eastAsia="Times New Roman" w:hAnsi="Times New Roman" w:cs="Times New Roman"/>
                <w:color w:val="000000"/>
                <w:sz w:val="20"/>
                <w:szCs w:val="20"/>
              </w:rPr>
              <w:t>from first attempted math course</w:t>
            </w:r>
          </w:p>
        </w:tc>
      </w:tr>
      <w:tr w:rsidR="00E6476E" w:rsidRPr="000C18F3" w14:paraId="0E42077E" w14:textId="77777777" w:rsidTr="00E6476E">
        <w:trPr>
          <w:trHeight w:val="255"/>
        </w:trPr>
        <w:tc>
          <w:tcPr>
            <w:tcW w:w="2448" w:type="dxa"/>
            <w:tcBorders>
              <w:top w:val="single" w:sz="4" w:space="0" w:color="auto"/>
              <w:left w:val="nil"/>
              <w:right w:val="nil"/>
            </w:tcBorders>
            <w:shd w:val="clear" w:color="auto" w:fill="auto"/>
            <w:noWrap/>
            <w:vAlign w:val="bottom"/>
          </w:tcPr>
          <w:p w14:paraId="06731C92"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1993" w:type="dxa"/>
            <w:tcBorders>
              <w:top w:val="single" w:sz="4" w:space="0" w:color="auto"/>
              <w:left w:val="nil"/>
              <w:right w:val="nil"/>
            </w:tcBorders>
            <w:shd w:val="clear" w:color="auto" w:fill="auto"/>
            <w:noWrap/>
            <w:vAlign w:val="bottom"/>
          </w:tcPr>
          <w:p w14:paraId="091BCD1B"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2448" w:type="dxa"/>
            <w:tcBorders>
              <w:top w:val="single" w:sz="4" w:space="0" w:color="auto"/>
              <w:left w:val="nil"/>
              <w:right w:val="nil"/>
            </w:tcBorders>
            <w:shd w:val="clear" w:color="auto" w:fill="auto"/>
            <w:noWrap/>
            <w:vAlign w:val="bottom"/>
          </w:tcPr>
          <w:p w14:paraId="0A9843E7"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1177" w:type="dxa"/>
            <w:tcBorders>
              <w:top w:val="single" w:sz="4" w:space="0" w:color="auto"/>
              <w:left w:val="nil"/>
              <w:right w:val="nil"/>
            </w:tcBorders>
            <w:shd w:val="clear" w:color="auto" w:fill="auto"/>
            <w:noWrap/>
            <w:vAlign w:val="bottom"/>
          </w:tcPr>
          <w:p w14:paraId="0E71A626" w14:textId="77777777" w:rsidR="00E6476E" w:rsidRPr="000C18F3" w:rsidRDefault="00E6476E" w:rsidP="0082685F">
            <w:pPr>
              <w:tabs>
                <w:tab w:val="decimal" w:pos="693"/>
              </w:tabs>
              <w:spacing w:after="0" w:line="240" w:lineRule="auto"/>
              <w:rPr>
                <w:rFonts w:ascii="Times New Roman" w:hAnsi="Times New Roman" w:cs="Times New Roman"/>
                <w:color w:val="000000"/>
                <w:sz w:val="20"/>
                <w:szCs w:val="20"/>
              </w:rPr>
            </w:pPr>
          </w:p>
        </w:tc>
        <w:tc>
          <w:tcPr>
            <w:tcW w:w="2902" w:type="dxa"/>
            <w:tcBorders>
              <w:top w:val="single" w:sz="4" w:space="0" w:color="auto"/>
              <w:left w:val="nil"/>
              <w:right w:val="nil"/>
            </w:tcBorders>
            <w:shd w:val="clear" w:color="auto" w:fill="auto"/>
            <w:noWrap/>
            <w:vAlign w:val="bottom"/>
          </w:tcPr>
          <w:p w14:paraId="38FFC03E" w14:textId="77777777" w:rsidR="00E6476E" w:rsidRPr="000C18F3" w:rsidRDefault="00E6476E" w:rsidP="0082685F">
            <w:pPr>
              <w:spacing w:after="0" w:line="240" w:lineRule="auto"/>
              <w:jc w:val="center"/>
              <w:rPr>
                <w:rFonts w:ascii="Times New Roman" w:hAnsi="Times New Roman" w:cs="Times New Roman"/>
                <w:color w:val="000000"/>
                <w:sz w:val="20"/>
                <w:szCs w:val="20"/>
              </w:rPr>
            </w:pPr>
          </w:p>
        </w:tc>
        <w:tc>
          <w:tcPr>
            <w:tcW w:w="2902" w:type="dxa"/>
            <w:tcBorders>
              <w:top w:val="single" w:sz="4" w:space="0" w:color="auto"/>
              <w:left w:val="nil"/>
              <w:right w:val="nil"/>
            </w:tcBorders>
            <w:shd w:val="clear" w:color="auto" w:fill="auto"/>
            <w:noWrap/>
            <w:vAlign w:val="bottom"/>
          </w:tcPr>
          <w:p w14:paraId="467EEC74" w14:textId="77777777" w:rsidR="00E6476E" w:rsidRPr="000C18F3" w:rsidRDefault="00E6476E" w:rsidP="0082685F">
            <w:pPr>
              <w:spacing w:after="0" w:line="240" w:lineRule="auto"/>
              <w:jc w:val="center"/>
              <w:rPr>
                <w:rFonts w:ascii="Times New Roman" w:hAnsi="Times New Roman" w:cs="Times New Roman"/>
                <w:color w:val="000000"/>
                <w:sz w:val="20"/>
                <w:szCs w:val="20"/>
              </w:rPr>
            </w:pPr>
          </w:p>
        </w:tc>
      </w:tr>
      <w:tr w:rsidR="0082685F" w:rsidRPr="000C18F3" w14:paraId="6EF20A21" w14:textId="77777777" w:rsidTr="00E6476E">
        <w:trPr>
          <w:trHeight w:val="255"/>
        </w:trPr>
        <w:tc>
          <w:tcPr>
            <w:tcW w:w="2448" w:type="dxa"/>
            <w:tcBorders>
              <w:left w:val="nil"/>
              <w:bottom w:val="nil"/>
              <w:right w:val="nil"/>
            </w:tcBorders>
            <w:shd w:val="clear" w:color="auto" w:fill="auto"/>
            <w:noWrap/>
            <w:vAlign w:val="bottom"/>
            <w:hideMark/>
          </w:tcPr>
          <w:p w14:paraId="612117A3" w14:textId="3B9C8141"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ACDV B72</w:t>
            </w:r>
          </w:p>
        </w:tc>
        <w:tc>
          <w:tcPr>
            <w:tcW w:w="1993" w:type="dxa"/>
            <w:tcBorders>
              <w:left w:val="nil"/>
              <w:bottom w:val="nil"/>
              <w:right w:val="nil"/>
            </w:tcBorders>
            <w:shd w:val="clear" w:color="auto" w:fill="auto"/>
            <w:noWrap/>
            <w:vAlign w:val="bottom"/>
            <w:hideMark/>
          </w:tcPr>
          <w:p w14:paraId="4D94A55A"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left w:val="nil"/>
              <w:bottom w:val="nil"/>
              <w:right w:val="nil"/>
            </w:tcBorders>
            <w:shd w:val="clear" w:color="auto" w:fill="auto"/>
            <w:noWrap/>
            <w:vAlign w:val="bottom"/>
            <w:hideMark/>
          </w:tcPr>
          <w:p w14:paraId="5A985612"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B60</w:t>
            </w:r>
          </w:p>
        </w:tc>
        <w:tc>
          <w:tcPr>
            <w:tcW w:w="1177" w:type="dxa"/>
            <w:tcBorders>
              <w:left w:val="nil"/>
              <w:bottom w:val="nil"/>
              <w:right w:val="nil"/>
            </w:tcBorders>
            <w:shd w:val="clear" w:color="auto" w:fill="auto"/>
            <w:noWrap/>
            <w:vAlign w:val="bottom"/>
            <w:hideMark/>
          </w:tcPr>
          <w:p w14:paraId="212ACB5B" w14:textId="216D1A1C" w:rsidR="0082685F" w:rsidRPr="000C18F3" w:rsidRDefault="0082685F" w:rsidP="0082685F">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15</w:t>
            </w:r>
          </w:p>
        </w:tc>
        <w:tc>
          <w:tcPr>
            <w:tcW w:w="2902" w:type="dxa"/>
            <w:tcBorders>
              <w:left w:val="nil"/>
              <w:bottom w:val="nil"/>
              <w:right w:val="nil"/>
            </w:tcBorders>
            <w:shd w:val="clear" w:color="auto" w:fill="auto"/>
            <w:noWrap/>
            <w:vAlign w:val="bottom"/>
            <w:hideMark/>
          </w:tcPr>
          <w:p w14:paraId="01C81B3C" w14:textId="27DF566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5.5</w:t>
            </w:r>
          </w:p>
        </w:tc>
        <w:tc>
          <w:tcPr>
            <w:tcW w:w="2902" w:type="dxa"/>
            <w:tcBorders>
              <w:left w:val="nil"/>
              <w:bottom w:val="nil"/>
              <w:right w:val="nil"/>
            </w:tcBorders>
            <w:shd w:val="clear" w:color="auto" w:fill="auto"/>
            <w:noWrap/>
            <w:vAlign w:val="bottom"/>
            <w:hideMark/>
          </w:tcPr>
          <w:p w14:paraId="74C9709C" w14:textId="0011D76A"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5.1</w:t>
            </w:r>
          </w:p>
        </w:tc>
      </w:tr>
      <w:tr w:rsidR="0082685F" w:rsidRPr="000C18F3" w14:paraId="4562387B" w14:textId="77777777" w:rsidTr="00C71C3C">
        <w:trPr>
          <w:trHeight w:val="255"/>
        </w:trPr>
        <w:tc>
          <w:tcPr>
            <w:tcW w:w="2448" w:type="dxa"/>
            <w:tcBorders>
              <w:top w:val="nil"/>
              <w:left w:val="nil"/>
              <w:bottom w:val="nil"/>
              <w:right w:val="nil"/>
            </w:tcBorders>
            <w:shd w:val="clear" w:color="auto" w:fill="auto"/>
            <w:noWrap/>
            <w:vAlign w:val="bottom"/>
            <w:hideMark/>
          </w:tcPr>
          <w:p w14:paraId="5E9CB70A"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B60</w:t>
            </w:r>
          </w:p>
        </w:tc>
        <w:tc>
          <w:tcPr>
            <w:tcW w:w="1993" w:type="dxa"/>
            <w:tcBorders>
              <w:top w:val="nil"/>
              <w:left w:val="nil"/>
              <w:bottom w:val="nil"/>
              <w:right w:val="nil"/>
            </w:tcBorders>
            <w:shd w:val="clear" w:color="auto" w:fill="auto"/>
            <w:noWrap/>
            <w:vAlign w:val="bottom"/>
            <w:hideMark/>
          </w:tcPr>
          <w:p w14:paraId="3D26F032"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19D987C8"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1177" w:type="dxa"/>
            <w:tcBorders>
              <w:top w:val="nil"/>
              <w:left w:val="nil"/>
              <w:bottom w:val="nil"/>
              <w:right w:val="nil"/>
            </w:tcBorders>
            <w:shd w:val="clear" w:color="auto" w:fill="auto"/>
            <w:noWrap/>
            <w:vAlign w:val="bottom"/>
            <w:hideMark/>
          </w:tcPr>
          <w:p w14:paraId="493AC06C" w14:textId="54D44C34" w:rsidR="0082685F" w:rsidRPr="000C18F3" w:rsidRDefault="0082685F" w:rsidP="0082685F">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134</w:t>
            </w:r>
          </w:p>
        </w:tc>
        <w:tc>
          <w:tcPr>
            <w:tcW w:w="2902" w:type="dxa"/>
            <w:tcBorders>
              <w:top w:val="nil"/>
              <w:left w:val="nil"/>
              <w:bottom w:val="nil"/>
              <w:right w:val="nil"/>
            </w:tcBorders>
            <w:shd w:val="clear" w:color="auto" w:fill="auto"/>
            <w:noWrap/>
            <w:vAlign w:val="bottom"/>
            <w:hideMark/>
          </w:tcPr>
          <w:p w14:paraId="6DF4D4FC" w14:textId="0DA0CE0A"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5.0</w:t>
            </w:r>
          </w:p>
        </w:tc>
        <w:tc>
          <w:tcPr>
            <w:tcW w:w="2902" w:type="dxa"/>
            <w:tcBorders>
              <w:top w:val="nil"/>
              <w:left w:val="nil"/>
              <w:bottom w:val="nil"/>
              <w:right w:val="nil"/>
            </w:tcBorders>
            <w:shd w:val="clear" w:color="auto" w:fill="auto"/>
            <w:noWrap/>
            <w:vAlign w:val="bottom"/>
            <w:hideMark/>
          </w:tcPr>
          <w:p w14:paraId="649BBB02" w14:textId="285CC642"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4.2</w:t>
            </w:r>
          </w:p>
        </w:tc>
      </w:tr>
      <w:tr w:rsidR="0082685F" w:rsidRPr="000C18F3" w14:paraId="73AC7777" w14:textId="77777777" w:rsidTr="00C71C3C">
        <w:trPr>
          <w:trHeight w:val="255"/>
        </w:trPr>
        <w:tc>
          <w:tcPr>
            <w:tcW w:w="2448" w:type="dxa"/>
            <w:tcBorders>
              <w:top w:val="nil"/>
              <w:left w:val="nil"/>
              <w:bottom w:val="nil"/>
              <w:right w:val="nil"/>
            </w:tcBorders>
            <w:shd w:val="clear" w:color="auto" w:fill="auto"/>
            <w:noWrap/>
            <w:vAlign w:val="bottom"/>
            <w:hideMark/>
          </w:tcPr>
          <w:p w14:paraId="641DB114"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B65</w:t>
            </w:r>
          </w:p>
        </w:tc>
        <w:tc>
          <w:tcPr>
            <w:tcW w:w="1993" w:type="dxa"/>
            <w:tcBorders>
              <w:top w:val="nil"/>
              <w:left w:val="nil"/>
              <w:bottom w:val="nil"/>
              <w:right w:val="nil"/>
            </w:tcBorders>
            <w:shd w:val="clear" w:color="auto" w:fill="auto"/>
            <w:noWrap/>
            <w:vAlign w:val="bottom"/>
            <w:hideMark/>
          </w:tcPr>
          <w:p w14:paraId="621F49C5"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655DEDEB"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B22</w:t>
            </w:r>
          </w:p>
        </w:tc>
        <w:tc>
          <w:tcPr>
            <w:tcW w:w="1177" w:type="dxa"/>
            <w:tcBorders>
              <w:top w:val="nil"/>
              <w:left w:val="nil"/>
              <w:bottom w:val="nil"/>
              <w:right w:val="nil"/>
            </w:tcBorders>
            <w:shd w:val="clear" w:color="auto" w:fill="auto"/>
            <w:noWrap/>
            <w:vAlign w:val="bottom"/>
            <w:hideMark/>
          </w:tcPr>
          <w:p w14:paraId="5F7D4B07" w14:textId="3A9C4CF2" w:rsidR="0082685F" w:rsidRPr="000C18F3" w:rsidRDefault="0082685F" w:rsidP="0082685F">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10</w:t>
            </w:r>
          </w:p>
        </w:tc>
        <w:tc>
          <w:tcPr>
            <w:tcW w:w="2902" w:type="dxa"/>
            <w:tcBorders>
              <w:top w:val="nil"/>
              <w:left w:val="nil"/>
              <w:bottom w:val="nil"/>
              <w:right w:val="nil"/>
            </w:tcBorders>
            <w:shd w:val="clear" w:color="auto" w:fill="auto"/>
            <w:noWrap/>
            <w:vAlign w:val="bottom"/>
            <w:hideMark/>
          </w:tcPr>
          <w:p w14:paraId="64B432A4" w14:textId="60BBCE76"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3.5</w:t>
            </w:r>
          </w:p>
        </w:tc>
        <w:tc>
          <w:tcPr>
            <w:tcW w:w="2902" w:type="dxa"/>
            <w:tcBorders>
              <w:top w:val="nil"/>
              <w:left w:val="nil"/>
              <w:bottom w:val="nil"/>
              <w:right w:val="nil"/>
            </w:tcBorders>
            <w:shd w:val="clear" w:color="auto" w:fill="auto"/>
            <w:noWrap/>
            <w:vAlign w:val="bottom"/>
            <w:hideMark/>
          </w:tcPr>
          <w:p w14:paraId="7007BB61" w14:textId="49D798FA"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2.5</w:t>
            </w:r>
          </w:p>
        </w:tc>
      </w:tr>
      <w:tr w:rsidR="0082685F" w:rsidRPr="000C18F3" w14:paraId="57234909" w14:textId="77777777" w:rsidTr="00C71C3C">
        <w:trPr>
          <w:trHeight w:val="255"/>
        </w:trPr>
        <w:tc>
          <w:tcPr>
            <w:tcW w:w="2448" w:type="dxa"/>
            <w:tcBorders>
              <w:top w:val="nil"/>
              <w:left w:val="nil"/>
              <w:bottom w:val="nil"/>
              <w:right w:val="nil"/>
            </w:tcBorders>
            <w:shd w:val="clear" w:color="auto" w:fill="auto"/>
            <w:noWrap/>
            <w:vAlign w:val="bottom"/>
            <w:hideMark/>
          </w:tcPr>
          <w:p w14:paraId="3A6FFA8E"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B65</w:t>
            </w:r>
          </w:p>
        </w:tc>
        <w:tc>
          <w:tcPr>
            <w:tcW w:w="1993" w:type="dxa"/>
            <w:tcBorders>
              <w:top w:val="nil"/>
              <w:left w:val="nil"/>
              <w:bottom w:val="nil"/>
              <w:right w:val="nil"/>
            </w:tcBorders>
            <w:shd w:val="clear" w:color="auto" w:fill="auto"/>
            <w:noWrap/>
            <w:vAlign w:val="bottom"/>
            <w:hideMark/>
          </w:tcPr>
          <w:p w14:paraId="74EBE9D5"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19767ED3"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Psyc B5</w:t>
            </w:r>
          </w:p>
        </w:tc>
        <w:tc>
          <w:tcPr>
            <w:tcW w:w="1177" w:type="dxa"/>
            <w:tcBorders>
              <w:top w:val="nil"/>
              <w:left w:val="nil"/>
              <w:bottom w:val="nil"/>
              <w:right w:val="nil"/>
            </w:tcBorders>
            <w:shd w:val="clear" w:color="auto" w:fill="auto"/>
            <w:noWrap/>
            <w:vAlign w:val="bottom"/>
            <w:hideMark/>
          </w:tcPr>
          <w:p w14:paraId="71EC3499" w14:textId="0363BAB5" w:rsidR="0082685F" w:rsidRPr="000C18F3" w:rsidRDefault="0082685F" w:rsidP="0082685F">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15</w:t>
            </w:r>
          </w:p>
        </w:tc>
        <w:tc>
          <w:tcPr>
            <w:tcW w:w="2902" w:type="dxa"/>
            <w:tcBorders>
              <w:top w:val="nil"/>
              <w:left w:val="nil"/>
              <w:bottom w:val="nil"/>
              <w:right w:val="nil"/>
            </w:tcBorders>
            <w:shd w:val="clear" w:color="auto" w:fill="auto"/>
            <w:noWrap/>
            <w:vAlign w:val="bottom"/>
            <w:hideMark/>
          </w:tcPr>
          <w:p w14:paraId="0DAACA85" w14:textId="6FF76BB1"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3.7</w:t>
            </w:r>
          </w:p>
        </w:tc>
        <w:tc>
          <w:tcPr>
            <w:tcW w:w="2902" w:type="dxa"/>
            <w:tcBorders>
              <w:top w:val="nil"/>
              <w:left w:val="nil"/>
              <w:bottom w:val="nil"/>
              <w:right w:val="nil"/>
            </w:tcBorders>
            <w:shd w:val="clear" w:color="auto" w:fill="auto"/>
            <w:noWrap/>
            <w:vAlign w:val="bottom"/>
            <w:hideMark/>
          </w:tcPr>
          <w:p w14:paraId="6C280A62" w14:textId="3C51B240"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2.2</w:t>
            </w:r>
          </w:p>
        </w:tc>
      </w:tr>
      <w:tr w:rsidR="0082685F" w:rsidRPr="000C18F3" w14:paraId="03A1EC8E" w14:textId="77777777" w:rsidTr="00C71C3C">
        <w:trPr>
          <w:trHeight w:val="255"/>
        </w:trPr>
        <w:tc>
          <w:tcPr>
            <w:tcW w:w="2448" w:type="dxa"/>
            <w:tcBorders>
              <w:top w:val="nil"/>
              <w:left w:val="nil"/>
              <w:bottom w:val="nil"/>
              <w:right w:val="nil"/>
            </w:tcBorders>
            <w:shd w:val="clear" w:color="auto" w:fill="auto"/>
            <w:noWrap/>
            <w:vAlign w:val="bottom"/>
            <w:hideMark/>
          </w:tcPr>
          <w:p w14:paraId="7FB5CCC9" w14:textId="33BD4187" w:rsidR="0082685F" w:rsidRPr="000C18F3" w:rsidRDefault="0082685F" w:rsidP="00633507">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LRNC B530</w:t>
            </w:r>
            <w:r w:rsidR="00C71C3C" w:rsidRPr="000C18F3">
              <w:rPr>
                <w:rFonts w:ascii="Times New Roman" w:eastAsia="Times New Roman" w:hAnsi="Times New Roman" w:cs="Times New Roman"/>
                <w:color w:val="000000"/>
                <w:sz w:val="20"/>
                <w:szCs w:val="20"/>
              </w:rPr>
              <w:t xml:space="preserve"> (Math </w:t>
            </w:r>
            <w:r w:rsidR="00633507" w:rsidRPr="000C18F3">
              <w:rPr>
                <w:rFonts w:ascii="Times New Roman" w:eastAsia="Times New Roman" w:hAnsi="Times New Roman" w:cs="Times New Roman"/>
                <w:color w:val="000000"/>
                <w:sz w:val="20"/>
                <w:szCs w:val="20"/>
              </w:rPr>
              <w:t>B60</w:t>
            </w:r>
            <w:r w:rsidR="00C71C3C" w:rsidRPr="000C18F3">
              <w:rPr>
                <w:rFonts w:ascii="Times New Roman" w:eastAsia="Times New Roman" w:hAnsi="Times New Roman" w:cs="Times New Roman"/>
                <w:color w:val="000000"/>
                <w:sz w:val="20"/>
                <w:szCs w:val="20"/>
              </w:rPr>
              <w:t>)</w:t>
            </w:r>
          </w:p>
        </w:tc>
        <w:tc>
          <w:tcPr>
            <w:tcW w:w="1993" w:type="dxa"/>
            <w:tcBorders>
              <w:top w:val="nil"/>
              <w:left w:val="nil"/>
              <w:bottom w:val="nil"/>
              <w:right w:val="nil"/>
            </w:tcBorders>
            <w:shd w:val="clear" w:color="auto" w:fill="auto"/>
            <w:noWrap/>
            <w:vAlign w:val="bottom"/>
            <w:hideMark/>
          </w:tcPr>
          <w:p w14:paraId="7C7E3825"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113CF0D6" w14:textId="56275C86" w:rsidR="0082685F" w:rsidRPr="000C18F3" w:rsidRDefault="0082685F" w:rsidP="00786E63">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LRNC B530</w:t>
            </w:r>
            <w:r w:rsidR="00C71C3C" w:rsidRPr="000C18F3">
              <w:rPr>
                <w:rFonts w:ascii="Times New Roman" w:eastAsia="Times New Roman" w:hAnsi="Times New Roman" w:cs="Times New Roman"/>
                <w:color w:val="000000"/>
                <w:sz w:val="20"/>
                <w:szCs w:val="20"/>
              </w:rPr>
              <w:t xml:space="preserve"> (Math B</w:t>
            </w:r>
            <w:r w:rsidR="00786E63" w:rsidRPr="000C18F3">
              <w:rPr>
                <w:rFonts w:ascii="Times New Roman" w:eastAsia="Times New Roman" w:hAnsi="Times New Roman" w:cs="Times New Roman"/>
                <w:color w:val="000000"/>
                <w:sz w:val="20"/>
                <w:szCs w:val="20"/>
              </w:rPr>
              <w:t>7</w:t>
            </w:r>
            <w:r w:rsidR="00633507" w:rsidRPr="000C18F3">
              <w:rPr>
                <w:rFonts w:ascii="Times New Roman" w:eastAsia="Times New Roman" w:hAnsi="Times New Roman" w:cs="Times New Roman"/>
                <w:color w:val="000000"/>
                <w:sz w:val="20"/>
                <w:szCs w:val="20"/>
              </w:rPr>
              <w:t>0</w:t>
            </w:r>
            <w:r w:rsidR="00C71C3C" w:rsidRPr="000C18F3">
              <w:rPr>
                <w:rFonts w:ascii="Times New Roman" w:eastAsia="Times New Roman" w:hAnsi="Times New Roman" w:cs="Times New Roman"/>
                <w:color w:val="000000"/>
                <w:sz w:val="20"/>
                <w:szCs w:val="20"/>
              </w:rPr>
              <w:t>)</w:t>
            </w:r>
          </w:p>
        </w:tc>
        <w:tc>
          <w:tcPr>
            <w:tcW w:w="1177" w:type="dxa"/>
            <w:tcBorders>
              <w:top w:val="nil"/>
              <w:left w:val="nil"/>
              <w:bottom w:val="nil"/>
              <w:right w:val="nil"/>
            </w:tcBorders>
            <w:shd w:val="clear" w:color="auto" w:fill="auto"/>
            <w:noWrap/>
            <w:vAlign w:val="bottom"/>
            <w:hideMark/>
          </w:tcPr>
          <w:p w14:paraId="69EFEBED" w14:textId="4343F63E" w:rsidR="0082685F" w:rsidRPr="000C18F3" w:rsidRDefault="0082685F" w:rsidP="0082685F">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20</w:t>
            </w:r>
          </w:p>
        </w:tc>
        <w:tc>
          <w:tcPr>
            <w:tcW w:w="2902" w:type="dxa"/>
            <w:tcBorders>
              <w:top w:val="nil"/>
              <w:left w:val="nil"/>
              <w:bottom w:val="nil"/>
              <w:right w:val="nil"/>
            </w:tcBorders>
            <w:shd w:val="clear" w:color="auto" w:fill="auto"/>
            <w:noWrap/>
            <w:vAlign w:val="bottom"/>
            <w:hideMark/>
          </w:tcPr>
          <w:p w14:paraId="343AC70E" w14:textId="4449A682"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4.2</w:t>
            </w:r>
          </w:p>
        </w:tc>
        <w:tc>
          <w:tcPr>
            <w:tcW w:w="2902" w:type="dxa"/>
            <w:tcBorders>
              <w:top w:val="nil"/>
              <w:left w:val="nil"/>
              <w:bottom w:val="nil"/>
              <w:right w:val="nil"/>
            </w:tcBorders>
            <w:shd w:val="clear" w:color="auto" w:fill="auto"/>
            <w:noWrap/>
            <w:vAlign w:val="bottom"/>
            <w:hideMark/>
          </w:tcPr>
          <w:p w14:paraId="4DF32366" w14:textId="176C3044"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2.8</w:t>
            </w:r>
          </w:p>
        </w:tc>
      </w:tr>
      <w:tr w:rsidR="0082685F" w:rsidRPr="000C18F3" w14:paraId="4AC1E8FC" w14:textId="77777777" w:rsidTr="00C71C3C">
        <w:trPr>
          <w:trHeight w:val="255"/>
        </w:trPr>
        <w:tc>
          <w:tcPr>
            <w:tcW w:w="2448" w:type="dxa"/>
            <w:tcBorders>
              <w:top w:val="nil"/>
              <w:left w:val="nil"/>
              <w:bottom w:val="nil"/>
              <w:right w:val="nil"/>
            </w:tcBorders>
            <w:shd w:val="clear" w:color="auto" w:fill="auto"/>
            <w:noWrap/>
            <w:vAlign w:val="bottom"/>
            <w:hideMark/>
          </w:tcPr>
          <w:p w14:paraId="75FCB7A8"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1993" w:type="dxa"/>
            <w:tcBorders>
              <w:top w:val="nil"/>
              <w:left w:val="nil"/>
              <w:bottom w:val="nil"/>
              <w:right w:val="nil"/>
            </w:tcBorders>
            <w:shd w:val="clear" w:color="auto" w:fill="auto"/>
            <w:noWrap/>
            <w:vAlign w:val="bottom"/>
            <w:hideMark/>
          </w:tcPr>
          <w:p w14:paraId="7B1EB172"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638A67B6"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B1A</w:t>
            </w:r>
          </w:p>
        </w:tc>
        <w:tc>
          <w:tcPr>
            <w:tcW w:w="1177" w:type="dxa"/>
            <w:tcBorders>
              <w:top w:val="nil"/>
              <w:left w:val="nil"/>
              <w:bottom w:val="nil"/>
              <w:right w:val="nil"/>
            </w:tcBorders>
            <w:shd w:val="clear" w:color="auto" w:fill="auto"/>
            <w:noWrap/>
            <w:vAlign w:val="bottom"/>
            <w:hideMark/>
          </w:tcPr>
          <w:p w14:paraId="4FB9905A" w14:textId="6FFF47F1" w:rsidR="0082685F" w:rsidRPr="000C18F3" w:rsidRDefault="0082685F" w:rsidP="0082685F">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88</w:t>
            </w:r>
          </w:p>
        </w:tc>
        <w:tc>
          <w:tcPr>
            <w:tcW w:w="2902" w:type="dxa"/>
            <w:tcBorders>
              <w:top w:val="nil"/>
              <w:left w:val="nil"/>
              <w:bottom w:val="nil"/>
              <w:right w:val="nil"/>
            </w:tcBorders>
            <w:shd w:val="clear" w:color="auto" w:fill="auto"/>
            <w:noWrap/>
            <w:vAlign w:val="bottom"/>
            <w:hideMark/>
          </w:tcPr>
          <w:p w14:paraId="1CE3A15E" w14:textId="26B2FFA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3.3</w:t>
            </w:r>
          </w:p>
        </w:tc>
        <w:tc>
          <w:tcPr>
            <w:tcW w:w="2902" w:type="dxa"/>
            <w:tcBorders>
              <w:top w:val="nil"/>
              <w:left w:val="nil"/>
              <w:bottom w:val="nil"/>
              <w:right w:val="nil"/>
            </w:tcBorders>
            <w:shd w:val="clear" w:color="auto" w:fill="auto"/>
            <w:noWrap/>
            <w:vAlign w:val="bottom"/>
            <w:hideMark/>
          </w:tcPr>
          <w:p w14:paraId="63B2505D" w14:textId="610402FE"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2.9</w:t>
            </w:r>
          </w:p>
        </w:tc>
      </w:tr>
      <w:tr w:rsidR="0082685F" w:rsidRPr="000C18F3" w14:paraId="5CD9310B" w14:textId="77777777" w:rsidTr="00C71C3C">
        <w:trPr>
          <w:trHeight w:val="255"/>
        </w:trPr>
        <w:tc>
          <w:tcPr>
            <w:tcW w:w="2448" w:type="dxa"/>
            <w:tcBorders>
              <w:top w:val="nil"/>
              <w:left w:val="nil"/>
              <w:bottom w:val="nil"/>
              <w:right w:val="nil"/>
            </w:tcBorders>
            <w:shd w:val="clear" w:color="auto" w:fill="auto"/>
            <w:noWrap/>
            <w:vAlign w:val="bottom"/>
            <w:hideMark/>
          </w:tcPr>
          <w:p w14:paraId="0C13E64A"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1993" w:type="dxa"/>
            <w:tcBorders>
              <w:top w:val="nil"/>
              <w:left w:val="nil"/>
              <w:bottom w:val="nil"/>
              <w:right w:val="nil"/>
            </w:tcBorders>
            <w:shd w:val="clear" w:color="auto" w:fill="auto"/>
            <w:noWrap/>
            <w:vAlign w:val="bottom"/>
            <w:hideMark/>
          </w:tcPr>
          <w:p w14:paraId="72765715"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40F7B54B"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B22</w:t>
            </w:r>
          </w:p>
        </w:tc>
        <w:tc>
          <w:tcPr>
            <w:tcW w:w="1177" w:type="dxa"/>
            <w:tcBorders>
              <w:top w:val="nil"/>
              <w:left w:val="nil"/>
              <w:bottom w:val="nil"/>
              <w:right w:val="nil"/>
            </w:tcBorders>
            <w:shd w:val="clear" w:color="auto" w:fill="auto"/>
            <w:noWrap/>
            <w:vAlign w:val="bottom"/>
            <w:hideMark/>
          </w:tcPr>
          <w:p w14:paraId="79F2D10A" w14:textId="2C478E8F" w:rsidR="0082685F" w:rsidRPr="000C18F3" w:rsidRDefault="0082685F" w:rsidP="0082685F">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86</w:t>
            </w:r>
          </w:p>
        </w:tc>
        <w:tc>
          <w:tcPr>
            <w:tcW w:w="2902" w:type="dxa"/>
            <w:tcBorders>
              <w:top w:val="nil"/>
              <w:left w:val="nil"/>
              <w:bottom w:val="nil"/>
              <w:right w:val="nil"/>
            </w:tcBorders>
            <w:shd w:val="clear" w:color="auto" w:fill="auto"/>
            <w:noWrap/>
            <w:vAlign w:val="bottom"/>
            <w:hideMark/>
          </w:tcPr>
          <w:p w14:paraId="734A61D1" w14:textId="1721E093"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3.8</w:t>
            </w:r>
          </w:p>
        </w:tc>
        <w:tc>
          <w:tcPr>
            <w:tcW w:w="2902" w:type="dxa"/>
            <w:tcBorders>
              <w:top w:val="nil"/>
              <w:left w:val="nil"/>
              <w:bottom w:val="nil"/>
              <w:right w:val="nil"/>
            </w:tcBorders>
            <w:shd w:val="clear" w:color="auto" w:fill="auto"/>
            <w:noWrap/>
            <w:vAlign w:val="bottom"/>
            <w:hideMark/>
          </w:tcPr>
          <w:p w14:paraId="0797926E" w14:textId="6CC81FBB"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3.1</w:t>
            </w:r>
          </w:p>
        </w:tc>
      </w:tr>
      <w:tr w:rsidR="0082685F" w:rsidRPr="000C18F3" w14:paraId="5357986B" w14:textId="77777777" w:rsidTr="00C71C3C">
        <w:trPr>
          <w:trHeight w:val="255"/>
        </w:trPr>
        <w:tc>
          <w:tcPr>
            <w:tcW w:w="2448" w:type="dxa"/>
            <w:tcBorders>
              <w:top w:val="nil"/>
              <w:left w:val="nil"/>
              <w:bottom w:val="nil"/>
              <w:right w:val="nil"/>
            </w:tcBorders>
            <w:shd w:val="clear" w:color="auto" w:fill="auto"/>
            <w:noWrap/>
            <w:vAlign w:val="bottom"/>
            <w:hideMark/>
          </w:tcPr>
          <w:p w14:paraId="133B5DD9"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1993" w:type="dxa"/>
            <w:tcBorders>
              <w:top w:val="nil"/>
              <w:left w:val="nil"/>
              <w:bottom w:val="nil"/>
              <w:right w:val="nil"/>
            </w:tcBorders>
            <w:shd w:val="clear" w:color="auto" w:fill="auto"/>
            <w:noWrap/>
            <w:vAlign w:val="bottom"/>
            <w:hideMark/>
          </w:tcPr>
          <w:p w14:paraId="678C020E"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0137C415"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Psyc B5</w:t>
            </w:r>
          </w:p>
        </w:tc>
        <w:tc>
          <w:tcPr>
            <w:tcW w:w="1177" w:type="dxa"/>
            <w:tcBorders>
              <w:top w:val="nil"/>
              <w:left w:val="nil"/>
              <w:bottom w:val="nil"/>
              <w:right w:val="nil"/>
            </w:tcBorders>
            <w:shd w:val="clear" w:color="auto" w:fill="auto"/>
            <w:noWrap/>
            <w:vAlign w:val="bottom"/>
            <w:hideMark/>
          </w:tcPr>
          <w:p w14:paraId="536A09CF" w14:textId="58E09576" w:rsidR="0082685F" w:rsidRPr="000C18F3" w:rsidRDefault="0082685F" w:rsidP="0082685F">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38</w:t>
            </w:r>
          </w:p>
        </w:tc>
        <w:tc>
          <w:tcPr>
            <w:tcW w:w="2902" w:type="dxa"/>
            <w:tcBorders>
              <w:top w:val="nil"/>
              <w:left w:val="nil"/>
              <w:bottom w:val="nil"/>
              <w:right w:val="nil"/>
            </w:tcBorders>
            <w:shd w:val="clear" w:color="auto" w:fill="auto"/>
            <w:noWrap/>
            <w:vAlign w:val="bottom"/>
            <w:hideMark/>
          </w:tcPr>
          <w:p w14:paraId="26071C2D" w14:textId="3FBF6B2D"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3.8</w:t>
            </w:r>
          </w:p>
        </w:tc>
        <w:tc>
          <w:tcPr>
            <w:tcW w:w="2902" w:type="dxa"/>
            <w:tcBorders>
              <w:top w:val="nil"/>
              <w:left w:val="nil"/>
              <w:bottom w:val="nil"/>
              <w:right w:val="nil"/>
            </w:tcBorders>
            <w:shd w:val="clear" w:color="auto" w:fill="auto"/>
            <w:noWrap/>
            <w:vAlign w:val="bottom"/>
            <w:hideMark/>
          </w:tcPr>
          <w:p w14:paraId="79D09E58" w14:textId="0BFE35C8"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2.8</w:t>
            </w:r>
          </w:p>
        </w:tc>
      </w:tr>
      <w:tr w:rsidR="00B84005" w:rsidRPr="000C18F3" w14:paraId="206216DD" w14:textId="77777777" w:rsidTr="00C71C3C">
        <w:trPr>
          <w:trHeight w:val="255"/>
        </w:trPr>
        <w:tc>
          <w:tcPr>
            <w:tcW w:w="2448" w:type="dxa"/>
            <w:tcBorders>
              <w:top w:val="nil"/>
              <w:left w:val="nil"/>
              <w:bottom w:val="nil"/>
              <w:right w:val="nil"/>
            </w:tcBorders>
            <w:shd w:val="clear" w:color="auto" w:fill="auto"/>
            <w:noWrap/>
            <w:vAlign w:val="bottom"/>
            <w:hideMark/>
          </w:tcPr>
          <w:p w14:paraId="627F23D9" w14:textId="77777777" w:rsidR="00B84005" w:rsidRPr="000C18F3" w:rsidRDefault="00B84005" w:rsidP="002C4797">
            <w:pPr>
              <w:spacing w:after="0" w:line="240" w:lineRule="auto"/>
              <w:jc w:val="center"/>
              <w:rPr>
                <w:rFonts w:ascii="Times New Roman" w:eastAsia="Times New Roman" w:hAnsi="Times New Roman" w:cs="Times New Roman"/>
                <w:color w:val="000000"/>
                <w:sz w:val="20"/>
                <w:szCs w:val="20"/>
              </w:rPr>
            </w:pPr>
          </w:p>
        </w:tc>
        <w:tc>
          <w:tcPr>
            <w:tcW w:w="1993" w:type="dxa"/>
            <w:tcBorders>
              <w:top w:val="nil"/>
              <w:left w:val="nil"/>
              <w:bottom w:val="nil"/>
              <w:right w:val="nil"/>
            </w:tcBorders>
            <w:shd w:val="clear" w:color="auto" w:fill="auto"/>
            <w:noWrap/>
            <w:vAlign w:val="bottom"/>
            <w:hideMark/>
          </w:tcPr>
          <w:p w14:paraId="428F3A03" w14:textId="77777777" w:rsidR="00B84005" w:rsidRPr="000C18F3" w:rsidRDefault="00B84005" w:rsidP="002C4797">
            <w:pPr>
              <w:spacing w:after="0" w:line="240" w:lineRule="auto"/>
              <w:jc w:val="center"/>
              <w:rPr>
                <w:rFonts w:ascii="Times New Roman" w:eastAsia="Times New Roman" w:hAnsi="Times New Roman" w:cs="Times New Roman"/>
                <w:sz w:val="20"/>
                <w:szCs w:val="20"/>
              </w:rPr>
            </w:pPr>
          </w:p>
        </w:tc>
        <w:tc>
          <w:tcPr>
            <w:tcW w:w="2448" w:type="dxa"/>
            <w:tcBorders>
              <w:top w:val="nil"/>
              <w:left w:val="nil"/>
              <w:bottom w:val="nil"/>
              <w:right w:val="nil"/>
            </w:tcBorders>
            <w:shd w:val="clear" w:color="auto" w:fill="auto"/>
            <w:noWrap/>
            <w:vAlign w:val="bottom"/>
            <w:hideMark/>
          </w:tcPr>
          <w:p w14:paraId="0BB15A70" w14:textId="77777777" w:rsidR="00B84005" w:rsidRPr="000C18F3" w:rsidRDefault="00B84005" w:rsidP="002C4797">
            <w:pPr>
              <w:spacing w:after="0" w:line="240" w:lineRule="auto"/>
              <w:jc w:val="center"/>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2DE729E5" w14:textId="77777777" w:rsidR="00B84005" w:rsidRPr="000C18F3" w:rsidRDefault="00B84005" w:rsidP="00E7213D">
            <w:pPr>
              <w:tabs>
                <w:tab w:val="decimal" w:pos="693"/>
              </w:tabs>
              <w:spacing w:after="0" w:line="240" w:lineRule="auto"/>
              <w:rPr>
                <w:rFonts w:ascii="Times New Roman" w:eastAsia="Times New Roman" w:hAnsi="Times New Roman" w:cs="Times New Roman"/>
                <w:sz w:val="20"/>
                <w:szCs w:val="20"/>
              </w:rPr>
            </w:pPr>
          </w:p>
        </w:tc>
        <w:tc>
          <w:tcPr>
            <w:tcW w:w="2902" w:type="dxa"/>
            <w:tcBorders>
              <w:top w:val="nil"/>
              <w:left w:val="nil"/>
              <w:bottom w:val="nil"/>
              <w:right w:val="nil"/>
            </w:tcBorders>
            <w:shd w:val="clear" w:color="auto" w:fill="auto"/>
            <w:noWrap/>
            <w:vAlign w:val="bottom"/>
            <w:hideMark/>
          </w:tcPr>
          <w:p w14:paraId="183EFA4E" w14:textId="77777777" w:rsidR="00B84005" w:rsidRPr="000C18F3" w:rsidRDefault="00B84005" w:rsidP="00950BEF">
            <w:pPr>
              <w:spacing w:after="0" w:line="240" w:lineRule="auto"/>
              <w:jc w:val="center"/>
              <w:rPr>
                <w:rFonts w:ascii="Times New Roman" w:eastAsia="Times New Roman" w:hAnsi="Times New Roman" w:cs="Times New Roman"/>
                <w:sz w:val="20"/>
                <w:szCs w:val="20"/>
              </w:rPr>
            </w:pPr>
          </w:p>
        </w:tc>
        <w:tc>
          <w:tcPr>
            <w:tcW w:w="2902" w:type="dxa"/>
            <w:tcBorders>
              <w:top w:val="nil"/>
              <w:left w:val="nil"/>
              <w:bottom w:val="nil"/>
              <w:right w:val="nil"/>
            </w:tcBorders>
            <w:shd w:val="clear" w:color="auto" w:fill="auto"/>
            <w:noWrap/>
            <w:vAlign w:val="bottom"/>
            <w:hideMark/>
          </w:tcPr>
          <w:p w14:paraId="43153A15" w14:textId="77777777" w:rsidR="00B84005" w:rsidRPr="000C18F3" w:rsidRDefault="00B84005" w:rsidP="00950BEF">
            <w:pPr>
              <w:spacing w:after="0" w:line="240" w:lineRule="auto"/>
              <w:jc w:val="center"/>
              <w:rPr>
                <w:rFonts w:ascii="Times New Roman" w:eastAsia="Times New Roman" w:hAnsi="Times New Roman" w:cs="Times New Roman"/>
                <w:sz w:val="20"/>
                <w:szCs w:val="20"/>
              </w:rPr>
            </w:pPr>
          </w:p>
        </w:tc>
      </w:tr>
      <w:tr w:rsidR="00A42E7B" w:rsidRPr="000C18F3" w14:paraId="5C691E3B" w14:textId="77777777" w:rsidTr="00C71C3C">
        <w:trPr>
          <w:trHeight w:val="255"/>
        </w:trPr>
        <w:tc>
          <w:tcPr>
            <w:tcW w:w="2448" w:type="dxa"/>
            <w:tcBorders>
              <w:top w:val="nil"/>
              <w:left w:val="nil"/>
              <w:bottom w:val="nil"/>
              <w:right w:val="nil"/>
            </w:tcBorders>
            <w:shd w:val="clear" w:color="auto" w:fill="auto"/>
            <w:noWrap/>
            <w:vAlign w:val="bottom"/>
            <w:hideMark/>
          </w:tcPr>
          <w:p w14:paraId="6E13F0F4" w14:textId="77777777" w:rsidR="00A42E7B" w:rsidRPr="000C18F3" w:rsidRDefault="00A42E7B" w:rsidP="002C4797">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ACDV B72</w:t>
            </w:r>
          </w:p>
        </w:tc>
        <w:tc>
          <w:tcPr>
            <w:tcW w:w="1993" w:type="dxa"/>
            <w:tcBorders>
              <w:top w:val="nil"/>
              <w:left w:val="nil"/>
              <w:bottom w:val="nil"/>
              <w:right w:val="nil"/>
            </w:tcBorders>
            <w:shd w:val="clear" w:color="auto" w:fill="auto"/>
            <w:noWrap/>
            <w:vAlign w:val="bottom"/>
            <w:hideMark/>
          </w:tcPr>
          <w:p w14:paraId="0E0FA439" w14:textId="77777777" w:rsidR="00A42E7B" w:rsidRPr="000C18F3" w:rsidRDefault="00A42E7B" w:rsidP="002C4797">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091BE19F" w14:textId="77777777" w:rsidR="00A42E7B" w:rsidRPr="000C18F3" w:rsidRDefault="00A42E7B" w:rsidP="002C4797">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ACDV B72</w:t>
            </w:r>
          </w:p>
        </w:tc>
        <w:tc>
          <w:tcPr>
            <w:tcW w:w="1177" w:type="dxa"/>
            <w:tcBorders>
              <w:top w:val="nil"/>
              <w:left w:val="nil"/>
              <w:bottom w:val="nil"/>
              <w:right w:val="nil"/>
            </w:tcBorders>
            <w:shd w:val="clear" w:color="auto" w:fill="auto"/>
            <w:noWrap/>
            <w:vAlign w:val="bottom"/>
            <w:hideMark/>
          </w:tcPr>
          <w:p w14:paraId="0DAB4C1C" w14:textId="725A3E8D" w:rsidR="00A42E7B" w:rsidRPr="000C18F3" w:rsidRDefault="00A42E7B" w:rsidP="00E7213D">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0</w:t>
            </w:r>
          </w:p>
        </w:tc>
        <w:tc>
          <w:tcPr>
            <w:tcW w:w="2902" w:type="dxa"/>
            <w:tcBorders>
              <w:top w:val="nil"/>
              <w:left w:val="nil"/>
              <w:bottom w:val="nil"/>
              <w:right w:val="nil"/>
            </w:tcBorders>
            <w:shd w:val="clear" w:color="auto" w:fill="auto"/>
            <w:noWrap/>
            <w:vAlign w:val="bottom"/>
            <w:hideMark/>
          </w:tcPr>
          <w:p w14:paraId="7F937C40" w14:textId="14D5E871" w:rsidR="00A42E7B" w:rsidRPr="000C18F3" w:rsidRDefault="00A42E7B" w:rsidP="00950BE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w:t>
            </w:r>
          </w:p>
        </w:tc>
        <w:tc>
          <w:tcPr>
            <w:tcW w:w="2902" w:type="dxa"/>
            <w:tcBorders>
              <w:top w:val="nil"/>
              <w:left w:val="nil"/>
              <w:bottom w:val="nil"/>
              <w:right w:val="nil"/>
            </w:tcBorders>
            <w:shd w:val="clear" w:color="auto" w:fill="auto"/>
            <w:noWrap/>
            <w:vAlign w:val="bottom"/>
            <w:hideMark/>
          </w:tcPr>
          <w:p w14:paraId="58129849" w14:textId="0C67A631" w:rsidR="00A42E7B" w:rsidRPr="000C18F3" w:rsidRDefault="00A42E7B" w:rsidP="00950BE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w:t>
            </w:r>
          </w:p>
        </w:tc>
      </w:tr>
      <w:tr w:rsidR="0082685F" w:rsidRPr="000C18F3" w14:paraId="530F0A59" w14:textId="77777777" w:rsidTr="00C71C3C">
        <w:trPr>
          <w:trHeight w:val="255"/>
        </w:trPr>
        <w:tc>
          <w:tcPr>
            <w:tcW w:w="2448" w:type="dxa"/>
            <w:tcBorders>
              <w:top w:val="nil"/>
              <w:left w:val="nil"/>
              <w:bottom w:val="nil"/>
              <w:right w:val="nil"/>
            </w:tcBorders>
            <w:shd w:val="clear" w:color="auto" w:fill="auto"/>
            <w:noWrap/>
            <w:vAlign w:val="bottom"/>
            <w:hideMark/>
          </w:tcPr>
          <w:p w14:paraId="47B9A4FC"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B60</w:t>
            </w:r>
          </w:p>
        </w:tc>
        <w:tc>
          <w:tcPr>
            <w:tcW w:w="1993" w:type="dxa"/>
            <w:tcBorders>
              <w:top w:val="nil"/>
              <w:left w:val="nil"/>
              <w:bottom w:val="nil"/>
              <w:right w:val="nil"/>
            </w:tcBorders>
            <w:shd w:val="clear" w:color="auto" w:fill="auto"/>
            <w:noWrap/>
            <w:vAlign w:val="bottom"/>
            <w:hideMark/>
          </w:tcPr>
          <w:p w14:paraId="37FB3270"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3ACAB2D4"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B60</w:t>
            </w:r>
          </w:p>
        </w:tc>
        <w:tc>
          <w:tcPr>
            <w:tcW w:w="1177" w:type="dxa"/>
            <w:tcBorders>
              <w:top w:val="nil"/>
              <w:left w:val="nil"/>
              <w:bottom w:val="nil"/>
              <w:right w:val="nil"/>
            </w:tcBorders>
            <w:shd w:val="clear" w:color="auto" w:fill="auto"/>
            <w:noWrap/>
            <w:vAlign w:val="bottom"/>
            <w:hideMark/>
          </w:tcPr>
          <w:p w14:paraId="0D3B3514" w14:textId="20108C2C" w:rsidR="0082685F" w:rsidRPr="000C18F3" w:rsidRDefault="0082685F" w:rsidP="0082685F">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8</w:t>
            </w:r>
          </w:p>
        </w:tc>
        <w:tc>
          <w:tcPr>
            <w:tcW w:w="2902" w:type="dxa"/>
            <w:tcBorders>
              <w:top w:val="nil"/>
              <w:left w:val="nil"/>
              <w:bottom w:val="nil"/>
              <w:right w:val="nil"/>
            </w:tcBorders>
            <w:shd w:val="clear" w:color="auto" w:fill="auto"/>
            <w:noWrap/>
            <w:vAlign w:val="bottom"/>
            <w:hideMark/>
          </w:tcPr>
          <w:p w14:paraId="336FED60" w14:textId="2AB2FC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6.3</w:t>
            </w:r>
          </w:p>
        </w:tc>
        <w:tc>
          <w:tcPr>
            <w:tcW w:w="2902" w:type="dxa"/>
            <w:tcBorders>
              <w:top w:val="nil"/>
              <w:left w:val="nil"/>
              <w:bottom w:val="nil"/>
              <w:right w:val="nil"/>
            </w:tcBorders>
            <w:shd w:val="clear" w:color="auto" w:fill="auto"/>
            <w:noWrap/>
            <w:vAlign w:val="bottom"/>
            <w:hideMark/>
          </w:tcPr>
          <w:p w14:paraId="67F23CB0" w14:textId="311C3AB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5.8</w:t>
            </w:r>
          </w:p>
        </w:tc>
      </w:tr>
      <w:tr w:rsidR="0082685F" w:rsidRPr="000C18F3" w14:paraId="06FB923B" w14:textId="77777777" w:rsidTr="00E6476E">
        <w:trPr>
          <w:trHeight w:val="255"/>
        </w:trPr>
        <w:tc>
          <w:tcPr>
            <w:tcW w:w="2448" w:type="dxa"/>
            <w:tcBorders>
              <w:top w:val="nil"/>
              <w:left w:val="nil"/>
              <w:bottom w:val="nil"/>
              <w:right w:val="nil"/>
            </w:tcBorders>
            <w:shd w:val="clear" w:color="auto" w:fill="auto"/>
            <w:noWrap/>
            <w:vAlign w:val="bottom"/>
            <w:hideMark/>
          </w:tcPr>
          <w:p w14:paraId="29AE8287"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1993" w:type="dxa"/>
            <w:tcBorders>
              <w:top w:val="nil"/>
              <w:left w:val="nil"/>
              <w:bottom w:val="nil"/>
              <w:right w:val="nil"/>
            </w:tcBorders>
            <w:shd w:val="clear" w:color="auto" w:fill="auto"/>
            <w:noWrap/>
            <w:vAlign w:val="bottom"/>
            <w:hideMark/>
          </w:tcPr>
          <w:p w14:paraId="26D23542"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6951F200" w14:textId="7777777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eastAsia="Times New Roman" w:hAnsi="Times New Roman" w:cs="Times New Roman"/>
                <w:color w:val="000000"/>
                <w:sz w:val="20"/>
                <w:szCs w:val="20"/>
              </w:rPr>
              <w:t>Math B70</w:t>
            </w:r>
          </w:p>
        </w:tc>
        <w:tc>
          <w:tcPr>
            <w:tcW w:w="1177" w:type="dxa"/>
            <w:tcBorders>
              <w:top w:val="nil"/>
              <w:left w:val="nil"/>
              <w:bottom w:val="nil"/>
              <w:right w:val="nil"/>
            </w:tcBorders>
            <w:shd w:val="clear" w:color="auto" w:fill="auto"/>
            <w:noWrap/>
            <w:vAlign w:val="bottom"/>
            <w:hideMark/>
          </w:tcPr>
          <w:p w14:paraId="07BDDFB7" w14:textId="1A9C4732" w:rsidR="0082685F" w:rsidRPr="000C18F3" w:rsidRDefault="0082685F" w:rsidP="0082685F">
            <w:pPr>
              <w:tabs>
                <w:tab w:val="decimal" w:pos="693"/>
              </w:tabs>
              <w:spacing w:after="0" w:line="240" w:lineRule="auto"/>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25</w:t>
            </w:r>
          </w:p>
        </w:tc>
        <w:tc>
          <w:tcPr>
            <w:tcW w:w="2902" w:type="dxa"/>
            <w:tcBorders>
              <w:top w:val="nil"/>
              <w:left w:val="nil"/>
              <w:bottom w:val="nil"/>
              <w:right w:val="nil"/>
            </w:tcBorders>
            <w:shd w:val="clear" w:color="auto" w:fill="auto"/>
            <w:noWrap/>
            <w:vAlign w:val="bottom"/>
            <w:hideMark/>
          </w:tcPr>
          <w:p w14:paraId="1A3C30AC" w14:textId="2EA0B419"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5.3</w:t>
            </w:r>
          </w:p>
        </w:tc>
        <w:tc>
          <w:tcPr>
            <w:tcW w:w="2902" w:type="dxa"/>
            <w:tcBorders>
              <w:top w:val="nil"/>
              <w:left w:val="nil"/>
              <w:bottom w:val="nil"/>
              <w:right w:val="nil"/>
            </w:tcBorders>
            <w:shd w:val="clear" w:color="auto" w:fill="auto"/>
            <w:noWrap/>
            <w:vAlign w:val="bottom"/>
            <w:hideMark/>
          </w:tcPr>
          <w:p w14:paraId="1223EB03" w14:textId="701E6657" w:rsidR="0082685F" w:rsidRPr="000C18F3" w:rsidRDefault="0082685F" w:rsidP="0082685F">
            <w:pPr>
              <w:spacing w:after="0" w:line="240" w:lineRule="auto"/>
              <w:jc w:val="center"/>
              <w:rPr>
                <w:rFonts w:ascii="Times New Roman" w:eastAsia="Times New Roman" w:hAnsi="Times New Roman" w:cs="Times New Roman"/>
                <w:color w:val="000000"/>
                <w:sz w:val="20"/>
                <w:szCs w:val="20"/>
              </w:rPr>
            </w:pPr>
            <w:r w:rsidRPr="000C18F3">
              <w:rPr>
                <w:rFonts w:ascii="Times New Roman" w:hAnsi="Times New Roman" w:cs="Times New Roman"/>
                <w:color w:val="000000"/>
                <w:sz w:val="20"/>
                <w:szCs w:val="20"/>
              </w:rPr>
              <w:t>4.6</w:t>
            </w:r>
          </w:p>
        </w:tc>
      </w:tr>
      <w:tr w:rsidR="00E6476E" w:rsidRPr="000C18F3" w14:paraId="12C33D71" w14:textId="77777777" w:rsidTr="00C71C3C">
        <w:trPr>
          <w:trHeight w:val="255"/>
        </w:trPr>
        <w:tc>
          <w:tcPr>
            <w:tcW w:w="2448" w:type="dxa"/>
            <w:tcBorders>
              <w:top w:val="nil"/>
              <w:left w:val="nil"/>
              <w:bottom w:val="single" w:sz="4" w:space="0" w:color="auto"/>
              <w:right w:val="nil"/>
            </w:tcBorders>
            <w:shd w:val="clear" w:color="auto" w:fill="auto"/>
            <w:noWrap/>
            <w:vAlign w:val="bottom"/>
          </w:tcPr>
          <w:p w14:paraId="1F99A0DD"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1993" w:type="dxa"/>
            <w:tcBorders>
              <w:top w:val="nil"/>
              <w:left w:val="nil"/>
              <w:bottom w:val="single" w:sz="4" w:space="0" w:color="auto"/>
              <w:right w:val="nil"/>
            </w:tcBorders>
            <w:shd w:val="clear" w:color="auto" w:fill="auto"/>
            <w:noWrap/>
            <w:vAlign w:val="bottom"/>
          </w:tcPr>
          <w:p w14:paraId="63BCF1D5"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2448" w:type="dxa"/>
            <w:tcBorders>
              <w:top w:val="nil"/>
              <w:left w:val="nil"/>
              <w:bottom w:val="single" w:sz="4" w:space="0" w:color="auto"/>
              <w:right w:val="nil"/>
            </w:tcBorders>
            <w:shd w:val="clear" w:color="auto" w:fill="auto"/>
            <w:noWrap/>
            <w:vAlign w:val="bottom"/>
          </w:tcPr>
          <w:p w14:paraId="62967761" w14:textId="77777777" w:rsidR="00E6476E" w:rsidRPr="000C18F3" w:rsidRDefault="00E6476E" w:rsidP="0082685F">
            <w:pPr>
              <w:spacing w:after="0" w:line="240" w:lineRule="auto"/>
              <w:jc w:val="center"/>
              <w:rPr>
                <w:rFonts w:ascii="Times New Roman" w:eastAsia="Times New Roman" w:hAnsi="Times New Roman" w:cs="Times New Roman"/>
                <w:color w:val="000000"/>
                <w:sz w:val="20"/>
                <w:szCs w:val="20"/>
              </w:rPr>
            </w:pPr>
          </w:p>
        </w:tc>
        <w:tc>
          <w:tcPr>
            <w:tcW w:w="1177" w:type="dxa"/>
            <w:tcBorders>
              <w:top w:val="nil"/>
              <w:left w:val="nil"/>
              <w:bottom w:val="single" w:sz="4" w:space="0" w:color="auto"/>
              <w:right w:val="nil"/>
            </w:tcBorders>
            <w:shd w:val="clear" w:color="auto" w:fill="auto"/>
            <w:noWrap/>
            <w:vAlign w:val="bottom"/>
          </w:tcPr>
          <w:p w14:paraId="416EBFDF" w14:textId="77777777" w:rsidR="00E6476E" w:rsidRPr="000C18F3" w:rsidRDefault="00E6476E" w:rsidP="0082685F">
            <w:pPr>
              <w:tabs>
                <w:tab w:val="decimal" w:pos="693"/>
              </w:tabs>
              <w:spacing w:after="0" w:line="240" w:lineRule="auto"/>
              <w:rPr>
                <w:rFonts w:ascii="Times New Roman" w:hAnsi="Times New Roman" w:cs="Times New Roman"/>
                <w:color w:val="000000"/>
                <w:sz w:val="20"/>
                <w:szCs w:val="20"/>
              </w:rPr>
            </w:pPr>
          </w:p>
        </w:tc>
        <w:tc>
          <w:tcPr>
            <w:tcW w:w="2902" w:type="dxa"/>
            <w:tcBorders>
              <w:top w:val="nil"/>
              <w:left w:val="nil"/>
              <w:bottom w:val="single" w:sz="4" w:space="0" w:color="auto"/>
              <w:right w:val="nil"/>
            </w:tcBorders>
            <w:shd w:val="clear" w:color="auto" w:fill="auto"/>
            <w:noWrap/>
            <w:vAlign w:val="bottom"/>
          </w:tcPr>
          <w:p w14:paraId="50C39C9C" w14:textId="77777777" w:rsidR="00E6476E" w:rsidRPr="000C18F3" w:rsidRDefault="00E6476E" w:rsidP="0082685F">
            <w:pPr>
              <w:spacing w:after="0" w:line="240" w:lineRule="auto"/>
              <w:jc w:val="center"/>
              <w:rPr>
                <w:rFonts w:ascii="Times New Roman" w:hAnsi="Times New Roman" w:cs="Times New Roman"/>
                <w:color w:val="000000"/>
                <w:sz w:val="20"/>
                <w:szCs w:val="20"/>
              </w:rPr>
            </w:pPr>
          </w:p>
        </w:tc>
        <w:tc>
          <w:tcPr>
            <w:tcW w:w="2902" w:type="dxa"/>
            <w:tcBorders>
              <w:top w:val="nil"/>
              <w:left w:val="nil"/>
              <w:bottom w:val="single" w:sz="4" w:space="0" w:color="auto"/>
              <w:right w:val="nil"/>
            </w:tcBorders>
            <w:shd w:val="clear" w:color="auto" w:fill="auto"/>
            <w:noWrap/>
            <w:vAlign w:val="bottom"/>
          </w:tcPr>
          <w:p w14:paraId="7B5BFB43" w14:textId="77777777" w:rsidR="00E6476E" w:rsidRPr="000C18F3" w:rsidRDefault="00E6476E" w:rsidP="0082685F">
            <w:pPr>
              <w:spacing w:after="0" w:line="240" w:lineRule="auto"/>
              <w:jc w:val="center"/>
              <w:rPr>
                <w:rFonts w:ascii="Times New Roman" w:hAnsi="Times New Roman" w:cs="Times New Roman"/>
                <w:color w:val="000000"/>
                <w:sz w:val="20"/>
                <w:szCs w:val="20"/>
              </w:rPr>
            </w:pPr>
          </w:p>
        </w:tc>
      </w:tr>
    </w:tbl>
    <w:p w14:paraId="2BCA097D" w14:textId="77777777" w:rsidR="00017DA1" w:rsidRDefault="00017DA1" w:rsidP="00347697">
      <w:pPr>
        <w:spacing w:after="0" w:line="240" w:lineRule="auto"/>
        <w:rPr>
          <w:rFonts w:ascii="Times New Roman" w:hAnsi="Times New Roman" w:cs="Times New Roman"/>
          <w:sz w:val="24"/>
          <w:szCs w:val="24"/>
        </w:rPr>
      </w:pPr>
    </w:p>
    <w:p w14:paraId="51982216" w14:textId="13B7CAAD" w:rsidR="00252318" w:rsidRDefault="00252318">
      <w:pPr>
        <w:rPr>
          <w:rFonts w:ascii="Times New Roman" w:hAnsi="Times New Roman" w:cs="Times New Roman"/>
          <w:sz w:val="24"/>
          <w:szCs w:val="24"/>
        </w:rPr>
      </w:pPr>
      <w:r>
        <w:rPr>
          <w:rFonts w:ascii="Times New Roman" w:hAnsi="Times New Roman" w:cs="Times New Roman"/>
          <w:sz w:val="24"/>
          <w:szCs w:val="24"/>
        </w:rPr>
        <w:br w:type="page"/>
      </w:r>
    </w:p>
    <w:p w14:paraId="1625EB3F" w14:textId="02A36348" w:rsidR="00BE21A7" w:rsidRDefault="00BE21A7" w:rsidP="00BE21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B47FC">
        <w:rPr>
          <w:rFonts w:ascii="Times New Roman" w:hAnsi="Times New Roman" w:cs="Times New Roman"/>
          <w:sz w:val="24"/>
          <w:szCs w:val="24"/>
        </w:rPr>
        <w:t>7</w:t>
      </w:r>
      <w:r>
        <w:rPr>
          <w:rFonts w:ascii="Times New Roman" w:hAnsi="Times New Roman" w:cs="Times New Roman"/>
          <w:sz w:val="24"/>
          <w:szCs w:val="24"/>
        </w:rPr>
        <w:t xml:space="preserve">:  Distribution of third math course by </w:t>
      </w:r>
      <w:r w:rsidR="0084703F">
        <w:rPr>
          <w:rFonts w:ascii="Times New Roman" w:hAnsi="Times New Roman" w:cs="Times New Roman"/>
          <w:sz w:val="24"/>
          <w:szCs w:val="24"/>
        </w:rPr>
        <w:t>first and second math courses and outcomes in first</w:t>
      </w:r>
      <w:r w:rsidR="00805C96">
        <w:rPr>
          <w:rFonts w:ascii="Times New Roman" w:hAnsi="Times New Roman" w:cs="Times New Roman"/>
          <w:sz w:val="24"/>
          <w:szCs w:val="24"/>
        </w:rPr>
        <w:t xml:space="preserve"> attempts of first and</w:t>
      </w:r>
      <w:r w:rsidR="0084703F">
        <w:rPr>
          <w:rFonts w:ascii="Times New Roman" w:hAnsi="Times New Roman" w:cs="Times New Roman"/>
          <w:sz w:val="24"/>
          <w:szCs w:val="24"/>
        </w:rPr>
        <w:t xml:space="preserve"> second math courses</w:t>
      </w:r>
      <w:r>
        <w:rPr>
          <w:rFonts w:ascii="Times New Roman" w:hAnsi="Times New Roman" w:cs="Times New Roman"/>
          <w:sz w:val="24"/>
          <w:szCs w:val="24"/>
        </w:rPr>
        <w:t xml:space="preserve"> (transfer-seeking students only)</w:t>
      </w:r>
    </w:p>
    <w:p w14:paraId="47BE8802" w14:textId="77777777" w:rsidR="00BE21A7" w:rsidRDefault="00BE21A7" w:rsidP="00BE21A7">
      <w:pPr>
        <w:spacing w:after="0" w:line="240" w:lineRule="auto"/>
        <w:rPr>
          <w:rFonts w:ascii="Times New Roman" w:hAnsi="Times New Roman" w:cs="Times New Roman"/>
          <w:sz w:val="24"/>
          <w:szCs w:val="24"/>
        </w:rPr>
      </w:pPr>
    </w:p>
    <w:tbl>
      <w:tblPr>
        <w:tblW w:w="12960" w:type="dxa"/>
        <w:tblLayout w:type="fixed"/>
        <w:tblCellMar>
          <w:left w:w="115" w:type="dxa"/>
          <w:right w:w="115" w:type="dxa"/>
        </w:tblCellMar>
        <w:tblLook w:val="04A0" w:firstRow="1" w:lastRow="0" w:firstColumn="1" w:lastColumn="0" w:noHBand="0" w:noVBand="1"/>
      </w:tblPr>
      <w:tblGrid>
        <w:gridCol w:w="1907"/>
        <w:gridCol w:w="1283"/>
        <w:gridCol w:w="1908"/>
        <w:gridCol w:w="1283"/>
        <w:gridCol w:w="658"/>
        <w:gridCol w:w="658"/>
        <w:gridCol w:w="727"/>
        <w:gridCol w:w="658"/>
        <w:gridCol w:w="658"/>
        <w:gridCol w:w="658"/>
        <w:gridCol w:w="658"/>
        <w:gridCol w:w="588"/>
        <w:gridCol w:w="658"/>
        <w:gridCol w:w="658"/>
      </w:tblGrid>
      <w:tr w:rsidR="00F07A8D" w:rsidRPr="00E6476E" w14:paraId="51020D8E" w14:textId="66096413" w:rsidTr="00C71C3C">
        <w:trPr>
          <w:trHeight w:val="255"/>
        </w:trPr>
        <w:tc>
          <w:tcPr>
            <w:tcW w:w="2160" w:type="dxa"/>
            <w:tcBorders>
              <w:top w:val="single" w:sz="4" w:space="0" w:color="auto"/>
              <w:left w:val="nil"/>
              <w:bottom w:val="single" w:sz="4" w:space="0" w:color="auto"/>
              <w:right w:val="nil"/>
            </w:tcBorders>
            <w:shd w:val="clear" w:color="auto" w:fill="auto"/>
            <w:noWrap/>
            <w:vAlign w:val="bottom"/>
            <w:hideMark/>
          </w:tcPr>
          <w:p w14:paraId="73749070" w14:textId="77777777"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First Math</w:t>
            </w:r>
          </w:p>
        </w:tc>
        <w:tc>
          <w:tcPr>
            <w:tcW w:w="1440" w:type="dxa"/>
            <w:tcBorders>
              <w:top w:val="single" w:sz="4" w:space="0" w:color="auto"/>
              <w:left w:val="nil"/>
              <w:bottom w:val="single" w:sz="4" w:space="0" w:color="auto"/>
              <w:right w:val="nil"/>
            </w:tcBorders>
            <w:shd w:val="clear" w:color="auto" w:fill="auto"/>
            <w:noWrap/>
            <w:vAlign w:val="bottom"/>
            <w:hideMark/>
          </w:tcPr>
          <w:p w14:paraId="59D5FF1D" w14:textId="0F48CB79"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Outcome in</w:t>
            </w:r>
          </w:p>
          <w:p w14:paraId="01A8E111" w14:textId="77777777"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First Math</w:t>
            </w:r>
          </w:p>
        </w:tc>
        <w:tc>
          <w:tcPr>
            <w:tcW w:w="2160" w:type="dxa"/>
            <w:tcBorders>
              <w:top w:val="single" w:sz="4" w:space="0" w:color="auto"/>
              <w:left w:val="nil"/>
              <w:bottom w:val="single" w:sz="4" w:space="0" w:color="auto"/>
              <w:right w:val="nil"/>
            </w:tcBorders>
            <w:shd w:val="clear" w:color="auto" w:fill="auto"/>
            <w:noWrap/>
            <w:vAlign w:val="bottom"/>
            <w:hideMark/>
          </w:tcPr>
          <w:p w14:paraId="46CF015F" w14:textId="77777777"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Second Math</w:t>
            </w:r>
          </w:p>
        </w:tc>
        <w:tc>
          <w:tcPr>
            <w:tcW w:w="1440" w:type="dxa"/>
            <w:tcBorders>
              <w:top w:val="single" w:sz="4" w:space="0" w:color="auto"/>
              <w:left w:val="nil"/>
              <w:bottom w:val="single" w:sz="4" w:space="0" w:color="auto"/>
              <w:right w:val="nil"/>
            </w:tcBorders>
            <w:vAlign w:val="bottom"/>
          </w:tcPr>
          <w:p w14:paraId="3A97324A" w14:textId="027FF992"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Outcome in</w:t>
            </w:r>
          </w:p>
          <w:p w14:paraId="5E42BBD0" w14:textId="0CD1C12E" w:rsidR="00F07A8D" w:rsidRPr="00E6476E" w:rsidRDefault="00F07A8D" w:rsidP="00076125">
            <w:pPr>
              <w:spacing w:after="0" w:line="240" w:lineRule="auto"/>
              <w:jc w:val="center"/>
              <w:rPr>
                <w:rFonts w:ascii="Times New Roman" w:eastAsia="Times New Roman" w:hAnsi="Times New Roman" w:cs="Times New Roman"/>
                <w:i/>
                <w:color w:val="000000" w:themeColor="text1"/>
                <w:sz w:val="16"/>
                <w:szCs w:val="16"/>
              </w:rPr>
            </w:pPr>
            <w:r w:rsidRPr="00E6476E">
              <w:rPr>
                <w:rFonts w:ascii="Times New Roman" w:eastAsia="Times New Roman" w:hAnsi="Times New Roman" w:cs="Times New Roman"/>
                <w:color w:val="000000" w:themeColor="text1"/>
                <w:sz w:val="16"/>
                <w:szCs w:val="16"/>
              </w:rPr>
              <w:t>Second Math</w:t>
            </w:r>
          </w:p>
        </w:tc>
        <w:tc>
          <w:tcPr>
            <w:tcW w:w="720" w:type="dxa"/>
            <w:tcBorders>
              <w:top w:val="single" w:sz="4" w:space="0" w:color="auto"/>
              <w:left w:val="nil"/>
              <w:bottom w:val="single" w:sz="4" w:space="0" w:color="auto"/>
              <w:right w:val="nil"/>
            </w:tcBorders>
            <w:shd w:val="clear" w:color="auto" w:fill="auto"/>
            <w:noWrap/>
            <w:vAlign w:val="bottom"/>
            <w:hideMark/>
          </w:tcPr>
          <w:p w14:paraId="0E747C32" w14:textId="47E2AE3A"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i/>
                <w:color w:val="000000" w:themeColor="text1"/>
                <w:sz w:val="16"/>
                <w:szCs w:val="16"/>
              </w:rPr>
              <w:t>N</w:t>
            </w:r>
          </w:p>
        </w:tc>
        <w:tc>
          <w:tcPr>
            <w:tcW w:w="720" w:type="dxa"/>
            <w:tcBorders>
              <w:top w:val="single" w:sz="4" w:space="0" w:color="auto"/>
              <w:left w:val="nil"/>
              <w:bottom w:val="single" w:sz="4" w:space="0" w:color="auto"/>
              <w:right w:val="nil"/>
            </w:tcBorders>
            <w:shd w:val="clear" w:color="auto" w:fill="auto"/>
            <w:noWrap/>
            <w:vAlign w:val="bottom"/>
            <w:hideMark/>
          </w:tcPr>
          <w:p w14:paraId="25CD5193" w14:textId="64B51635"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No Third Math</w:t>
            </w:r>
          </w:p>
        </w:tc>
        <w:tc>
          <w:tcPr>
            <w:tcW w:w="800" w:type="dxa"/>
            <w:tcBorders>
              <w:top w:val="single" w:sz="4" w:space="0" w:color="auto"/>
              <w:left w:val="nil"/>
              <w:bottom w:val="single" w:sz="4" w:space="0" w:color="auto"/>
              <w:right w:val="nil"/>
            </w:tcBorders>
            <w:vAlign w:val="bottom"/>
          </w:tcPr>
          <w:p w14:paraId="4E577E7D" w14:textId="2F92FA1B" w:rsidR="00F07A8D" w:rsidRPr="00E6476E" w:rsidDel="00862F4F"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Repeat</w:t>
            </w:r>
          </w:p>
        </w:tc>
        <w:tc>
          <w:tcPr>
            <w:tcW w:w="720" w:type="dxa"/>
            <w:tcBorders>
              <w:top w:val="single" w:sz="4" w:space="0" w:color="auto"/>
              <w:left w:val="nil"/>
              <w:bottom w:val="single" w:sz="4" w:space="0" w:color="auto"/>
              <w:right w:val="nil"/>
            </w:tcBorders>
            <w:vAlign w:val="bottom"/>
          </w:tcPr>
          <w:p w14:paraId="03B2999A" w14:textId="3C747043"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Math B70</w:t>
            </w:r>
          </w:p>
        </w:tc>
        <w:tc>
          <w:tcPr>
            <w:tcW w:w="720" w:type="dxa"/>
            <w:tcBorders>
              <w:top w:val="single" w:sz="4" w:space="0" w:color="auto"/>
              <w:left w:val="nil"/>
              <w:bottom w:val="single" w:sz="4" w:space="0" w:color="auto"/>
              <w:right w:val="nil"/>
            </w:tcBorders>
            <w:vAlign w:val="bottom"/>
          </w:tcPr>
          <w:p w14:paraId="11511222" w14:textId="5A03A004"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Math B1A</w:t>
            </w:r>
          </w:p>
        </w:tc>
        <w:tc>
          <w:tcPr>
            <w:tcW w:w="720" w:type="dxa"/>
            <w:tcBorders>
              <w:top w:val="single" w:sz="4" w:space="0" w:color="auto"/>
              <w:left w:val="nil"/>
              <w:bottom w:val="single" w:sz="4" w:space="0" w:color="auto"/>
              <w:right w:val="nil"/>
            </w:tcBorders>
            <w:vAlign w:val="bottom"/>
          </w:tcPr>
          <w:p w14:paraId="6E316509" w14:textId="581EA5F3"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Math B1B</w:t>
            </w:r>
          </w:p>
        </w:tc>
        <w:tc>
          <w:tcPr>
            <w:tcW w:w="720" w:type="dxa"/>
            <w:tcBorders>
              <w:top w:val="single" w:sz="4" w:space="0" w:color="auto"/>
              <w:left w:val="nil"/>
              <w:bottom w:val="single" w:sz="4" w:space="0" w:color="auto"/>
              <w:right w:val="nil"/>
            </w:tcBorders>
            <w:vAlign w:val="bottom"/>
          </w:tcPr>
          <w:p w14:paraId="5DA2DAC9" w14:textId="2AD135B8"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Math B22</w:t>
            </w:r>
          </w:p>
        </w:tc>
        <w:tc>
          <w:tcPr>
            <w:tcW w:w="640" w:type="dxa"/>
            <w:tcBorders>
              <w:top w:val="single" w:sz="4" w:space="0" w:color="auto"/>
              <w:left w:val="nil"/>
              <w:bottom w:val="single" w:sz="4" w:space="0" w:color="auto"/>
              <w:right w:val="nil"/>
            </w:tcBorders>
            <w:vAlign w:val="bottom"/>
          </w:tcPr>
          <w:p w14:paraId="77FDFD6E" w14:textId="11E3B68F"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Psyc B5</w:t>
            </w:r>
          </w:p>
        </w:tc>
        <w:tc>
          <w:tcPr>
            <w:tcW w:w="720" w:type="dxa"/>
            <w:tcBorders>
              <w:top w:val="single" w:sz="4" w:space="0" w:color="auto"/>
              <w:left w:val="nil"/>
              <w:bottom w:val="single" w:sz="4" w:space="0" w:color="auto"/>
              <w:right w:val="nil"/>
            </w:tcBorders>
            <w:vAlign w:val="bottom"/>
          </w:tcPr>
          <w:p w14:paraId="42393B12" w14:textId="386BA291" w:rsidR="00F07A8D" w:rsidRPr="00E6476E" w:rsidRDefault="00F07A8D" w:rsidP="00076125">
            <w:pPr>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Other</w:t>
            </w:r>
          </w:p>
        </w:tc>
        <w:tc>
          <w:tcPr>
            <w:tcW w:w="720" w:type="dxa"/>
            <w:tcBorders>
              <w:top w:val="single" w:sz="4" w:space="0" w:color="auto"/>
              <w:left w:val="nil"/>
              <w:bottom w:val="single" w:sz="4" w:space="0" w:color="auto"/>
              <w:right w:val="nil"/>
            </w:tcBorders>
            <w:vAlign w:val="bottom"/>
          </w:tcPr>
          <w:p w14:paraId="65F06C34" w14:textId="3FB897BE"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Total</w:t>
            </w:r>
          </w:p>
        </w:tc>
      </w:tr>
      <w:tr w:rsidR="00F07A8D" w:rsidRPr="00E6476E" w14:paraId="38249D34" w14:textId="77777777" w:rsidTr="00C71C3C">
        <w:trPr>
          <w:trHeight w:val="255"/>
        </w:trPr>
        <w:tc>
          <w:tcPr>
            <w:tcW w:w="2160" w:type="dxa"/>
            <w:tcBorders>
              <w:top w:val="single" w:sz="4" w:space="0" w:color="auto"/>
              <w:left w:val="nil"/>
              <w:right w:val="nil"/>
            </w:tcBorders>
            <w:shd w:val="clear" w:color="auto" w:fill="auto"/>
            <w:noWrap/>
            <w:vAlign w:val="bottom"/>
          </w:tcPr>
          <w:p w14:paraId="1AC589B4" w14:textId="77777777"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p>
        </w:tc>
        <w:tc>
          <w:tcPr>
            <w:tcW w:w="1440" w:type="dxa"/>
            <w:tcBorders>
              <w:top w:val="single" w:sz="4" w:space="0" w:color="auto"/>
              <w:left w:val="nil"/>
              <w:right w:val="nil"/>
            </w:tcBorders>
            <w:shd w:val="clear" w:color="auto" w:fill="auto"/>
            <w:noWrap/>
            <w:vAlign w:val="bottom"/>
          </w:tcPr>
          <w:p w14:paraId="27407C22" w14:textId="77777777"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p>
        </w:tc>
        <w:tc>
          <w:tcPr>
            <w:tcW w:w="2160" w:type="dxa"/>
            <w:tcBorders>
              <w:top w:val="single" w:sz="4" w:space="0" w:color="auto"/>
              <w:left w:val="nil"/>
              <w:right w:val="nil"/>
            </w:tcBorders>
            <w:shd w:val="clear" w:color="auto" w:fill="auto"/>
            <w:noWrap/>
            <w:vAlign w:val="bottom"/>
          </w:tcPr>
          <w:p w14:paraId="6FE6F19A" w14:textId="77777777"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p>
        </w:tc>
        <w:tc>
          <w:tcPr>
            <w:tcW w:w="1440" w:type="dxa"/>
            <w:tcBorders>
              <w:top w:val="single" w:sz="4" w:space="0" w:color="auto"/>
              <w:left w:val="nil"/>
              <w:right w:val="nil"/>
            </w:tcBorders>
            <w:vAlign w:val="bottom"/>
          </w:tcPr>
          <w:p w14:paraId="09CF8534" w14:textId="77777777" w:rsidR="00F07A8D" w:rsidRPr="00E6476E" w:rsidRDefault="00F07A8D" w:rsidP="00076125">
            <w:pPr>
              <w:tabs>
                <w:tab w:val="decimal" w:pos="367"/>
              </w:tabs>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single" w:sz="4" w:space="0" w:color="auto"/>
              <w:left w:val="nil"/>
              <w:right w:val="nil"/>
            </w:tcBorders>
            <w:shd w:val="clear" w:color="auto" w:fill="auto"/>
            <w:noWrap/>
            <w:vAlign w:val="bottom"/>
          </w:tcPr>
          <w:p w14:paraId="7935D0DD" w14:textId="77777777" w:rsidR="00F07A8D" w:rsidRPr="00E6476E" w:rsidRDefault="00F07A8D" w:rsidP="00076125">
            <w:pPr>
              <w:tabs>
                <w:tab w:val="decimal" w:pos="367"/>
              </w:tabs>
              <w:spacing w:after="0" w:line="240" w:lineRule="auto"/>
              <w:jc w:val="center"/>
              <w:rPr>
                <w:rFonts w:ascii="Times New Roman" w:hAnsi="Times New Roman" w:cs="Times New Roman"/>
                <w:color w:val="000000" w:themeColor="text1"/>
                <w:sz w:val="16"/>
                <w:szCs w:val="16"/>
              </w:rPr>
            </w:pPr>
          </w:p>
        </w:tc>
        <w:tc>
          <w:tcPr>
            <w:tcW w:w="720" w:type="dxa"/>
            <w:tcBorders>
              <w:top w:val="single" w:sz="4" w:space="0" w:color="auto"/>
              <w:left w:val="nil"/>
              <w:right w:val="nil"/>
            </w:tcBorders>
            <w:shd w:val="clear" w:color="auto" w:fill="auto"/>
            <w:noWrap/>
            <w:vAlign w:val="bottom"/>
          </w:tcPr>
          <w:p w14:paraId="209A983C"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800" w:type="dxa"/>
            <w:tcBorders>
              <w:top w:val="single" w:sz="4" w:space="0" w:color="auto"/>
              <w:left w:val="nil"/>
              <w:right w:val="nil"/>
            </w:tcBorders>
            <w:vAlign w:val="bottom"/>
          </w:tcPr>
          <w:p w14:paraId="65CF09A4"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single" w:sz="4" w:space="0" w:color="auto"/>
              <w:left w:val="nil"/>
              <w:right w:val="nil"/>
            </w:tcBorders>
            <w:vAlign w:val="bottom"/>
          </w:tcPr>
          <w:p w14:paraId="078F139B"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single" w:sz="4" w:space="0" w:color="auto"/>
              <w:left w:val="nil"/>
              <w:right w:val="nil"/>
            </w:tcBorders>
            <w:vAlign w:val="bottom"/>
          </w:tcPr>
          <w:p w14:paraId="16EFD191"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single" w:sz="4" w:space="0" w:color="auto"/>
              <w:left w:val="nil"/>
              <w:right w:val="nil"/>
            </w:tcBorders>
            <w:vAlign w:val="bottom"/>
          </w:tcPr>
          <w:p w14:paraId="09475A42"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single" w:sz="4" w:space="0" w:color="auto"/>
              <w:left w:val="nil"/>
              <w:right w:val="nil"/>
            </w:tcBorders>
            <w:vAlign w:val="bottom"/>
          </w:tcPr>
          <w:p w14:paraId="115E3A65"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640" w:type="dxa"/>
            <w:tcBorders>
              <w:top w:val="single" w:sz="4" w:space="0" w:color="auto"/>
              <w:left w:val="nil"/>
              <w:right w:val="nil"/>
            </w:tcBorders>
            <w:vAlign w:val="bottom"/>
          </w:tcPr>
          <w:p w14:paraId="1159B8EF"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single" w:sz="4" w:space="0" w:color="auto"/>
              <w:left w:val="nil"/>
              <w:right w:val="nil"/>
            </w:tcBorders>
            <w:vAlign w:val="bottom"/>
          </w:tcPr>
          <w:p w14:paraId="3A18521C"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single" w:sz="4" w:space="0" w:color="auto"/>
              <w:left w:val="nil"/>
              <w:right w:val="nil"/>
            </w:tcBorders>
            <w:vAlign w:val="bottom"/>
          </w:tcPr>
          <w:p w14:paraId="5212D93B"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r>
      <w:tr w:rsidR="00280860" w:rsidRPr="00E6476E" w14:paraId="275D4437" w14:textId="537401D9" w:rsidTr="00C71C3C">
        <w:trPr>
          <w:trHeight w:val="255"/>
        </w:trPr>
        <w:tc>
          <w:tcPr>
            <w:tcW w:w="2160" w:type="dxa"/>
            <w:tcBorders>
              <w:left w:val="nil"/>
              <w:bottom w:val="nil"/>
              <w:right w:val="nil"/>
            </w:tcBorders>
            <w:shd w:val="clear" w:color="auto" w:fill="auto"/>
            <w:noWrap/>
            <w:vAlign w:val="bottom"/>
            <w:hideMark/>
          </w:tcPr>
          <w:p w14:paraId="56CEE5BD"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ACDV B72</w:t>
            </w:r>
          </w:p>
        </w:tc>
        <w:tc>
          <w:tcPr>
            <w:tcW w:w="1440" w:type="dxa"/>
            <w:tcBorders>
              <w:left w:val="nil"/>
              <w:bottom w:val="nil"/>
              <w:right w:val="nil"/>
            </w:tcBorders>
            <w:shd w:val="clear" w:color="auto" w:fill="auto"/>
            <w:noWrap/>
            <w:vAlign w:val="bottom"/>
            <w:hideMark/>
          </w:tcPr>
          <w:p w14:paraId="5A5065BD"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left w:val="nil"/>
              <w:bottom w:val="nil"/>
              <w:right w:val="nil"/>
            </w:tcBorders>
            <w:shd w:val="clear" w:color="auto" w:fill="auto"/>
            <w:noWrap/>
            <w:vAlign w:val="bottom"/>
            <w:hideMark/>
          </w:tcPr>
          <w:p w14:paraId="595BFAF2"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B60</w:t>
            </w:r>
          </w:p>
        </w:tc>
        <w:tc>
          <w:tcPr>
            <w:tcW w:w="1440" w:type="dxa"/>
            <w:tcBorders>
              <w:left w:val="nil"/>
              <w:bottom w:val="nil"/>
              <w:right w:val="nil"/>
            </w:tcBorders>
            <w:vAlign w:val="bottom"/>
          </w:tcPr>
          <w:p w14:paraId="50CCE840" w14:textId="477592CA"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left w:val="nil"/>
              <w:bottom w:val="nil"/>
              <w:right w:val="nil"/>
            </w:tcBorders>
            <w:shd w:val="clear" w:color="auto" w:fill="auto"/>
            <w:noWrap/>
            <w:vAlign w:val="bottom"/>
            <w:hideMark/>
          </w:tcPr>
          <w:p w14:paraId="38B6F659" w14:textId="3605159F"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98</w:t>
            </w:r>
          </w:p>
        </w:tc>
        <w:tc>
          <w:tcPr>
            <w:tcW w:w="720" w:type="dxa"/>
            <w:tcBorders>
              <w:left w:val="nil"/>
              <w:bottom w:val="nil"/>
              <w:right w:val="nil"/>
            </w:tcBorders>
            <w:shd w:val="clear" w:color="auto" w:fill="auto"/>
            <w:noWrap/>
            <w:vAlign w:val="bottom"/>
            <w:hideMark/>
          </w:tcPr>
          <w:p w14:paraId="5E158567" w14:textId="585FEC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26%</w:t>
            </w:r>
          </w:p>
        </w:tc>
        <w:tc>
          <w:tcPr>
            <w:tcW w:w="800" w:type="dxa"/>
            <w:tcBorders>
              <w:left w:val="nil"/>
              <w:bottom w:val="nil"/>
              <w:right w:val="nil"/>
            </w:tcBorders>
            <w:vAlign w:val="bottom"/>
          </w:tcPr>
          <w:p w14:paraId="406B8EAF" w14:textId="77A00BC9"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left w:val="nil"/>
              <w:bottom w:val="nil"/>
              <w:right w:val="nil"/>
            </w:tcBorders>
            <w:vAlign w:val="bottom"/>
          </w:tcPr>
          <w:p w14:paraId="0EA2EC81" w14:textId="66C0C805"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72%</w:t>
            </w:r>
          </w:p>
        </w:tc>
        <w:tc>
          <w:tcPr>
            <w:tcW w:w="720" w:type="dxa"/>
            <w:tcBorders>
              <w:left w:val="nil"/>
              <w:bottom w:val="nil"/>
              <w:right w:val="nil"/>
            </w:tcBorders>
            <w:vAlign w:val="bottom"/>
          </w:tcPr>
          <w:p w14:paraId="2477BE72" w14:textId="2F2780CE"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left w:val="nil"/>
              <w:bottom w:val="nil"/>
              <w:right w:val="nil"/>
            </w:tcBorders>
            <w:vAlign w:val="bottom"/>
          </w:tcPr>
          <w:p w14:paraId="20D1E260" w14:textId="24D0EE0F"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left w:val="nil"/>
              <w:bottom w:val="nil"/>
              <w:right w:val="nil"/>
            </w:tcBorders>
            <w:vAlign w:val="bottom"/>
          </w:tcPr>
          <w:p w14:paraId="443A5F9F" w14:textId="64647A13"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640" w:type="dxa"/>
            <w:tcBorders>
              <w:left w:val="nil"/>
              <w:bottom w:val="nil"/>
              <w:right w:val="nil"/>
            </w:tcBorders>
            <w:vAlign w:val="bottom"/>
          </w:tcPr>
          <w:p w14:paraId="2EE630E0" w14:textId="4D38A7EF"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left w:val="nil"/>
              <w:bottom w:val="nil"/>
              <w:right w:val="nil"/>
            </w:tcBorders>
            <w:vAlign w:val="bottom"/>
          </w:tcPr>
          <w:p w14:paraId="042FB399" w14:textId="4354A6B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2%</w:t>
            </w:r>
          </w:p>
        </w:tc>
        <w:tc>
          <w:tcPr>
            <w:tcW w:w="720" w:type="dxa"/>
            <w:tcBorders>
              <w:left w:val="nil"/>
              <w:bottom w:val="nil"/>
              <w:right w:val="nil"/>
            </w:tcBorders>
            <w:vAlign w:val="bottom"/>
          </w:tcPr>
          <w:p w14:paraId="4FEDDD76" w14:textId="151F3971"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3509A406" w14:textId="6377F574" w:rsidTr="00C71C3C">
        <w:trPr>
          <w:trHeight w:val="255"/>
        </w:trPr>
        <w:tc>
          <w:tcPr>
            <w:tcW w:w="2160" w:type="dxa"/>
            <w:tcBorders>
              <w:top w:val="nil"/>
              <w:left w:val="nil"/>
              <w:bottom w:val="nil"/>
              <w:right w:val="nil"/>
            </w:tcBorders>
            <w:shd w:val="clear" w:color="auto" w:fill="auto"/>
            <w:noWrap/>
            <w:vAlign w:val="bottom"/>
            <w:hideMark/>
          </w:tcPr>
          <w:p w14:paraId="0DBEE060"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B60</w:t>
            </w:r>
          </w:p>
        </w:tc>
        <w:tc>
          <w:tcPr>
            <w:tcW w:w="1440" w:type="dxa"/>
            <w:tcBorders>
              <w:top w:val="nil"/>
              <w:left w:val="nil"/>
              <w:bottom w:val="nil"/>
              <w:right w:val="nil"/>
            </w:tcBorders>
            <w:shd w:val="clear" w:color="auto" w:fill="auto"/>
            <w:noWrap/>
            <w:vAlign w:val="bottom"/>
            <w:hideMark/>
          </w:tcPr>
          <w:p w14:paraId="6EB279CB"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hideMark/>
          </w:tcPr>
          <w:p w14:paraId="4FF7666B"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vAlign w:val="bottom"/>
          </w:tcPr>
          <w:p w14:paraId="509F247F" w14:textId="37C951FD"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top w:val="nil"/>
              <w:left w:val="nil"/>
              <w:bottom w:val="nil"/>
              <w:right w:val="nil"/>
            </w:tcBorders>
            <w:shd w:val="clear" w:color="auto" w:fill="auto"/>
            <w:noWrap/>
            <w:vAlign w:val="bottom"/>
            <w:hideMark/>
          </w:tcPr>
          <w:p w14:paraId="6120F282" w14:textId="3C5E95BE"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265</w:t>
            </w:r>
          </w:p>
        </w:tc>
        <w:tc>
          <w:tcPr>
            <w:tcW w:w="720" w:type="dxa"/>
            <w:tcBorders>
              <w:top w:val="nil"/>
              <w:left w:val="nil"/>
              <w:bottom w:val="nil"/>
              <w:right w:val="nil"/>
            </w:tcBorders>
            <w:shd w:val="clear" w:color="auto" w:fill="auto"/>
            <w:noWrap/>
            <w:vAlign w:val="bottom"/>
            <w:hideMark/>
          </w:tcPr>
          <w:p w14:paraId="480444AF" w14:textId="4EE03F00"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39%</w:t>
            </w:r>
          </w:p>
        </w:tc>
        <w:tc>
          <w:tcPr>
            <w:tcW w:w="800" w:type="dxa"/>
            <w:tcBorders>
              <w:top w:val="nil"/>
              <w:left w:val="nil"/>
              <w:bottom w:val="nil"/>
              <w:right w:val="nil"/>
            </w:tcBorders>
            <w:vAlign w:val="bottom"/>
          </w:tcPr>
          <w:p w14:paraId="49516FB9" w14:textId="2A01A3C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02057DFD" w14:textId="4D2280D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0C103CFC" w14:textId="37169B46"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21%</w:t>
            </w:r>
          </w:p>
        </w:tc>
        <w:tc>
          <w:tcPr>
            <w:tcW w:w="720" w:type="dxa"/>
            <w:tcBorders>
              <w:top w:val="nil"/>
              <w:left w:val="nil"/>
              <w:bottom w:val="nil"/>
              <w:right w:val="nil"/>
            </w:tcBorders>
            <w:vAlign w:val="bottom"/>
          </w:tcPr>
          <w:p w14:paraId="66003ADA" w14:textId="7BD362F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74460EF0" w14:textId="4D8D3DAD"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22%</w:t>
            </w:r>
          </w:p>
        </w:tc>
        <w:tc>
          <w:tcPr>
            <w:tcW w:w="640" w:type="dxa"/>
            <w:tcBorders>
              <w:top w:val="nil"/>
              <w:left w:val="nil"/>
              <w:bottom w:val="nil"/>
              <w:right w:val="nil"/>
            </w:tcBorders>
            <w:vAlign w:val="bottom"/>
          </w:tcPr>
          <w:p w14:paraId="31DEBCF3" w14:textId="67C576A4"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15%</w:t>
            </w:r>
          </w:p>
        </w:tc>
        <w:tc>
          <w:tcPr>
            <w:tcW w:w="720" w:type="dxa"/>
            <w:tcBorders>
              <w:top w:val="nil"/>
              <w:left w:val="nil"/>
              <w:bottom w:val="nil"/>
              <w:right w:val="nil"/>
            </w:tcBorders>
            <w:vAlign w:val="bottom"/>
          </w:tcPr>
          <w:p w14:paraId="13541B74" w14:textId="54443FEF"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3%</w:t>
            </w:r>
          </w:p>
        </w:tc>
        <w:tc>
          <w:tcPr>
            <w:tcW w:w="720" w:type="dxa"/>
            <w:tcBorders>
              <w:top w:val="nil"/>
              <w:left w:val="nil"/>
              <w:bottom w:val="nil"/>
              <w:right w:val="nil"/>
            </w:tcBorders>
            <w:vAlign w:val="bottom"/>
          </w:tcPr>
          <w:p w14:paraId="49038481" w14:textId="61541360"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2A831FA2" w14:textId="26FF149E" w:rsidTr="00C71C3C">
        <w:trPr>
          <w:trHeight w:val="255"/>
        </w:trPr>
        <w:tc>
          <w:tcPr>
            <w:tcW w:w="2160" w:type="dxa"/>
            <w:tcBorders>
              <w:top w:val="nil"/>
              <w:left w:val="nil"/>
              <w:bottom w:val="nil"/>
              <w:right w:val="nil"/>
            </w:tcBorders>
            <w:shd w:val="clear" w:color="auto" w:fill="auto"/>
            <w:noWrap/>
            <w:vAlign w:val="bottom"/>
            <w:hideMark/>
          </w:tcPr>
          <w:p w14:paraId="4DE63E24"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B65</w:t>
            </w:r>
          </w:p>
        </w:tc>
        <w:tc>
          <w:tcPr>
            <w:tcW w:w="1440" w:type="dxa"/>
            <w:tcBorders>
              <w:top w:val="nil"/>
              <w:left w:val="nil"/>
              <w:bottom w:val="nil"/>
              <w:right w:val="nil"/>
            </w:tcBorders>
            <w:shd w:val="clear" w:color="auto" w:fill="auto"/>
            <w:noWrap/>
            <w:vAlign w:val="bottom"/>
            <w:hideMark/>
          </w:tcPr>
          <w:p w14:paraId="14EABB41"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hideMark/>
          </w:tcPr>
          <w:p w14:paraId="0C1E6DBB"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B22</w:t>
            </w:r>
          </w:p>
        </w:tc>
        <w:tc>
          <w:tcPr>
            <w:tcW w:w="1440" w:type="dxa"/>
            <w:tcBorders>
              <w:top w:val="nil"/>
              <w:left w:val="nil"/>
              <w:bottom w:val="nil"/>
              <w:right w:val="nil"/>
            </w:tcBorders>
            <w:vAlign w:val="bottom"/>
          </w:tcPr>
          <w:p w14:paraId="581EA4B5" w14:textId="415B389E"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top w:val="nil"/>
              <w:left w:val="nil"/>
              <w:bottom w:val="nil"/>
              <w:right w:val="nil"/>
            </w:tcBorders>
            <w:shd w:val="clear" w:color="auto" w:fill="auto"/>
            <w:noWrap/>
            <w:vAlign w:val="bottom"/>
            <w:hideMark/>
          </w:tcPr>
          <w:p w14:paraId="06644C7E" w14:textId="7ED4CBA5"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8</w:t>
            </w:r>
          </w:p>
        </w:tc>
        <w:tc>
          <w:tcPr>
            <w:tcW w:w="720" w:type="dxa"/>
            <w:tcBorders>
              <w:top w:val="nil"/>
              <w:left w:val="nil"/>
              <w:bottom w:val="nil"/>
              <w:right w:val="nil"/>
            </w:tcBorders>
            <w:shd w:val="clear" w:color="auto" w:fill="auto"/>
            <w:noWrap/>
            <w:vAlign w:val="bottom"/>
            <w:hideMark/>
          </w:tcPr>
          <w:p w14:paraId="50D74208" w14:textId="5423DB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100%</w:t>
            </w:r>
          </w:p>
        </w:tc>
        <w:tc>
          <w:tcPr>
            <w:tcW w:w="800" w:type="dxa"/>
            <w:tcBorders>
              <w:top w:val="nil"/>
              <w:left w:val="nil"/>
              <w:bottom w:val="nil"/>
              <w:right w:val="nil"/>
            </w:tcBorders>
            <w:vAlign w:val="bottom"/>
          </w:tcPr>
          <w:p w14:paraId="7D258730" w14:textId="1BF5CFD5"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4545A180" w14:textId="464A54D6"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22C6BD61" w14:textId="64571A89"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3D5BECC2" w14:textId="6C2520F5"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35B5A959" w14:textId="0A3A95E0"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640" w:type="dxa"/>
            <w:tcBorders>
              <w:top w:val="nil"/>
              <w:left w:val="nil"/>
              <w:bottom w:val="nil"/>
              <w:right w:val="nil"/>
            </w:tcBorders>
            <w:vAlign w:val="bottom"/>
          </w:tcPr>
          <w:p w14:paraId="0A96A300" w14:textId="49A469EE"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57FFBDDC" w14:textId="3BA38CD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4FF7E647" w14:textId="293E324F"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15970B93" w14:textId="744A233B" w:rsidTr="00C71C3C">
        <w:trPr>
          <w:trHeight w:val="255"/>
        </w:trPr>
        <w:tc>
          <w:tcPr>
            <w:tcW w:w="2160" w:type="dxa"/>
            <w:tcBorders>
              <w:top w:val="nil"/>
              <w:left w:val="nil"/>
              <w:bottom w:val="nil"/>
              <w:right w:val="nil"/>
            </w:tcBorders>
            <w:shd w:val="clear" w:color="auto" w:fill="auto"/>
            <w:noWrap/>
            <w:vAlign w:val="bottom"/>
            <w:hideMark/>
          </w:tcPr>
          <w:p w14:paraId="03615F59"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B65</w:t>
            </w:r>
          </w:p>
        </w:tc>
        <w:tc>
          <w:tcPr>
            <w:tcW w:w="1440" w:type="dxa"/>
            <w:tcBorders>
              <w:top w:val="nil"/>
              <w:left w:val="nil"/>
              <w:bottom w:val="nil"/>
              <w:right w:val="nil"/>
            </w:tcBorders>
            <w:shd w:val="clear" w:color="auto" w:fill="auto"/>
            <w:noWrap/>
            <w:vAlign w:val="bottom"/>
            <w:hideMark/>
          </w:tcPr>
          <w:p w14:paraId="49939679"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hideMark/>
          </w:tcPr>
          <w:p w14:paraId="3E008230"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Psyc B5</w:t>
            </w:r>
          </w:p>
        </w:tc>
        <w:tc>
          <w:tcPr>
            <w:tcW w:w="1440" w:type="dxa"/>
            <w:tcBorders>
              <w:top w:val="nil"/>
              <w:left w:val="nil"/>
              <w:bottom w:val="nil"/>
              <w:right w:val="nil"/>
            </w:tcBorders>
            <w:vAlign w:val="bottom"/>
          </w:tcPr>
          <w:p w14:paraId="12D5F0FD" w14:textId="6397D9D7"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top w:val="nil"/>
              <w:left w:val="nil"/>
              <w:bottom w:val="nil"/>
              <w:right w:val="nil"/>
            </w:tcBorders>
            <w:shd w:val="clear" w:color="auto" w:fill="auto"/>
            <w:noWrap/>
            <w:vAlign w:val="bottom"/>
            <w:hideMark/>
          </w:tcPr>
          <w:p w14:paraId="348F4A4C" w14:textId="3658068D"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15</w:t>
            </w:r>
          </w:p>
        </w:tc>
        <w:tc>
          <w:tcPr>
            <w:tcW w:w="720" w:type="dxa"/>
            <w:tcBorders>
              <w:top w:val="nil"/>
              <w:left w:val="nil"/>
              <w:bottom w:val="nil"/>
              <w:right w:val="nil"/>
            </w:tcBorders>
            <w:shd w:val="clear" w:color="auto" w:fill="auto"/>
            <w:noWrap/>
            <w:vAlign w:val="bottom"/>
            <w:hideMark/>
          </w:tcPr>
          <w:p w14:paraId="78221DCC" w14:textId="75211AE0"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100%</w:t>
            </w:r>
          </w:p>
        </w:tc>
        <w:tc>
          <w:tcPr>
            <w:tcW w:w="800" w:type="dxa"/>
            <w:tcBorders>
              <w:top w:val="nil"/>
              <w:left w:val="nil"/>
              <w:bottom w:val="nil"/>
              <w:right w:val="nil"/>
            </w:tcBorders>
            <w:vAlign w:val="bottom"/>
          </w:tcPr>
          <w:p w14:paraId="1E484F55" w14:textId="4032E87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42AABDD3" w14:textId="4B07A121"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5B368EC9" w14:textId="3C4139FA"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571094B4" w14:textId="6F9E0CD3"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38231EE3" w14:textId="5F2F3C4A"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640" w:type="dxa"/>
            <w:tcBorders>
              <w:top w:val="nil"/>
              <w:left w:val="nil"/>
              <w:bottom w:val="nil"/>
              <w:right w:val="nil"/>
            </w:tcBorders>
            <w:vAlign w:val="bottom"/>
          </w:tcPr>
          <w:p w14:paraId="32259582" w14:textId="5FB1B8D1"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334B83F1" w14:textId="2B6BC02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66E56714" w14:textId="35D0CAA3"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C71C3C" w:rsidRPr="00E6476E" w14:paraId="7E07CF68" w14:textId="09B055B7" w:rsidTr="00C71C3C">
        <w:trPr>
          <w:trHeight w:val="255"/>
        </w:trPr>
        <w:tc>
          <w:tcPr>
            <w:tcW w:w="2160" w:type="dxa"/>
            <w:tcBorders>
              <w:top w:val="nil"/>
              <w:left w:val="nil"/>
              <w:bottom w:val="nil"/>
              <w:right w:val="nil"/>
            </w:tcBorders>
            <w:shd w:val="clear" w:color="auto" w:fill="auto"/>
            <w:noWrap/>
            <w:vAlign w:val="bottom"/>
            <w:hideMark/>
          </w:tcPr>
          <w:p w14:paraId="5EA3CC62" w14:textId="24EED0D8" w:rsidR="00C71C3C" w:rsidRPr="00E6476E" w:rsidRDefault="00C71C3C" w:rsidP="00C71C3C">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LRNC B530</w:t>
            </w:r>
            <w:r w:rsidR="00805C96" w:rsidRPr="00E6476E">
              <w:rPr>
                <w:rFonts w:ascii="Times New Roman" w:eastAsia="Times New Roman" w:hAnsi="Times New Roman" w:cs="Times New Roman"/>
                <w:color w:val="000000" w:themeColor="text1"/>
                <w:sz w:val="16"/>
                <w:szCs w:val="16"/>
              </w:rPr>
              <w:t xml:space="preserve"> (Math B6</w:t>
            </w:r>
            <w:r w:rsidRPr="00E6476E">
              <w:rPr>
                <w:rFonts w:ascii="Times New Roman" w:eastAsia="Times New Roman" w:hAnsi="Times New Roman" w:cs="Times New Roman"/>
                <w:color w:val="000000" w:themeColor="text1"/>
                <w:sz w:val="16"/>
                <w:szCs w:val="16"/>
              </w:rPr>
              <w:t>0)</w:t>
            </w:r>
          </w:p>
        </w:tc>
        <w:tc>
          <w:tcPr>
            <w:tcW w:w="1440" w:type="dxa"/>
            <w:tcBorders>
              <w:top w:val="nil"/>
              <w:left w:val="nil"/>
              <w:bottom w:val="nil"/>
              <w:right w:val="nil"/>
            </w:tcBorders>
            <w:shd w:val="clear" w:color="auto" w:fill="auto"/>
            <w:noWrap/>
            <w:vAlign w:val="bottom"/>
            <w:hideMark/>
          </w:tcPr>
          <w:p w14:paraId="4CE4BE77" w14:textId="77777777" w:rsidR="00C71C3C" w:rsidRPr="00E6476E" w:rsidRDefault="00C71C3C" w:rsidP="00C71C3C">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hideMark/>
          </w:tcPr>
          <w:p w14:paraId="7E6BC686" w14:textId="731FE66F" w:rsidR="00C71C3C" w:rsidRPr="00E6476E" w:rsidRDefault="00C71C3C" w:rsidP="00786E63">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LRNC B530 (Math B</w:t>
            </w:r>
            <w:r w:rsidR="00786E63" w:rsidRPr="00E6476E">
              <w:rPr>
                <w:rFonts w:ascii="Times New Roman" w:eastAsia="Times New Roman" w:hAnsi="Times New Roman" w:cs="Times New Roman"/>
                <w:color w:val="000000" w:themeColor="text1"/>
                <w:sz w:val="16"/>
                <w:szCs w:val="16"/>
              </w:rPr>
              <w:t>70</w:t>
            </w:r>
            <w:r w:rsidRPr="00E6476E">
              <w:rPr>
                <w:rFonts w:ascii="Times New Roman" w:eastAsia="Times New Roman" w:hAnsi="Times New Roman" w:cs="Times New Roman"/>
                <w:color w:val="000000" w:themeColor="text1"/>
                <w:sz w:val="16"/>
                <w:szCs w:val="16"/>
              </w:rPr>
              <w:t>)</w:t>
            </w:r>
          </w:p>
        </w:tc>
        <w:tc>
          <w:tcPr>
            <w:tcW w:w="1440" w:type="dxa"/>
            <w:tcBorders>
              <w:top w:val="nil"/>
              <w:left w:val="nil"/>
              <w:bottom w:val="nil"/>
              <w:right w:val="nil"/>
            </w:tcBorders>
            <w:vAlign w:val="bottom"/>
          </w:tcPr>
          <w:p w14:paraId="4D51F0FD" w14:textId="538D0225" w:rsidR="00C71C3C" w:rsidRPr="00E6476E" w:rsidRDefault="00C71C3C" w:rsidP="00C71C3C">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top w:val="nil"/>
              <w:left w:val="nil"/>
              <w:bottom w:val="nil"/>
              <w:right w:val="nil"/>
            </w:tcBorders>
            <w:shd w:val="clear" w:color="auto" w:fill="auto"/>
            <w:noWrap/>
            <w:vAlign w:val="bottom"/>
            <w:hideMark/>
          </w:tcPr>
          <w:p w14:paraId="07AC0715" w14:textId="20571D77" w:rsidR="00C71C3C" w:rsidRPr="00E6476E" w:rsidRDefault="00C71C3C" w:rsidP="00C71C3C">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25</w:t>
            </w:r>
          </w:p>
        </w:tc>
        <w:tc>
          <w:tcPr>
            <w:tcW w:w="720" w:type="dxa"/>
            <w:tcBorders>
              <w:top w:val="nil"/>
              <w:left w:val="nil"/>
              <w:bottom w:val="nil"/>
              <w:right w:val="nil"/>
            </w:tcBorders>
            <w:shd w:val="clear" w:color="auto" w:fill="auto"/>
            <w:noWrap/>
            <w:vAlign w:val="bottom"/>
            <w:hideMark/>
          </w:tcPr>
          <w:p w14:paraId="6D98629B" w14:textId="2FE02C3E" w:rsidR="00C71C3C" w:rsidRPr="00E6476E" w:rsidRDefault="00C71C3C" w:rsidP="00C71C3C">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16%</w:t>
            </w:r>
          </w:p>
        </w:tc>
        <w:tc>
          <w:tcPr>
            <w:tcW w:w="800" w:type="dxa"/>
            <w:tcBorders>
              <w:top w:val="nil"/>
              <w:left w:val="nil"/>
              <w:bottom w:val="nil"/>
              <w:right w:val="nil"/>
            </w:tcBorders>
            <w:vAlign w:val="bottom"/>
          </w:tcPr>
          <w:p w14:paraId="549845A7" w14:textId="7C0DA92C" w:rsidR="00C71C3C" w:rsidRPr="00E6476E" w:rsidRDefault="00C71C3C" w:rsidP="00C71C3C">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197518F7" w14:textId="386A9CAE" w:rsidR="00C71C3C" w:rsidRPr="00E6476E" w:rsidRDefault="00C71C3C" w:rsidP="00C71C3C">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4CD51317" w14:textId="21199DBD" w:rsidR="00C71C3C" w:rsidRPr="00E6476E" w:rsidRDefault="00C71C3C" w:rsidP="00C71C3C">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254A2961" w14:textId="19E537C0" w:rsidR="00C71C3C" w:rsidRPr="00E6476E" w:rsidRDefault="00C71C3C" w:rsidP="00C71C3C">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540507E9" w14:textId="3A871189" w:rsidR="00C71C3C" w:rsidRPr="00E6476E" w:rsidRDefault="00C71C3C" w:rsidP="00C71C3C">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640" w:type="dxa"/>
            <w:tcBorders>
              <w:top w:val="nil"/>
              <w:left w:val="nil"/>
              <w:bottom w:val="nil"/>
              <w:right w:val="nil"/>
            </w:tcBorders>
            <w:vAlign w:val="bottom"/>
          </w:tcPr>
          <w:p w14:paraId="292247C8" w14:textId="41A631FD" w:rsidR="00C71C3C" w:rsidRPr="00E6476E" w:rsidRDefault="00C71C3C" w:rsidP="00C71C3C">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01237FF0" w14:textId="4FC9035B" w:rsidR="00C71C3C" w:rsidRPr="00E6476E" w:rsidRDefault="00C71C3C" w:rsidP="00C71C3C">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84%</w:t>
            </w:r>
          </w:p>
        </w:tc>
        <w:tc>
          <w:tcPr>
            <w:tcW w:w="720" w:type="dxa"/>
            <w:tcBorders>
              <w:top w:val="nil"/>
              <w:left w:val="nil"/>
              <w:bottom w:val="nil"/>
              <w:right w:val="nil"/>
            </w:tcBorders>
            <w:vAlign w:val="bottom"/>
          </w:tcPr>
          <w:p w14:paraId="23287975" w14:textId="19FB295E" w:rsidR="00C71C3C" w:rsidRPr="00E6476E" w:rsidRDefault="00C71C3C" w:rsidP="00C71C3C">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6CD94931" w14:textId="62C84103" w:rsidTr="00C71C3C">
        <w:trPr>
          <w:trHeight w:val="255"/>
        </w:trPr>
        <w:tc>
          <w:tcPr>
            <w:tcW w:w="2160" w:type="dxa"/>
            <w:tcBorders>
              <w:top w:val="nil"/>
              <w:left w:val="nil"/>
              <w:bottom w:val="nil"/>
              <w:right w:val="nil"/>
            </w:tcBorders>
            <w:shd w:val="clear" w:color="auto" w:fill="auto"/>
            <w:noWrap/>
            <w:vAlign w:val="bottom"/>
            <w:hideMark/>
          </w:tcPr>
          <w:p w14:paraId="0CACC3D1"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shd w:val="clear" w:color="auto" w:fill="auto"/>
            <w:noWrap/>
            <w:vAlign w:val="bottom"/>
            <w:hideMark/>
          </w:tcPr>
          <w:p w14:paraId="5AE0E64A"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hideMark/>
          </w:tcPr>
          <w:p w14:paraId="00EF9C06"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B1A</w:t>
            </w:r>
          </w:p>
        </w:tc>
        <w:tc>
          <w:tcPr>
            <w:tcW w:w="1440" w:type="dxa"/>
            <w:tcBorders>
              <w:top w:val="nil"/>
              <w:left w:val="nil"/>
              <w:bottom w:val="nil"/>
              <w:right w:val="nil"/>
            </w:tcBorders>
            <w:vAlign w:val="bottom"/>
          </w:tcPr>
          <w:p w14:paraId="49037F11" w14:textId="639814A4"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top w:val="nil"/>
              <w:left w:val="nil"/>
              <w:bottom w:val="nil"/>
              <w:right w:val="nil"/>
            </w:tcBorders>
            <w:shd w:val="clear" w:color="auto" w:fill="auto"/>
            <w:noWrap/>
            <w:vAlign w:val="bottom"/>
            <w:hideMark/>
          </w:tcPr>
          <w:p w14:paraId="03413E51" w14:textId="576EA535"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63</w:t>
            </w:r>
          </w:p>
        </w:tc>
        <w:tc>
          <w:tcPr>
            <w:tcW w:w="720" w:type="dxa"/>
            <w:tcBorders>
              <w:top w:val="nil"/>
              <w:left w:val="nil"/>
              <w:bottom w:val="nil"/>
              <w:right w:val="nil"/>
            </w:tcBorders>
            <w:shd w:val="clear" w:color="auto" w:fill="auto"/>
            <w:noWrap/>
            <w:vAlign w:val="bottom"/>
            <w:hideMark/>
          </w:tcPr>
          <w:p w14:paraId="79005C60" w14:textId="227BB55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32%</w:t>
            </w:r>
          </w:p>
        </w:tc>
        <w:tc>
          <w:tcPr>
            <w:tcW w:w="800" w:type="dxa"/>
            <w:tcBorders>
              <w:top w:val="nil"/>
              <w:left w:val="nil"/>
              <w:bottom w:val="nil"/>
              <w:right w:val="nil"/>
            </w:tcBorders>
            <w:vAlign w:val="bottom"/>
          </w:tcPr>
          <w:p w14:paraId="6848BDE8" w14:textId="331FEBC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611E6E1F" w14:textId="2C5A638E"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3773032E" w14:textId="6F5E82F6"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524DD58D" w14:textId="162565D8"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56%</w:t>
            </w:r>
          </w:p>
        </w:tc>
        <w:tc>
          <w:tcPr>
            <w:tcW w:w="720" w:type="dxa"/>
            <w:tcBorders>
              <w:top w:val="nil"/>
              <w:left w:val="nil"/>
              <w:bottom w:val="nil"/>
              <w:right w:val="nil"/>
            </w:tcBorders>
            <w:vAlign w:val="bottom"/>
          </w:tcPr>
          <w:p w14:paraId="7B4A2739" w14:textId="05E0E5A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640" w:type="dxa"/>
            <w:tcBorders>
              <w:top w:val="nil"/>
              <w:left w:val="nil"/>
              <w:bottom w:val="nil"/>
              <w:right w:val="nil"/>
            </w:tcBorders>
            <w:vAlign w:val="bottom"/>
          </w:tcPr>
          <w:p w14:paraId="0F0653E6" w14:textId="74A839F0"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10D13780" w14:textId="0F3846D8"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13%</w:t>
            </w:r>
          </w:p>
        </w:tc>
        <w:tc>
          <w:tcPr>
            <w:tcW w:w="720" w:type="dxa"/>
            <w:tcBorders>
              <w:top w:val="nil"/>
              <w:left w:val="nil"/>
              <w:bottom w:val="nil"/>
              <w:right w:val="nil"/>
            </w:tcBorders>
            <w:vAlign w:val="bottom"/>
          </w:tcPr>
          <w:p w14:paraId="00CD5196" w14:textId="59A970B9"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27DB0911" w14:textId="5FBF8F5A" w:rsidTr="00C71C3C">
        <w:trPr>
          <w:trHeight w:val="255"/>
        </w:trPr>
        <w:tc>
          <w:tcPr>
            <w:tcW w:w="2160" w:type="dxa"/>
            <w:tcBorders>
              <w:top w:val="nil"/>
              <w:left w:val="nil"/>
              <w:bottom w:val="nil"/>
              <w:right w:val="nil"/>
            </w:tcBorders>
            <w:shd w:val="clear" w:color="auto" w:fill="auto"/>
            <w:noWrap/>
            <w:vAlign w:val="bottom"/>
            <w:hideMark/>
          </w:tcPr>
          <w:p w14:paraId="66D9C88C"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shd w:val="clear" w:color="auto" w:fill="auto"/>
            <w:noWrap/>
            <w:vAlign w:val="bottom"/>
            <w:hideMark/>
          </w:tcPr>
          <w:p w14:paraId="4BEF847E"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hideMark/>
          </w:tcPr>
          <w:p w14:paraId="3EBAA340"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B22</w:t>
            </w:r>
          </w:p>
        </w:tc>
        <w:tc>
          <w:tcPr>
            <w:tcW w:w="1440" w:type="dxa"/>
            <w:tcBorders>
              <w:top w:val="nil"/>
              <w:left w:val="nil"/>
              <w:bottom w:val="nil"/>
              <w:right w:val="nil"/>
            </w:tcBorders>
            <w:vAlign w:val="bottom"/>
          </w:tcPr>
          <w:p w14:paraId="65506D56" w14:textId="5C5CB131"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top w:val="nil"/>
              <w:left w:val="nil"/>
              <w:bottom w:val="nil"/>
              <w:right w:val="nil"/>
            </w:tcBorders>
            <w:shd w:val="clear" w:color="auto" w:fill="auto"/>
            <w:noWrap/>
            <w:vAlign w:val="bottom"/>
            <w:hideMark/>
          </w:tcPr>
          <w:p w14:paraId="1915A10C" w14:textId="78AD13AC"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57</w:t>
            </w:r>
          </w:p>
        </w:tc>
        <w:tc>
          <w:tcPr>
            <w:tcW w:w="720" w:type="dxa"/>
            <w:tcBorders>
              <w:top w:val="nil"/>
              <w:left w:val="nil"/>
              <w:bottom w:val="nil"/>
              <w:right w:val="nil"/>
            </w:tcBorders>
            <w:shd w:val="clear" w:color="auto" w:fill="auto"/>
            <w:noWrap/>
            <w:vAlign w:val="bottom"/>
            <w:hideMark/>
          </w:tcPr>
          <w:p w14:paraId="6DD0182E" w14:textId="1BD9E41C"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58%</w:t>
            </w:r>
          </w:p>
        </w:tc>
        <w:tc>
          <w:tcPr>
            <w:tcW w:w="800" w:type="dxa"/>
            <w:tcBorders>
              <w:top w:val="nil"/>
              <w:left w:val="nil"/>
              <w:bottom w:val="nil"/>
              <w:right w:val="nil"/>
            </w:tcBorders>
            <w:vAlign w:val="bottom"/>
          </w:tcPr>
          <w:p w14:paraId="264EACBA" w14:textId="6AA60A30"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56203160" w14:textId="63A2BC35"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52EB61D0" w14:textId="2B51C564"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2B144001" w14:textId="728D2ECF"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475D7604" w14:textId="7D545671"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640" w:type="dxa"/>
            <w:tcBorders>
              <w:top w:val="nil"/>
              <w:left w:val="nil"/>
              <w:bottom w:val="nil"/>
              <w:right w:val="nil"/>
            </w:tcBorders>
            <w:vAlign w:val="bottom"/>
          </w:tcPr>
          <w:p w14:paraId="42E83F3A" w14:textId="3AF50AA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672E3068" w14:textId="24306635"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42%</w:t>
            </w:r>
          </w:p>
        </w:tc>
        <w:tc>
          <w:tcPr>
            <w:tcW w:w="720" w:type="dxa"/>
            <w:tcBorders>
              <w:top w:val="nil"/>
              <w:left w:val="nil"/>
              <w:bottom w:val="nil"/>
              <w:right w:val="nil"/>
            </w:tcBorders>
            <w:vAlign w:val="bottom"/>
          </w:tcPr>
          <w:p w14:paraId="62CE7E3E" w14:textId="10FCFF7E"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59F00F9D" w14:textId="26CDF920" w:rsidTr="00C71C3C">
        <w:trPr>
          <w:trHeight w:val="255"/>
        </w:trPr>
        <w:tc>
          <w:tcPr>
            <w:tcW w:w="2160" w:type="dxa"/>
            <w:tcBorders>
              <w:top w:val="nil"/>
              <w:left w:val="nil"/>
              <w:bottom w:val="nil"/>
              <w:right w:val="nil"/>
            </w:tcBorders>
            <w:shd w:val="clear" w:color="auto" w:fill="auto"/>
            <w:noWrap/>
            <w:vAlign w:val="bottom"/>
            <w:hideMark/>
          </w:tcPr>
          <w:p w14:paraId="18F795AA"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shd w:val="clear" w:color="auto" w:fill="auto"/>
            <w:noWrap/>
            <w:vAlign w:val="bottom"/>
            <w:hideMark/>
          </w:tcPr>
          <w:p w14:paraId="6D354EFB"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hideMark/>
          </w:tcPr>
          <w:p w14:paraId="3123E42D"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Psyc B5</w:t>
            </w:r>
          </w:p>
        </w:tc>
        <w:tc>
          <w:tcPr>
            <w:tcW w:w="1440" w:type="dxa"/>
            <w:tcBorders>
              <w:top w:val="nil"/>
              <w:left w:val="nil"/>
              <w:bottom w:val="nil"/>
              <w:right w:val="nil"/>
            </w:tcBorders>
            <w:vAlign w:val="bottom"/>
          </w:tcPr>
          <w:p w14:paraId="059D4F3A" w14:textId="6B0687EE"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top w:val="nil"/>
              <w:left w:val="nil"/>
              <w:bottom w:val="nil"/>
              <w:right w:val="nil"/>
            </w:tcBorders>
            <w:shd w:val="clear" w:color="auto" w:fill="auto"/>
            <w:noWrap/>
            <w:vAlign w:val="bottom"/>
            <w:hideMark/>
          </w:tcPr>
          <w:p w14:paraId="48F568E4" w14:textId="6C023C79"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37</w:t>
            </w:r>
          </w:p>
        </w:tc>
        <w:tc>
          <w:tcPr>
            <w:tcW w:w="720" w:type="dxa"/>
            <w:tcBorders>
              <w:top w:val="nil"/>
              <w:left w:val="nil"/>
              <w:bottom w:val="nil"/>
              <w:right w:val="nil"/>
            </w:tcBorders>
            <w:shd w:val="clear" w:color="auto" w:fill="auto"/>
            <w:noWrap/>
            <w:vAlign w:val="bottom"/>
            <w:hideMark/>
          </w:tcPr>
          <w:p w14:paraId="09C5C4CE" w14:textId="4C3E497D"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95%</w:t>
            </w:r>
          </w:p>
        </w:tc>
        <w:tc>
          <w:tcPr>
            <w:tcW w:w="800" w:type="dxa"/>
            <w:tcBorders>
              <w:top w:val="nil"/>
              <w:left w:val="nil"/>
              <w:bottom w:val="nil"/>
              <w:right w:val="nil"/>
            </w:tcBorders>
            <w:vAlign w:val="bottom"/>
          </w:tcPr>
          <w:p w14:paraId="7D813875" w14:textId="7EE1B0CB"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3F2720EA" w14:textId="4287D38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46DB09FB" w14:textId="3475D73A"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5C1AB55A" w14:textId="3B024CDF"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0374FA6D" w14:textId="15230FAE"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640" w:type="dxa"/>
            <w:tcBorders>
              <w:top w:val="nil"/>
              <w:left w:val="nil"/>
              <w:bottom w:val="nil"/>
              <w:right w:val="nil"/>
            </w:tcBorders>
            <w:vAlign w:val="bottom"/>
          </w:tcPr>
          <w:p w14:paraId="07AC2F5E" w14:textId="6568E48A"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1F80450F" w14:textId="1DAB9F0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w:t>
            </w:r>
          </w:p>
        </w:tc>
        <w:tc>
          <w:tcPr>
            <w:tcW w:w="720" w:type="dxa"/>
            <w:tcBorders>
              <w:top w:val="nil"/>
              <w:left w:val="nil"/>
              <w:bottom w:val="nil"/>
              <w:right w:val="nil"/>
            </w:tcBorders>
            <w:vAlign w:val="bottom"/>
          </w:tcPr>
          <w:p w14:paraId="73A1CB50" w14:textId="088B9EC9"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614D2A88" w14:textId="2101B5AC" w:rsidTr="00C71C3C">
        <w:trPr>
          <w:trHeight w:val="255"/>
        </w:trPr>
        <w:tc>
          <w:tcPr>
            <w:tcW w:w="2160" w:type="dxa"/>
            <w:tcBorders>
              <w:top w:val="nil"/>
              <w:left w:val="nil"/>
              <w:bottom w:val="nil"/>
              <w:right w:val="nil"/>
            </w:tcBorders>
            <w:shd w:val="clear" w:color="auto" w:fill="auto"/>
            <w:noWrap/>
            <w:vAlign w:val="bottom"/>
            <w:hideMark/>
          </w:tcPr>
          <w:p w14:paraId="6993EDA6" w14:textId="4FD90E54"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1440" w:type="dxa"/>
            <w:tcBorders>
              <w:top w:val="nil"/>
              <w:left w:val="nil"/>
              <w:bottom w:val="nil"/>
              <w:right w:val="nil"/>
            </w:tcBorders>
            <w:shd w:val="clear" w:color="auto" w:fill="auto"/>
            <w:noWrap/>
            <w:vAlign w:val="bottom"/>
            <w:hideMark/>
          </w:tcPr>
          <w:p w14:paraId="6B10F48F"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2160" w:type="dxa"/>
            <w:tcBorders>
              <w:top w:val="nil"/>
              <w:left w:val="nil"/>
              <w:bottom w:val="nil"/>
              <w:right w:val="nil"/>
            </w:tcBorders>
            <w:shd w:val="clear" w:color="auto" w:fill="auto"/>
            <w:noWrap/>
            <w:vAlign w:val="bottom"/>
            <w:hideMark/>
          </w:tcPr>
          <w:p w14:paraId="04830A70"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1440" w:type="dxa"/>
            <w:tcBorders>
              <w:top w:val="nil"/>
              <w:left w:val="nil"/>
              <w:bottom w:val="nil"/>
              <w:right w:val="nil"/>
            </w:tcBorders>
            <w:vAlign w:val="bottom"/>
          </w:tcPr>
          <w:p w14:paraId="1B3C0B8B" w14:textId="77777777"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nil"/>
              <w:left w:val="nil"/>
              <w:bottom w:val="nil"/>
              <w:right w:val="nil"/>
            </w:tcBorders>
            <w:shd w:val="clear" w:color="auto" w:fill="auto"/>
            <w:noWrap/>
            <w:vAlign w:val="bottom"/>
            <w:hideMark/>
          </w:tcPr>
          <w:p w14:paraId="32342129" w14:textId="7EF51538"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nil"/>
              <w:left w:val="nil"/>
              <w:bottom w:val="nil"/>
              <w:right w:val="nil"/>
            </w:tcBorders>
            <w:shd w:val="clear" w:color="auto" w:fill="auto"/>
            <w:noWrap/>
            <w:vAlign w:val="bottom"/>
            <w:hideMark/>
          </w:tcPr>
          <w:p w14:paraId="14E8FDC2"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800" w:type="dxa"/>
            <w:tcBorders>
              <w:top w:val="nil"/>
              <w:left w:val="nil"/>
              <w:bottom w:val="nil"/>
              <w:right w:val="nil"/>
            </w:tcBorders>
            <w:vAlign w:val="bottom"/>
          </w:tcPr>
          <w:p w14:paraId="33CF6D70"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57FFF4D0"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59A359D4"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6ABA0BC1"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5E508E94"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640" w:type="dxa"/>
            <w:tcBorders>
              <w:top w:val="nil"/>
              <w:left w:val="nil"/>
              <w:bottom w:val="nil"/>
              <w:right w:val="nil"/>
            </w:tcBorders>
            <w:vAlign w:val="bottom"/>
          </w:tcPr>
          <w:p w14:paraId="7E61E0F9" w14:textId="7EA418AA"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1153EB39" w14:textId="5C00811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 </w:t>
            </w:r>
          </w:p>
        </w:tc>
        <w:tc>
          <w:tcPr>
            <w:tcW w:w="720" w:type="dxa"/>
            <w:tcBorders>
              <w:top w:val="nil"/>
              <w:left w:val="nil"/>
              <w:bottom w:val="nil"/>
              <w:right w:val="nil"/>
            </w:tcBorders>
            <w:vAlign w:val="bottom"/>
          </w:tcPr>
          <w:p w14:paraId="0C00A5F3" w14:textId="7DFD0A61"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r>
      <w:tr w:rsidR="00280860" w:rsidRPr="00E6476E" w14:paraId="7B9B704E" w14:textId="0FEB0790" w:rsidTr="00C71C3C">
        <w:trPr>
          <w:trHeight w:val="255"/>
        </w:trPr>
        <w:tc>
          <w:tcPr>
            <w:tcW w:w="2160" w:type="dxa"/>
            <w:tcBorders>
              <w:top w:val="nil"/>
              <w:left w:val="nil"/>
              <w:bottom w:val="nil"/>
              <w:right w:val="nil"/>
            </w:tcBorders>
            <w:shd w:val="clear" w:color="auto" w:fill="auto"/>
            <w:noWrap/>
            <w:vAlign w:val="bottom"/>
            <w:hideMark/>
          </w:tcPr>
          <w:p w14:paraId="68657BBF"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ACDV B72</w:t>
            </w:r>
          </w:p>
        </w:tc>
        <w:tc>
          <w:tcPr>
            <w:tcW w:w="1440" w:type="dxa"/>
            <w:tcBorders>
              <w:top w:val="nil"/>
              <w:left w:val="nil"/>
              <w:bottom w:val="nil"/>
              <w:right w:val="nil"/>
            </w:tcBorders>
            <w:shd w:val="clear" w:color="auto" w:fill="auto"/>
            <w:noWrap/>
            <w:vAlign w:val="bottom"/>
            <w:hideMark/>
          </w:tcPr>
          <w:p w14:paraId="18492E26"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2160" w:type="dxa"/>
            <w:tcBorders>
              <w:top w:val="nil"/>
              <w:left w:val="nil"/>
              <w:bottom w:val="nil"/>
              <w:right w:val="nil"/>
            </w:tcBorders>
            <w:shd w:val="clear" w:color="auto" w:fill="auto"/>
            <w:noWrap/>
            <w:vAlign w:val="bottom"/>
            <w:hideMark/>
          </w:tcPr>
          <w:p w14:paraId="4A7C2086"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ACDV B72</w:t>
            </w:r>
          </w:p>
        </w:tc>
        <w:tc>
          <w:tcPr>
            <w:tcW w:w="1440" w:type="dxa"/>
            <w:tcBorders>
              <w:top w:val="nil"/>
              <w:left w:val="nil"/>
              <w:bottom w:val="nil"/>
              <w:right w:val="nil"/>
            </w:tcBorders>
            <w:vAlign w:val="bottom"/>
          </w:tcPr>
          <w:p w14:paraId="5D853AEB" w14:textId="753F1586"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top w:val="nil"/>
              <w:left w:val="nil"/>
              <w:bottom w:val="nil"/>
              <w:right w:val="nil"/>
            </w:tcBorders>
            <w:shd w:val="clear" w:color="auto" w:fill="auto"/>
            <w:noWrap/>
            <w:vAlign w:val="bottom"/>
            <w:hideMark/>
          </w:tcPr>
          <w:p w14:paraId="16F8A1C7" w14:textId="4CE00830"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25</w:t>
            </w:r>
          </w:p>
        </w:tc>
        <w:tc>
          <w:tcPr>
            <w:tcW w:w="720" w:type="dxa"/>
            <w:tcBorders>
              <w:top w:val="nil"/>
              <w:left w:val="nil"/>
              <w:bottom w:val="nil"/>
              <w:right w:val="nil"/>
            </w:tcBorders>
            <w:shd w:val="clear" w:color="auto" w:fill="auto"/>
            <w:noWrap/>
            <w:vAlign w:val="bottom"/>
            <w:hideMark/>
          </w:tcPr>
          <w:p w14:paraId="5B6314C0" w14:textId="7853FA1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48%</w:t>
            </w:r>
          </w:p>
        </w:tc>
        <w:tc>
          <w:tcPr>
            <w:tcW w:w="800" w:type="dxa"/>
            <w:tcBorders>
              <w:top w:val="nil"/>
              <w:left w:val="nil"/>
              <w:bottom w:val="nil"/>
              <w:right w:val="nil"/>
            </w:tcBorders>
            <w:vAlign w:val="bottom"/>
          </w:tcPr>
          <w:p w14:paraId="7BABC53A" w14:textId="2ADE1C8B"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CCE9766" w14:textId="198A5BA5"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468DE033" w14:textId="20406930"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4BDEE9E8" w14:textId="1FD43F9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26EAFC35" w14:textId="6A835C0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640" w:type="dxa"/>
            <w:tcBorders>
              <w:top w:val="nil"/>
              <w:left w:val="nil"/>
              <w:bottom w:val="nil"/>
              <w:right w:val="nil"/>
            </w:tcBorders>
            <w:vAlign w:val="bottom"/>
          </w:tcPr>
          <w:p w14:paraId="41C039E8" w14:textId="405DFFA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7BA739A9" w14:textId="2C4B99C4"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52%</w:t>
            </w:r>
          </w:p>
        </w:tc>
        <w:tc>
          <w:tcPr>
            <w:tcW w:w="720" w:type="dxa"/>
            <w:tcBorders>
              <w:top w:val="nil"/>
              <w:left w:val="nil"/>
              <w:bottom w:val="nil"/>
              <w:right w:val="nil"/>
            </w:tcBorders>
            <w:vAlign w:val="bottom"/>
          </w:tcPr>
          <w:p w14:paraId="067A3DD8" w14:textId="390E07A1"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5449E272" w14:textId="1AA342AA" w:rsidTr="00C71C3C">
        <w:trPr>
          <w:trHeight w:val="255"/>
        </w:trPr>
        <w:tc>
          <w:tcPr>
            <w:tcW w:w="2160" w:type="dxa"/>
            <w:tcBorders>
              <w:top w:val="nil"/>
              <w:left w:val="nil"/>
              <w:bottom w:val="nil"/>
              <w:right w:val="nil"/>
            </w:tcBorders>
            <w:shd w:val="clear" w:color="auto" w:fill="auto"/>
            <w:noWrap/>
            <w:vAlign w:val="bottom"/>
            <w:hideMark/>
          </w:tcPr>
          <w:p w14:paraId="1530621E"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B60</w:t>
            </w:r>
          </w:p>
        </w:tc>
        <w:tc>
          <w:tcPr>
            <w:tcW w:w="1440" w:type="dxa"/>
            <w:tcBorders>
              <w:top w:val="nil"/>
              <w:left w:val="nil"/>
              <w:bottom w:val="nil"/>
              <w:right w:val="nil"/>
            </w:tcBorders>
            <w:shd w:val="clear" w:color="auto" w:fill="auto"/>
            <w:noWrap/>
            <w:vAlign w:val="bottom"/>
            <w:hideMark/>
          </w:tcPr>
          <w:p w14:paraId="7C30D42A"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2160" w:type="dxa"/>
            <w:tcBorders>
              <w:top w:val="nil"/>
              <w:left w:val="nil"/>
              <w:bottom w:val="nil"/>
              <w:right w:val="nil"/>
            </w:tcBorders>
            <w:shd w:val="clear" w:color="auto" w:fill="auto"/>
            <w:noWrap/>
            <w:vAlign w:val="bottom"/>
            <w:hideMark/>
          </w:tcPr>
          <w:p w14:paraId="78484318"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B60</w:t>
            </w:r>
          </w:p>
        </w:tc>
        <w:tc>
          <w:tcPr>
            <w:tcW w:w="1440" w:type="dxa"/>
            <w:tcBorders>
              <w:top w:val="nil"/>
              <w:left w:val="nil"/>
              <w:bottom w:val="nil"/>
              <w:right w:val="nil"/>
            </w:tcBorders>
            <w:vAlign w:val="bottom"/>
          </w:tcPr>
          <w:p w14:paraId="2F9FC7B8" w14:textId="1029B85C"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top w:val="nil"/>
              <w:left w:val="nil"/>
              <w:bottom w:val="nil"/>
              <w:right w:val="nil"/>
            </w:tcBorders>
            <w:shd w:val="clear" w:color="auto" w:fill="auto"/>
            <w:noWrap/>
            <w:vAlign w:val="bottom"/>
            <w:hideMark/>
          </w:tcPr>
          <w:p w14:paraId="0742E908" w14:textId="2836B548"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73</w:t>
            </w:r>
          </w:p>
        </w:tc>
        <w:tc>
          <w:tcPr>
            <w:tcW w:w="720" w:type="dxa"/>
            <w:tcBorders>
              <w:top w:val="nil"/>
              <w:left w:val="nil"/>
              <w:bottom w:val="nil"/>
              <w:right w:val="nil"/>
            </w:tcBorders>
            <w:shd w:val="clear" w:color="auto" w:fill="auto"/>
            <w:noWrap/>
            <w:vAlign w:val="bottom"/>
            <w:hideMark/>
          </w:tcPr>
          <w:p w14:paraId="2CF28E61" w14:textId="4215526E"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33%</w:t>
            </w:r>
          </w:p>
        </w:tc>
        <w:tc>
          <w:tcPr>
            <w:tcW w:w="800" w:type="dxa"/>
            <w:tcBorders>
              <w:top w:val="nil"/>
              <w:left w:val="nil"/>
              <w:bottom w:val="nil"/>
              <w:right w:val="nil"/>
            </w:tcBorders>
            <w:vAlign w:val="bottom"/>
          </w:tcPr>
          <w:p w14:paraId="0C824C27" w14:textId="25F9C2CF"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658655AC" w14:textId="7893770D"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64%</w:t>
            </w:r>
          </w:p>
        </w:tc>
        <w:tc>
          <w:tcPr>
            <w:tcW w:w="720" w:type="dxa"/>
            <w:tcBorders>
              <w:top w:val="nil"/>
              <w:left w:val="nil"/>
              <w:bottom w:val="nil"/>
              <w:right w:val="nil"/>
            </w:tcBorders>
            <w:vAlign w:val="bottom"/>
          </w:tcPr>
          <w:p w14:paraId="04413A45" w14:textId="778A58BE"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5565199E" w14:textId="478E3193"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1551F0A5" w14:textId="5A8682E1"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640" w:type="dxa"/>
            <w:tcBorders>
              <w:top w:val="nil"/>
              <w:left w:val="nil"/>
              <w:bottom w:val="nil"/>
              <w:right w:val="nil"/>
            </w:tcBorders>
            <w:vAlign w:val="bottom"/>
          </w:tcPr>
          <w:p w14:paraId="2294B737" w14:textId="4346A8A8"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3810C65E" w14:textId="6E61F55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3%</w:t>
            </w:r>
          </w:p>
        </w:tc>
        <w:tc>
          <w:tcPr>
            <w:tcW w:w="720" w:type="dxa"/>
            <w:tcBorders>
              <w:top w:val="nil"/>
              <w:left w:val="nil"/>
              <w:bottom w:val="nil"/>
              <w:right w:val="nil"/>
            </w:tcBorders>
            <w:vAlign w:val="bottom"/>
          </w:tcPr>
          <w:p w14:paraId="3E457346" w14:textId="564E281E"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0E31AF7C" w14:textId="41215250" w:rsidTr="00C71C3C">
        <w:trPr>
          <w:trHeight w:val="255"/>
        </w:trPr>
        <w:tc>
          <w:tcPr>
            <w:tcW w:w="2160" w:type="dxa"/>
            <w:tcBorders>
              <w:top w:val="nil"/>
              <w:left w:val="nil"/>
              <w:bottom w:val="nil"/>
              <w:right w:val="nil"/>
            </w:tcBorders>
            <w:shd w:val="clear" w:color="auto" w:fill="auto"/>
            <w:noWrap/>
            <w:vAlign w:val="bottom"/>
            <w:hideMark/>
          </w:tcPr>
          <w:p w14:paraId="26A73F9D"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shd w:val="clear" w:color="auto" w:fill="auto"/>
            <w:noWrap/>
            <w:vAlign w:val="bottom"/>
            <w:hideMark/>
          </w:tcPr>
          <w:p w14:paraId="79402227"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2160" w:type="dxa"/>
            <w:tcBorders>
              <w:top w:val="nil"/>
              <w:left w:val="nil"/>
              <w:bottom w:val="nil"/>
              <w:right w:val="nil"/>
            </w:tcBorders>
            <w:shd w:val="clear" w:color="auto" w:fill="auto"/>
            <w:noWrap/>
            <w:vAlign w:val="bottom"/>
            <w:hideMark/>
          </w:tcPr>
          <w:p w14:paraId="2C6B343F"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vAlign w:val="bottom"/>
          </w:tcPr>
          <w:p w14:paraId="77BEA221" w14:textId="528B7D62"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720" w:type="dxa"/>
            <w:tcBorders>
              <w:top w:val="nil"/>
              <w:left w:val="nil"/>
              <w:bottom w:val="nil"/>
              <w:right w:val="nil"/>
            </w:tcBorders>
            <w:shd w:val="clear" w:color="auto" w:fill="auto"/>
            <w:noWrap/>
            <w:vAlign w:val="bottom"/>
            <w:hideMark/>
          </w:tcPr>
          <w:p w14:paraId="27C014F4" w14:textId="7357616C"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75</w:t>
            </w:r>
          </w:p>
        </w:tc>
        <w:tc>
          <w:tcPr>
            <w:tcW w:w="720" w:type="dxa"/>
            <w:tcBorders>
              <w:top w:val="nil"/>
              <w:left w:val="nil"/>
              <w:bottom w:val="nil"/>
              <w:right w:val="nil"/>
            </w:tcBorders>
            <w:shd w:val="clear" w:color="auto" w:fill="auto"/>
            <w:noWrap/>
            <w:vAlign w:val="bottom"/>
            <w:hideMark/>
          </w:tcPr>
          <w:p w14:paraId="0EF093BC" w14:textId="1AD60E6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53%</w:t>
            </w:r>
          </w:p>
        </w:tc>
        <w:tc>
          <w:tcPr>
            <w:tcW w:w="800" w:type="dxa"/>
            <w:tcBorders>
              <w:top w:val="nil"/>
              <w:left w:val="nil"/>
              <w:bottom w:val="nil"/>
              <w:right w:val="nil"/>
            </w:tcBorders>
            <w:vAlign w:val="bottom"/>
          </w:tcPr>
          <w:p w14:paraId="6FEB78D0" w14:textId="0CA2DEF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5C79A8FE" w14:textId="1779C7B1"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365F9909" w14:textId="1CCCDC6C"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20%</w:t>
            </w:r>
          </w:p>
        </w:tc>
        <w:tc>
          <w:tcPr>
            <w:tcW w:w="720" w:type="dxa"/>
            <w:tcBorders>
              <w:top w:val="nil"/>
              <w:left w:val="nil"/>
              <w:bottom w:val="nil"/>
              <w:right w:val="nil"/>
            </w:tcBorders>
            <w:vAlign w:val="bottom"/>
          </w:tcPr>
          <w:p w14:paraId="0C7EBD2C" w14:textId="3E1506AD"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17C69E09" w14:textId="7809902D"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640" w:type="dxa"/>
            <w:tcBorders>
              <w:top w:val="nil"/>
              <w:left w:val="nil"/>
              <w:bottom w:val="nil"/>
              <w:right w:val="nil"/>
            </w:tcBorders>
            <w:vAlign w:val="bottom"/>
          </w:tcPr>
          <w:p w14:paraId="752BFEB9" w14:textId="1B51ABA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1A2FD5FE" w14:textId="47C61FE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27%</w:t>
            </w:r>
          </w:p>
        </w:tc>
        <w:tc>
          <w:tcPr>
            <w:tcW w:w="720" w:type="dxa"/>
            <w:tcBorders>
              <w:top w:val="nil"/>
              <w:left w:val="nil"/>
              <w:bottom w:val="nil"/>
              <w:right w:val="nil"/>
            </w:tcBorders>
            <w:vAlign w:val="bottom"/>
          </w:tcPr>
          <w:p w14:paraId="33D7F2D3" w14:textId="7525BD85"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F07A8D" w:rsidRPr="00E6476E" w14:paraId="1E8D11A2" w14:textId="77777777" w:rsidTr="00C71C3C">
        <w:trPr>
          <w:trHeight w:val="255"/>
        </w:trPr>
        <w:tc>
          <w:tcPr>
            <w:tcW w:w="2160" w:type="dxa"/>
            <w:tcBorders>
              <w:top w:val="nil"/>
              <w:left w:val="nil"/>
              <w:bottom w:val="nil"/>
              <w:right w:val="nil"/>
            </w:tcBorders>
            <w:shd w:val="clear" w:color="auto" w:fill="auto"/>
            <w:noWrap/>
            <w:vAlign w:val="bottom"/>
          </w:tcPr>
          <w:p w14:paraId="4BA6A6AF" w14:textId="1E171ECC"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p>
        </w:tc>
        <w:tc>
          <w:tcPr>
            <w:tcW w:w="1440" w:type="dxa"/>
            <w:tcBorders>
              <w:top w:val="nil"/>
              <w:left w:val="nil"/>
              <w:bottom w:val="nil"/>
              <w:right w:val="nil"/>
            </w:tcBorders>
            <w:shd w:val="clear" w:color="auto" w:fill="auto"/>
            <w:noWrap/>
            <w:vAlign w:val="bottom"/>
          </w:tcPr>
          <w:p w14:paraId="53556DED" w14:textId="77777777"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p>
        </w:tc>
        <w:tc>
          <w:tcPr>
            <w:tcW w:w="2160" w:type="dxa"/>
            <w:tcBorders>
              <w:top w:val="nil"/>
              <w:left w:val="nil"/>
              <w:bottom w:val="nil"/>
              <w:right w:val="nil"/>
            </w:tcBorders>
            <w:shd w:val="clear" w:color="auto" w:fill="auto"/>
            <w:noWrap/>
            <w:vAlign w:val="bottom"/>
          </w:tcPr>
          <w:p w14:paraId="0F66FB96" w14:textId="77777777" w:rsidR="00F07A8D" w:rsidRPr="00E6476E" w:rsidRDefault="00F07A8D" w:rsidP="00076125">
            <w:pPr>
              <w:spacing w:after="0" w:line="240" w:lineRule="auto"/>
              <w:jc w:val="center"/>
              <w:rPr>
                <w:rFonts w:ascii="Times New Roman" w:eastAsia="Times New Roman" w:hAnsi="Times New Roman" w:cs="Times New Roman"/>
                <w:color w:val="000000" w:themeColor="text1"/>
                <w:sz w:val="16"/>
                <w:szCs w:val="16"/>
              </w:rPr>
            </w:pPr>
          </w:p>
        </w:tc>
        <w:tc>
          <w:tcPr>
            <w:tcW w:w="1440" w:type="dxa"/>
            <w:tcBorders>
              <w:top w:val="nil"/>
              <w:left w:val="nil"/>
              <w:bottom w:val="nil"/>
              <w:right w:val="nil"/>
            </w:tcBorders>
            <w:vAlign w:val="bottom"/>
          </w:tcPr>
          <w:p w14:paraId="7CCE5ED6" w14:textId="77777777" w:rsidR="00F07A8D" w:rsidRPr="00E6476E" w:rsidRDefault="00F07A8D" w:rsidP="00076125">
            <w:pPr>
              <w:tabs>
                <w:tab w:val="decimal" w:pos="367"/>
              </w:tabs>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nil"/>
              <w:left w:val="nil"/>
              <w:bottom w:val="nil"/>
              <w:right w:val="nil"/>
            </w:tcBorders>
            <w:shd w:val="clear" w:color="auto" w:fill="auto"/>
            <w:noWrap/>
            <w:vAlign w:val="bottom"/>
          </w:tcPr>
          <w:p w14:paraId="14194489" w14:textId="77777777" w:rsidR="00F07A8D" w:rsidRPr="00E6476E" w:rsidRDefault="00F07A8D" w:rsidP="00076125">
            <w:pPr>
              <w:tabs>
                <w:tab w:val="decimal" w:pos="367"/>
              </w:tabs>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shd w:val="clear" w:color="auto" w:fill="auto"/>
            <w:noWrap/>
            <w:vAlign w:val="bottom"/>
          </w:tcPr>
          <w:p w14:paraId="2866FAF0"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800" w:type="dxa"/>
            <w:tcBorders>
              <w:top w:val="nil"/>
              <w:left w:val="nil"/>
              <w:bottom w:val="nil"/>
              <w:right w:val="nil"/>
            </w:tcBorders>
            <w:vAlign w:val="bottom"/>
          </w:tcPr>
          <w:p w14:paraId="11B58163"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000337B3"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167C7BBD"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40A3AD7F"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6243AC67"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640" w:type="dxa"/>
            <w:tcBorders>
              <w:top w:val="nil"/>
              <w:left w:val="nil"/>
              <w:bottom w:val="nil"/>
              <w:right w:val="nil"/>
            </w:tcBorders>
            <w:vAlign w:val="bottom"/>
          </w:tcPr>
          <w:p w14:paraId="1814E95E"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54411E8B" w14:textId="77777777"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754977FD" w14:textId="2F4E6C6A" w:rsidR="00F07A8D" w:rsidRPr="00E6476E" w:rsidRDefault="00F07A8D" w:rsidP="00076125">
            <w:pPr>
              <w:spacing w:after="0" w:line="240" w:lineRule="auto"/>
              <w:jc w:val="center"/>
              <w:rPr>
                <w:rFonts w:ascii="Times New Roman" w:hAnsi="Times New Roman" w:cs="Times New Roman"/>
                <w:color w:val="000000" w:themeColor="text1"/>
                <w:sz w:val="16"/>
                <w:szCs w:val="16"/>
              </w:rPr>
            </w:pPr>
          </w:p>
        </w:tc>
      </w:tr>
      <w:tr w:rsidR="00280860" w:rsidRPr="00E6476E" w14:paraId="594E4A56" w14:textId="77777777" w:rsidTr="00C71C3C">
        <w:trPr>
          <w:trHeight w:val="255"/>
        </w:trPr>
        <w:tc>
          <w:tcPr>
            <w:tcW w:w="2160" w:type="dxa"/>
            <w:tcBorders>
              <w:top w:val="nil"/>
              <w:left w:val="nil"/>
              <w:bottom w:val="nil"/>
              <w:right w:val="nil"/>
            </w:tcBorders>
            <w:shd w:val="clear" w:color="auto" w:fill="auto"/>
            <w:noWrap/>
            <w:vAlign w:val="bottom"/>
          </w:tcPr>
          <w:p w14:paraId="17FB536C" w14:textId="5BB755F6"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ACDV B72</w:t>
            </w:r>
          </w:p>
        </w:tc>
        <w:tc>
          <w:tcPr>
            <w:tcW w:w="1440" w:type="dxa"/>
            <w:tcBorders>
              <w:top w:val="nil"/>
              <w:left w:val="nil"/>
              <w:bottom w:val="nil"/>
              <w:right w:val="nil"/>
            </w:tcBorders>
            <w:shd w:val="clear" w:color="auto" w:fill="auto"/>
            <w:noWrap/>
            <w:vAlign w:val="bottom"/>
          </w:tcPr>
          <w:p w14:paraId="1FBC115B" w14:textId="2369A47F"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tcPr>
          <w:p w14:paraId="0CF28F9A" w14:textId="26D865B8"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B60</w:t>
            </w:r>
          </w:p>
        </w:tc>
        <w:tc>
          <w:tcPr>
            <w:tcW w:w="1440" w:type="dxa"/>
            <w:tcBorders>
              <w:top w:val="nil"/>
              <w:left w:val="nil"/>
              <w:bottom w:val="nil"/>
              <w:right w:val="nil"/>
            </w:tcBorders>
            <w:vAlign w:val="bottom"/>
          </w:tcPr>
          <w:p w14:paraId="507BBB9F" w14:textId="65248447"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35D990D7" w14:textId="0FA1FA47"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100</w:t>
            </w:r>
          </w:p>
        </w:tc>
        <w:tc>
          <w:tcPr>
            <w:tcW w:w="720" w:type="dxa"/>
            <w:tcBorders>
              <w:top w:val="nil"/>
              <w:left w:val="nil"/>
              <w:bottom w:val="nil"/>
              <w:right w:val="nil"/>
            </w:tcBorders>
            <w:shd w:val="clear" w:color="auto" w:fill="auto"/>
            <w:noWrap/>
            <w:vAlign w:val="bottom"/>
          </w:tcPr>
          <w:p w14:paraId="769645EB" w14:textId="088CA50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58%</w:t>
            </w:r>
          </w:p>
        </w:tc>
        <w:tc>
          <w:tcPr>
            <w:tcW w:w="800" w:type="dxa"/>
            <w:tcBorders>
              <w:top w:val="nil"/>
              <w:left w:val="nil"/>
              <w:bottom w:val="nil"/>
              <w:right w:val="nil"/>
            </w:tcBorders>
            <w:vAlign w:val="bottom"/>
          </w:tcPr>
          <w:p w14:paraId="7E0542F3" w14:textId="39EB87CB"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57%</w:t>
            </w:r>
          </w:p>
        </w:tc>
        <w:tc>
          <w:tcPr>
            <w:tcW w:w="720" w:type="dxa"/>
            <w:tcBorders>
              <w:top w:val="nil"/>
              <w:left w:val="nil"/>
              <w:bottom w:val="nil"/>
              <w:right w:val="nil"/>
            </w:tcBorders>
            <w:vAlign w:val="bottom"/>
          </w:tcPr>
          <w:p w14:paraId="2ACADF23" w14:textId="7A050F6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35%</w:t>
            </w:r>
          </w:p>
        </w:tc>
        <w:tc>
          <w:tcPr>
            <w:tcW w:w="720" w:type="dxa"/>
            <w:tcBorders>
              <w:top w:val="nil"/>
              <w:left w:val="nil"/>
              <w:bottom w:val="nil"/>
              <w:right w:val="nil"/>
            </w:tcBorders>
            <w:vAlign w:val="bottom"/>
          </w:tcPr>
          <w:p w14:paraId="43DF04ED" w14:textId="339773E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5DCCCF50" w14:textId="04479F3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153A1A64" w14:textId="282C1401"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0491DE32" w14:textId="15886BF5"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1689A9B7" w14:textId="3541AC3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8%</w:t>
            </w:r>
          </w:p>
        </w:tc>
        <w:tc>
          <w:tcPr>
            <w:tcW w:w="720" w:type="dxa"/>
            <w:tcBorders>
              <w:top w:val="nil"/>
              <w:left w:val="nil"/>
              <w:bottom w:val="nil"/>
              <w:right w:val="nil"/>
            </w:tcBorders>
            <w:vAlign w:val="bottom"/>
          </w:tcPr>
          <w:p w14:paraId="6B05D1CB" w14:textId="529C8FB9"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5040AF41" w14:textId="77777777" w:rsidTr="00C71C3C">
        <w:trPr>
          <w:trHeight w:val="255"/>
        </w:trPr>
        <w:tc>
          <w:tcPr>
            <w:tcW w:w="2160" w:type="dxa"/>
            <w:tcBorders>
              <w:top w:val="nil"/>
              <w:left w:val="nil"/>
              <w:bottom w:val="nil"/>
              <w:right w:val="nil"/>
            </w:tcBorders>
            <w:shd w:val="clear" w:color="auto" w:fill="auto"/>
            <w:noWrap/>
            <w:vAlign w:val="bottom"/>
          </w:tcPr>
          <w:p w14:paraId="7D45A06A" w14:textId="7C6DA6B9"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B60</w:t>
            </w:r>
          </w:p>
        </w:tc>
        <w:tc>
          <w:tcPr>
            <w:tcW w:w="1440" w:type="dxa"/>
            <w:tcBorders>
              <w:top w:val="nil"/>
              <w:left w:val="nil"/>
              <w:bottom w:val="nil"/>
              <w:right w:val="nil"/>
            </w:tcBorders>
            <w:shd w:val="clear" w:color="auto" w:fill="auto"/>
            <w:noWrap/>
            <w:vAlign w:val="bottom"/>
          </w:tcPr>
          <w:p w14:paraId="7328069B" w14:textId="15A20EC1"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tcPr>
          <w:p w14:paraId="61924B23" w14:textId="051CCC39"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vAlign w:val="bottom"/>
          </w:tcPr>
          <w:p w14:paraId="44596E08" w14:textId="4BF63308"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35DF0D76" w14:textId="4C887EBC"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218</w:t>
            </w:r>
          </w:p>
        </w:tc>
        <w:tc>
          <w:tcPr>
            <w:tcW w:w="720" w:type="dxa"/>
            <w:tcBorders>
              <w:top w:val="nil"/>
              <w:left w:val="nil"/>
              <w:bottom w:val="nil"/>
              <w:right w:val="nil"/>
            </w:tcBorders>
            <w:shd w:val="clear" w:color="auto" w:fill="auto"/>
            <w:noWrap/>
            <w:vAlign w:val="bottom"/>
          </w:tcPr>
          <w:p w14:paraId="49143891" w14:textId="214678E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38%</w:t>
            </w:r>
          </w:p>
        </w:tc>
        <w:tc>
          <w:tcPr>
            <w:tcW w:w="800" w:type="dxa"/>
            <w:tcBorders>
              <w:top w:val="nil"/>
              <w:left w:val="nil"/>
              <w:bottom w:val="nil"/>
              <w:right w:val="nil"/>
            </w:tcBorders>
            <w:vAlign w:val="bottom"/>
          </w:tcPr>
          <w:p w14:paraId="27CADE35" w14:textId="10345052"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41%</w:t>
            </w:r>
          </w:p>
        </w:tc>
        <w:tc>
          <w:tcPr>
            <w:tcW w:w="720" w:type="dxa"/>
            <w:tcBorders>
              <w:top w:val="nil"/>
              <w:left w:val="nil"/>
              <w:bottom w:val="nil"/>
              <w:right w:val="nil"/>
            </w:tcBorders>
            <w:vAlign w:val="bottom"/>
          </w:tcPr>
          <w:p w14:paraId="50C72373" w14:textId="32A4C6D0"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58%</w:t>
            </w:r>
          </w:p>
        </w:tc>
        <w:tc>
          <w:tcPr>
            <w:tcW w:w="720" w:type="dxa"/>
            <w:tcBorders>
              <w:top w:val="nil"/>
              <w:left w:val="nil"/>
              <w:bottom w:val="nil"/>
              <w:right w:val="nil"/>
            </w:tcBorders>
            <w:vAlign w:val="bottom"/>
          </w:tcPr>
          <w:p w14:paraId="02A7D2FD" w14:textId="241C4A16"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B55F013" w14:textId="0D01F7E0"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2AE803A4" w14:textId="5CFF7E24"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3842C839" w14:textId="4922C03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E8ED578" w14:textId="51A41936"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1%</w:t>
            </w:r>
          </w:p>
        </w:tc>
        <w:tc>
          <w:tcPr>
            <w:tcW w:w="720" w:type="dxa"/>
            <w:tcBorders>
              <w:top w:val="nil"/>
              <w:left w:val="nil"/>
              <w:bottom w:val="nil"/>
              <w:right w:val="nil"/>
            </w:tcBorders>
            <w:vAlign w:val="bottom"/>
          </w:tcPr>
          <w:p w14:paraId="750808A6" w14:textId="49141B20"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48C91EF2" w14:textId="77777777" w:rsidTr="00C71C3C">
        <w:trPr>
          <w:trHeight w:val="255"/>
        </w:trPr>
        <w:tc>
          <w:tcPr>
            <w:tcW w:w="2160" w:type="dxa"/>
            <w:tcBorders>
              <w:top w:val="nil"/>
              <w:left w:val="nil"/>
              <w:bottom w:val="nil"/>
              <w:right w:val="nil"/>
            </w:tcBorders>
            <w:shd w:val="clear" w:color="auto" w:fill="auto"/>
            <w:noWrap/>
            <w:vAlign w:val="bottom"/>
          </w:tcPr>
          <w:p w14:paraId="1BE64043" w14:textId="3CD34C79"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B65</w:t>
            </w:r>
          </w:p>
        </w:tc>
        <w:tc>
          <w:tcPr>
            <w:tcW w:w="1440" w:type="dxa"/>
            <w:tcBorders>
              <w:top w:val="nil"/>
              <w:left w:val="nil"/>
              <w:bottom w:val="nil"/>
              <w:right w:val="nil"/>
            </w:tcBorders>
            <w:shd w:val="clear" w:color="auto" w:fill="auto"/>
            <w:noWrap/>
            <w:vAlign w:val="bottom"/>
          </w:tcPr>
          <w:p w14:paraId="6B3C0E26" w14:textId="1129866A"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tcPr>
          <w:p w14:paraId="79F7B067" w14:textId="01165CCA"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B22</w:t>
            </w:r>
          </w:p>
        </w:tc>
        <w:tc>
          <w:tcPr>
            <w:tcW w:w="1440" w:type="dxa"/>
            <w:tcBorders>
              <w:top w:val="nil"/>
              <w:left w:val="nil"/>
              <w:bottom w:val="nil"/>
              <w:right w:val="nil"/>
            </w:tcBorders>
            <w:vAlign w:val="bottom"/>
          </w:tcPr>
          <w:p w14:paraId="2E374F23" w14:textId="3F10856F"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1AE3C4F6" w14:textId="71164977"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11</w:t>
            </w:r>
          </w:p>
        </w:tc>
        <w:tc>
          <w:tcPr>
            <w:tcW w:w="720" w:type="dxa"/>
            <w:tcBorders>
              <w:top w:val="nil"/>
              <w:left w:val="nil"/>
              <w:bottom w:val="nil"/>
              <w:right w:val="nil"/>
            </w:tcBorders>
            <w:shd w:val="clear" w:color="auto" w:fill="auto"/>
            <w:noWrap/>
            <w:vAlign w:val="bottom"/>
          </w:tcPr>
          <w:p w14:paraId="2F07E3A4" w14:textId="279A041A"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82%</w:t>
            </w:r>
          </w:p>
        </w:tc>
        <w:tc>
          <w:tcPr>
            <w:tcW w:w="800" w:type="dxa"/>
            <w:tcBorders>
              <w:top w:val="nil"/>
              <w:left w:val="nil"/>
              <w:bottom w:val="nil"/>
              <w:right w:val="nil"/>
            </w:tcBorders>
            <w:vAlign w:val="bottom"/>
          </w:tcPr>
          <w:p w14:paraId="5CB4CEFC" w14:textId="25DE6E2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73%</w:t>
            </w:r>
          </w:p>
        </w:tc>
        <w:tc>
          <w:tcPr>
            <w:tcW w:w="720" w:type="dxa"/>
            <w:tcBorders>
              <w:top w:val="nil"/>
              <w:left w:val="nil"/>
              <w:bottom w:val="nil"/>
              <w:right w:val="nil"/>
            </w:tcBorders>
            <w:vAlign w:val="bottom"/>
          </w:tcPr>
          <w:p w14:paraId="1118AFB4" w14:textId="53569AF4"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7B193BAB" w14:textId="6C52EE94"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12130091" w14:textId="1F8EF7C3"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E096E73" w14:textId="50970F2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6CC17C34" w14:textId="5535C411"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4B1D6F8B" w14:textId="7772E9A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27%</w:t>
            </w:r>
          </w:p>
        </w:tc>
        <w:tc>
          <w:tcPr>
            <w:tcW w:w="720" w:type="dxa"/>
            <w:tcBorders>
              <w:top w:val="nil"/>
              <w:left w:val="nil"/>
              <w:bottom w:val="nil"/>
              <w:right w:val="nil"/>
            </w:tcBorders>
            <w:vAlign w:val="bottom"/>
          </w:tcPr>
          <w:p w14:paraId="55C6DAEA" w14:textId="6D2B05F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2F4E387A" w14:textId="77777777" w:rsidTr="00C71C3C">
        <w:trPr>
          <w:trHeight w:val="255"/>
        </w:trPr>
        <w:tc>
          <w:tcPr>
            <w:tcW w:w="2160" w:type="dxa"/>
            <w:tcBorders>
              <w:top w:val="nil"/>
              <w:left w:val="nil"/>
              <w:bottom w:val="nil"/>
              <w:right w:val="nil"/>
            </w:tcBorders>
            <w:shd w:val="clear" w:color="auto" w:fill="auto"/>
            <w:noWrap/>
            <w:vAlign w:val="bottom"/>
          </w:tcPr>
          <w:p w14:paraId="362B5C4F" w14:textId="51F26169"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B65</w:t>
            </w:r>
          </w:p>
        </w:tc>
        <w:tc>
          <w:tcPr>
            <w:tcW w:w="1440" w:type="dxa"/>
            <w:tcBorders>
              <w:top w:val="nil"/>
              <w:left w:val="nil"/>
              <w:bottom w:val="nil"/>
              <w:right w:val="nil"/>
            </w:tcBorders>
            <w:shd w:val="clear" w:color="auto" w:fill="auto"/>
            <w:noWrap/>
            <w:vAlign w:val="bottom"/>
          </w:tcPr>
          <w:p w14:paraId="38812408" w14:textId="5A8FE38B"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tcPr>
          <w:p w14:paraId="4D501EDF" w14:textId="5D192E1A"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Psyc B5</w:t>
            </w:r>
          </w:p>
        </w:tc>
        <w:tc>
          <w:tcPr>
            <w:tcW w:w="1440" w:type="dxa"/>
            <w:tcBorders>
              <w:top w:val="nil"/>
              <w:left w:val="nil"/>
              <w:bottom w:val="nil"/>
              <w:right w:val="nil"/>
            </w:tcBorders>
            <w:vAlign w:val="bottom"/>
          </w:tcPr>
          <w:p w14:paraId="15BD344B" w14:textId="77DBD0C2"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168BEE93" w14:textId="3E3C271B"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2</w:t>
            </w:r>
          </w:p>
        </w:tc>
        <w:tc>
          <w:tcPr>
            <w:tcW w:w="720" w:type="dxa"/>
            <w:tcBorders>
              <w:top w:val="nil"/>
              <w:left w:val="nil"/>
              <w:bottom w:val="nil"/>
              <w:right w:val="nil"/>
            </w:tcBorders>
            <w:shd w:val="clear" w:color="auto" w:fill="auto"/>
            <w:noWrap/>
            <w:vAlign w:val="bottom"/>
          </w:tcPr>
          <w:p w14:paraId="114C4244" w14:textId="5A9C116A"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100%</w:t>
            </w:r>
          </w:p>
        </w:tc>
        <w:tc>
          <w:tcPr>
            <w:tcW w:w="800" w:type="dxa"/>
            <w:tcBorders>
              <w:top w:val="nil"/>
              <w:left w:val="nil"/>
              <w:bottom w:val="nil"/>
              <w:right w:val="nil"/>
            </w:tcBorders>
            <w:vAlign w:val="bottom"/>
          </w:tcPr>
          <w:p w14:paraId="3596DB68" w14:textId="1593F6F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100%</w:t>
            </w:r>
          </w:p>
        </w:tc>
        <w:tc>
          <w:tcPr>
            <w:tcW w:w="720" w:type="dxa"/>
            <w:tcBorders>
              <w:top w:val="nil"/>
              <w:left w:val="nil"/>
              <w:bottom w:val="nil"/>
              <w:right w:val="nil"/>
            </w:tcBorders>
            <w:vAlign w:val="bottom"/>
          </w:tcPr>
          <w:p w14:paraId="0D95EB00" w14:textId="13ED7161"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4B651399" w14:textId="449793A2"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FADC20C" w14:textId="4AC3ADD6"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47FA5506" w14:textId="4E2E4B53"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37F418D6" w14:textId="0AAFAD33"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C642FF9" w14:textId="1109B3D1"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2A69938C" w14:textId="397A61B5"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684A12D4" w14:textId="77777777" w:rsidTr="00C71C3C">
        <w:trPr>
          <w:trHeight w:val="255"/>
        </w:trPr>
        <w:tc>
          <w:tcPr>
            <w:tcW w:w="2160" w:type="dxa"/>
            <w:tcBorders>
              <w:top w:val="nil"/>
              <w:left w:val="nil"/>
              <w:bottom w:val="nil"/>
              <w:right w:val="nil"/>
            </w:tcBorders>
            <w:shd w:val="clear" w:color="auto" w:fill="auto"/>
            <w:noWrap/>
            <w:vAlign w:val="bottom"/>
          </w:tcPr>
          <w:p w14:paraId="6392EEF2" w14:textId="2FA53359" w:rsidR="00280860" w:rsidRPr="00E6476E" w:rsidRDefault="00280860" w:rsidP="00805C96">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LRNC B530</w:t>
            </w:r>
            <w:r w:rsidR="00C71C3C" w:rsidRPr="00E6476E">
              <w:rPr>
                <w:rFonts w:ascii="Times New Roman" w:eastAsia="Times New Roman" w:hAnsi="Times New Roman" w:cs="Times New Roman"/>
                <w:color w:val="000000" w:themeColor="text1"/>
                <w:sz w:val="16"/>
                <w:szCs w:val="16"/>
              </w:rPr>
              <w:t xml:space="preserve"> (Math B</w:t>
            </w:r>
            <w:r w:rsidR="00805C96" w:rsidRPr="00E6476E">
              <w:rPr>
                <w:rFonts w:ascii="Times New Roman" w:eastAsia="Times New Roman" w:hAnsi="Times New Roman" w:cs="Times New Roman"/>
                <w:color w:val="000000" w:themeColor="text1"/>
                <w:sz w:val="16"/>
                <w:szCs w:val="16"/>
              </w:rPr>
              <w:t>6</w:t>
            </w:r>
            <w:r w:rsidR="00C71C3C" w:rsidRPr="00E6476E">
              <w:rPr>
                <w:rFonts w:ascii="Times New Roman" w:eastAsia="Times New Roman" w:hAnsi="Times New Roman" w:cs="Times New Roman"/>
                <w:color w:val="000000" w:themeColor="text1"/>
                <w:sz w:val="16"/>
                <w:szCs w:val="16"/>
              </w:rPr>
              <w:t>0)</w:t>
            </w:r>
          </w:p>
        </w:tc>
        <w:tc>
          <w:tcPr>
            <w:tcW w:w="1440" w:type="dxa"/>
            <w:tcBorders>
              <w:top w:val="nil"/>
              <w:left w:val="nil"/>
              <w:bottom w:val="nil"/>
              <w:right w:val="nil"/>
            </w:tcBorders>
            <w:shd w:val="clear" w:color="auto" w:fill="auto"/>
            <w:noWrap/>
            <w:vAlign w:val="bottom"/>
          </w:tcPr>
          <w:p w14:paraId="16E5A36A" w14:textId="6E7BC09A"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tcPr>
          <w:p w14:paraId="02BAE9C3" w14:textId="59AC4B63" w:rsidR="00280860" w:rsidRPr="00E6476E" w:rsidRDefault="00280860" w:rsidP="00786E63">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LRNC B530</w:t>
            </w:r>
            <w:r w:rsidR="00C71C3C" w:rsidRPr="00E6476E">
              <w:rPr>
                <w:rFonts w:ascii="Times New Roman" w:eastAsia="Times New Roman" w:hAnsi="Times New Roman" w:cs="Times New Roman"/>
                <w:color w:val="000000" w:themeColor="text1"/>
                <w:sz w:val="16"/>
                <w:szCs w:val="16"/>
              </w:rPr>
              <w:t xml:space="preserve"> (Math B</w:t>
            </w:r>
            <w:r w:rsidR="00786E63" w:rsidRPr="00E6476E">
              <w:rPr>
                <w:rFonts w:ascii="Times New Roman" w:eastAsia="Times New Roman" w:hAnsi="Times New Roman" w:cs="Times New Roman"/>
                <w:color w:val="000000" w:themeColor="text1"/>
                <w:sz w:val="16"/>
                <w:szCs w:val="16"/>
              </w:rPr>
              <w:t>70</w:t>
            </w:r>
            <w:r w:rsidR="00C71C3C" w:rsidRPr="00E6476E">
              <w:rPr>
                <w:rFonts w:ascii="Times New Roman" w:eastAsia="Times New Roman" w:hAnsi="Times New Roman" w:cs="Times New Roman"/>
                <w:color w:val="000000" w:themeColor="text1"/>
                <w:sz w:val="16"/>
                <w:szCs w:val="16"/>
              </w:rPr>
              <w:t>)</w:t>
            </w:r>
          </w:p>
        </w:tc>
        <w:tc>
          <w:tcPr>
            <w:tcW w:w="1440" w:type="dxa"/>
            <w:tcBorders>
              <w:top w:val="nil"/>
              <w:left w:val="nil"/>
              <w:bottom w:val="nil"/>
              <w:right w:val="nil"/>
            </w:tcBorders>
            <w:vAlign w:val="bottom"/>
          </w:tcPr>
          <w:p w14:paraId="57A67F8E" w14:textId="46E48FB9"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297860C0" w14:textId="517A7FE8"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18</w:t>
            </w:r>
          </w:p>
        </w:tc>
        <w:tc>
          <w:tcPr>
            <w:tcW w:w="720" w:type="dxa"/>
            <w:tcBorders>
              <w:top w:val="nil"/>
              <w:left w:val="nil"/>
              <w:bottom w:val="nil"/>
              <w:right w:val="nil"/>
            </w:tcBorders>
            <w:shd w:val="clear" w:color="auto" w:fill="auto"/>
            <w:noWrap/>
            <w:vAlign w:val="bottom"/>
          </w:tcPr>
          <w:p w14:paraId="0A248164" w14:textId="305503A6"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33%</w:t>
            </w:r>
          </w:p>
        </w:tc>
        <w:tc>
          <w:tcPr>
            <w:tcW w:w="800" w:type="dxa"/>
            <w:tcBorders>
              <w:top w:val="nil"/>
              <w:left w:val="nil"/>
              <w:bottom w:val="nil"/>
              <w:right w:val="nil"/>
            </w:tcBorders>
            <w:vAlign w:val="bottom"/>
          </w:tcPr>
          <w:p w14:paraId="3584926D" w14:textId="40BB788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50%</w:t>
            </w:r>
          </w:p>
        </w:tc>
        <w:tc>
          <w:tcPr>
            <w:tcW w:w="720" w:type="dxa"/>
            <w:tcBorders>
              <w:top w:val="nil"/>
              <w:left w:val="nil"/>
              <w:bottom w:val="nil"/>
              <w:right w:val="nil"/>
            </w:tcBorders>
            <w:vAlign w:val="bottom"/>
          </w:tcPr>
          <w:p w14:paraId="1CEA6AD5" w14:textId="3FBB54C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68113D8D" w14:textId="06078F0A"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87331B2" w14:textId="4FF0B4D8"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64673F2" w14:textId="610C9368"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760A74E3" w14:textId="10943C05"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23142553" w14:textId="1A79F322"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50%</w:t>
            </w:r>
          </w:p>
        </w:tc>
        <w:tc>
          <w:tcPr>
            <w:tcW w:w="720" w:type="dxa"/>
            <w:tcBorders>
              <w:top w:val="nil"/>
              <w:left w:val="nil"/>
              <w:bottom w:val="nil"/>
              <w:right w:val="nil"/>
            </w:tcBorders>
            <w:vAlign w:val="bottom"/>
          </w:tcPr>
          <w:p w14:paraId="0A332CCB" w14:textId="3D728382"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21EE602A" w14:textId="77777777" w:rsidTr="00C71C3C">
        <w:trPr>
          <w:trHeight w:val="255"/>
        </w:trPr>
        <w:tc>
          <w:tcPr>
            <w:tcW w:w="2160" w:type="dxa"/>
            <w:tcBorders>
              <w:top w:val="nil"/>
              <w:left w:val="nil"/>
              <w:bottom w:val="nil"/>
              <w:right w:val="nil"/>
            </w:tcBorders>
            <w:shd w:val="clear" w:color="auto" w:fill="auto"/>
            <w:noWrap/>
            <w:vAlign w:val="bottom"/>
          </w:tcPr>
          <w:p w14:paraId="276D1844" w14:textId="2D23D228"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shd w:val="clear" w:color="auto" w:fill="auto"/>
            <w:noWrap/>
            <w:vAlign w:val="bottom"/>
          </w:tcPr>
          <w:p w14:paraId="1F48C012" w14:textId="5242218C"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tcPr>
          <w:p w14:paraId="44FD4470" w14:textId="4E0DC99B"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B1A</w:t>
            </w:r>
          </w:p>
        </w:tc>
        <w:tc>
          <w:tcPr>
            <w:tcW w:w="1440" w:type="dxa"/>
            <w:tcBorders>
              <w:top w:val="nil"/>
              <w:left w:val="nil"/>
              <w:bottom w:val="nil"/>
              <w:right w:val="nil"/>
            </w:tcBorders>
            <w:vAlign w:val="bottom"/>
          </w:tcPr>
          <w:p w14:paraId="4337449E" w14:textId="496A7FC0"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3A5049A0" w14:textId="384F4216"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61</w:t>
            </w:r>
          </w:p>
        </w:tc>
        <w:tc>
          <w:tcPr>
            <w:tcW w:w="720" w:type="dxa"/>
            <w:tcBorders>
              <w:top w:val="nil"/>
              <w:left w:val="nil"/>
              <w:bottom w:val="nil"/>
              <w:right w:val="nil"/>
            </w:tcBorders>
            <w:shd w:val="clear" w:color="auto" w:fill="auto"/>
            <w:noWrap/>
            <w:vAlign w:val="bottom"/>
          </w:tcPr>
          <w:p w14:paraId="35254C01" w14:textId="4879BF9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49%</w:t>
            </w:r>
          </w:p>
        </w:tc>
        <w:tc>
          <w:tcPr>
            <w:tcW w:w="800" w:type="dxa"/>
            <w:tcBorders>
              <w:top w:val="nil"/>
              <w:left w:val="nil"/>
              <w:bottom w:val="nil"/>
              <w:right w:val="nil"/>
            </w:tcBorders>
            <w:vAlign w:val="bottom"/>
          </w:tcPr>
          <w:p w14:paraId="72E183C6" w14:textId="7552C57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44%</w:t>
            </w:r>
          </w:p>
        </w:tc>
        <w:tc>
          <w:tcPr>
            <w:tcW w:w="720" w:type="dxa"/>
            <w:tcBorders>
              <w:top w:val="nil"/>
              <w:left w:val="nil"/>
              <w:bottom w:val="nil"/>
              <w:right w:val="nil"/>
            </w:tcBorders>
            <w:vAlign w:val="bottom"/>
          </w:tcPr>
          <w:p w14:paraId="524BC683" w14:textId="5FB2B69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36%</w:t>
            </w:r>
          </w:p>
        </w:tc>
        <w:tc>
          <w:tcPr>
            <w:tcW w:w="720" w:type="dxa"/>
            <w:tcBorders>
              <w:top w:val="nil"/>
              <w:left w:val="nil"/>
              <w:bottom w:val="nil"/>
              <w:right w:val="nil"/>
            </w:tcBorders>
            <w:vAlign w:val="bottom"/>
          </w:tcPr>
          <w:p w14:paraId="400B7EDC" w14:textId="6B07164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140E8DA6" w14:textId="6056B4F5"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0D5CD6F9" w14:textId="3A7FD7F8"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1D813F0A" w14:textId="21CF520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35134538" w14:textId="380B113A"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20%</w:t>
            </w:r>
          </w:p>
        </w:tc>
        <w:tc>
          <w:tcPr>
            <w:tcW w:w="720" w:type="dxa"/>
            <w:tcBorders>
              <w:top w:val="nil"/>
              <w:left w:val="nil"/>
              <w:bottom w:val="nil"/>
              <w:right w:val="nil"/>
            </w:tcBorders>
            <w:vAlign w:val="bottom"/>
          </w:tcPr>
          <w:p w14:paraId="025C1716" w14:textId="4953F69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30AE04B0" w14:textId="77777777" w:rsidTr="00C71C3C">
        <w:trPr>
          <w:trHeight w:val="255"/>
        </w:trPr>
        <w:tc>
          <w:tcPr>
            <w:tcW w:w="2160" w:type="dxa"/>
            <w:tcBorders>
              <w:top w:val="nil"/>
              <w:left w:val="nil"/>
              <w:bottom w:val="nil"/>
              <w:right w:val="nil"/>
            </w:tcBorders>
            <w:shd w:val="clear" w:color="auto" w:fill="auto"/>
            <w:noWrap/>
            <w:vAlign w:val="bottom"/>
          </w:tcPr>
          <w:p w14:paraId="6A841773" w14:textId="01FC1FAC"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shd w:val="clear" w:color="auto" w:fill="auto"/>
            <w:noWrap/>
            <w:vAlign w:val="bottom"/>
          </w:tcPr>
          <w:p w14:paraId="68847A6E" w14:textId="4057AD3A"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tcPr>
          <w:p w14:paraId="3D59BE21" w14:textId="7E9D563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B22</w:t>
            </w:r>
          </w:p>
        </w:tc>
        <w:tc>
          <w:tcPr>
            <w:tcW w:w="1440" w:type="dxa"/>
            <w:tcBorders>
              <w:top w:val="nil"/>
              <w:left w:val="nil"/>
              <w:bottom w:val="nil"/>
              <w:right w:val="nil"/>
            </w:tcBorders>
            <w:vAlign w:val="bottom"/>
          </w:tcPr>
          <w:p w14:paraId="36DFCE9B" w14:textId="15B3D6E6"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4305E940" w14:textId="4E6E7530"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56</w:t>
            </w:r>
          </w:p>
        </w:tc>
        <w:tc>
          <w:tcPr>
            <w:tcW w:w="720" w:type="dxa"/>
            <w:tcBorders>
              <w:top w:val="nil"/>
              <w:left w:val="nil"/>
              <w:bottom w:val="nil"/>
              <w:right w:val="nil"/>
            </w:tcBorders>
            <w:shd w:val="clear" w:color="auto" w:fill="auto"/>
            <w:noWrap/>
            <w:vAlign w:val="bottom"/>
          </w:tcPr>
          <w:p w14:paraId="54D20707" w14:textId="01B8A861"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40%</w:t>
            </w:r>
          </w:p>
        </w:tc>
        <w:tc>
          <w:tcPr>
            <w:tcW w:w="800" w:type="dxa"/>
            <w:tcBorders>
              <w:top w:val="nil"/>
              <w:left w:val="nil"/>
              <w:bottom w:val="nil"/>
              <w:right w:val="nil"/>
            </w:tcBorders>
            <w:vAlign w:val="bottom"/>
          </w:tcPr>
          <w:p w14:paraId="18647C06" w14:textId="1CB569B9"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34%</w:t>
            </w:r>
          </w:p>
        </w:tc>
        <w:tc>
          <w:tcPr>
            <w:tcW w:w="720" w:type="dxa"/>
            <w:tcBorders>
              <w:top w:val="nil"/>
              <w:left w:val="nil"/>
              <w:bottom w:val="nil"/>
              <w:right w:val="nil"/>
            </w:tcBorders>
            <w:vAlign w:val="bottom"/>
          </w:tcPr>
          <w:p w14:paraId="28D27F4F" w14:textId="48685D08"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50%</w:t>
            </w:r>
          </w:p>
        </w:tc>
        <w:tc>
          <w:tcPr>
            <w:tcW w:w="720" w:type="dxa"/>
            <w:tcBorders>
              <w:top w:val="nil"/>
              <w:left w:val="nil"/>
              <w:bottom w:val="nil"/>
              <w:right w:val="nil"/>
            </w:tcBorders>
            <w:vAlign w:val="bottom"/>
          </w:tcPr>
          <w:p w14:paraId="2E6AC41B" w14:textId="09EF4D23"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50F20172" w14:textId="796909D2"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6F2E50BF" w14:textId="558D211B"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517A3A7F" w14:textId="298A919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995F54E" w14:textId="7D3B342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16%</w:t>
            </w:r>
          </w:p>
        </w:tc>
        <w:tc>
          <w:tcPr>
            <w:tcW w:w="720" w:type="dxa"/>
            <w:tcBorders>
              <w:top w:val="nil"/>
              <w:left w:val="nil"/>
              <w:bottom w:val="nil"/>
              <w:right w:val="nil"/>
            </w:tcBorders>
            <w:vAlign w:val="bottom"/>
          </w:tcPr>
          <w:p w14:paraId="59230CC7" w14:textId="78EFD4D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6F885945" w14:textId="77777777" w:rsidTr="00C71C3C">
        <w:trPr>
          <w:trHeight w:val="255"/>
        </w:trPr>
        <w:tc>
          <w:tcPr>
            <w:tcW w:w="2160" w:type="dxa"/>
            <w:tcBorders>
              <w:top w:val="nil"/>
              <w:left w:val="nil"/>
              <w:bottom w:val="nil"/>
              <w:right w:val="nil"/>
            </w:tcBorders>
            <w:shd w:val="clear" w:color="auto" w:fill="auto"/>
            <w:noWrap/>
            <w:vAlign w:val="bottom"/>
          </w:tcPr>
          <w:p w14:paraId="4D270A11" w14:textId="7500C1FC"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shd w:val="clear" w:color="auto" w:fill="auto"/>
            <w:noWrap/>
            <w:vAlign w:val="bottom"/>
          </w:tcPr>
          <w:p w14:paraId="6DB9FA73" w14:textId="391ECA45"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Successful</w:t>
            </w:r>
          </w:p>
        </w:tc>
        <w:tc>
          <w:tcPr>
            <w:tcW w:w="2160" w:type="dxa"/>
            <w:tcBorders>
              <w:top w:val="nil"/>
              <w:left w:val="nil"/>
              <w:bottom w:val="nil"/>
              <w:right w:val="nil"/>
            </w:tcBorders>
            <w:shd w:val="clear" w:color="auto" w:fill="auto"/>
            <w:noWrap/>
            <w:vAlign w:val="bottom"/>
          </w:tcPr>
          <w:p w14:paraId="12CA0A89" w14:textId="6D429E4B"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Psyc B5</w:t>
            </w:r>
          </w:p>
        </w:tc>
        <w:tc>
          <w:tcPr>
            <w:tcW w:w="1440" w:type="dxa"/>
            <w:tcBorders>
              <w:top w:val="nil"/>
              <w:left w:val="nil"/>
              <w:bottom w:val="nil"/>
              <w:right w:val="nil"/>
            </w:tcBorders>
            <w:vAlign w:val="bottom"/>
          </w:tcPr>
          <w:p w14:paraId="6C02EDE1" w14:textId="2F47E97B"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476CAED9" w14:textId="56E893CB"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4</w:t>
            </w:r>
          </w:p>
        </w:tc>
        <w:tc>
          <w:tcPr>
            <w:tcW w:w="720" w:type="dxa"/>
            <w:tcBorders>
              <w:top w:val="nil"/>
              <w:left w:val="nil"/>
              <w:bottom w:val="nil"/>
              <w:right w:val="nil"/>
            </w:tcBorders>
            <w:shd w:val="clear" w:color="auto" w:fill="auto"/>
            <w:noWrap/>
            <w:vAlign w:val="bottom"/>
          </w:tcPr>
          <w:p w14:paraId="2F7C9A11" w14:textId="24204983"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60%</w:t>
            </w:r>
          </w:p>
        </w:tc>
        <w:tc>
          <w:tcPr>
            <w:tcW w:w="800" w:type="dxa"/>
            <w:tcBorders>
              <w:top w:val="nil"/>
              <w:left w:val="nil"/>
              <w:bottom w:val="nil"/>
              <w:right w:val="nil"/>
            </w:tcBorders>
            <w:vAlign w:val="bottom"/>
          </w:tcPr>
          <w:p w14:paraId="5A2F52D8" w14:textId="4E721463"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50%</w:t>
            </w:r>
          </w:p>
        </w:tc>
        <w:tc>
          <w:tcPr>
            <w:tcW w:w="720" w:type="dxa"/>
            <w:tcBorders>
              <w:top w:val="nil"/>
              <w:left w:val="nil"/>
              <w:bottom w:val="nil"/>
              <w:right w:val="nil"/>
            </w:tcBorders>
            <w:vAlign w:val="bottom"/>
          </w:tcPr>
          <w:p w14:paraId="6D9775AF" w14:textId="4C16FCA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668AB980" w14:textId="3C6EDE01"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2FB584F" w14:textId="4DAAAFE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2F77D5B9" w14:textId="223BE4BF"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230CEF0A" w14:textId="4400066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129606F4" w14:textId="118FFE16"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50%</w:t>
            </w:r>
          </w:p>
        </w:tc>
        <w:tc>
          <w:tcPr>
            <w:tcW w:w="720" w:type="dxa"/>
            <w:tcBorders>
              <w:top w:val="nil"/>
              <w:left w:val="nil"/>
              <w:bottom w:val="nil"/>
              <w:right w:val="nil"/>
            </w:tcBorders>
            <w:vAlign w:val="bottom"/>
          </w:tcPr>
          <w:p w14:paraId="423B1458" w14:textId="0A38D5AF"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2474327E" w14:textId="77777777" w:rsidTr="00C71C3C">
        <w:trPr>
          <w:trHeight w:val="255"/>
        </w:trPr>
        <w:tc>
          <w:tcPr>
            <w:tcW w:w="2160" w:type="dxa"/>
            <w:tcBorders>
              <w:top w:val="nil"/>
              <w:left w:val="nil"/>
              <w:bottom w:val="nil"/>
              <w:right w:val="nil"/>
            </w:tcBorders>
            <w:shd w:val="clear" w:color="auto" w:fill="auto"/>
            <w:noWrap/>
            <w:vAlign w:val="bottom"/>
          </w:tcPr>
          <w:p w14:paraId="6DEB4F00" w14:textId="1AC58B6B"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1440" w:type="dxa"/>
            <w:tcBorders>
              <w:top w:val="nil"/>
              <w:left w:val="nil"/>
              <w:bottom w:val="nil"/>
              <w:right w:val="nil"/>
            </w:tcBorders>
            <w:shd w:val="clear" w:color="auto" w:fill="auto"/>
            <w:noWrap/>
            <w:vAlign w:val="bottom"/>
          </w:tcPr>
          <w:p w14:paraId="7742A8B6"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2160" w:type="dxa"/>
            <w:tcBorders>
              <w:top w:val="nil"/>
              <w:left w:val="nil"/>
              <w:bottom w:val="nil"/>
              <w:right w:val="nil"/>
            </w:tcBorders>
            <w:shd w:val="clear" w:color="auto" w:fill="auto"/>
            <w:noWrap/>
            <w:vAlign w:val="bottom"/>
          </w:tcPr>
          <w:p w14:paraId="534F35BE" w14:textId="77777777"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p>
        </w:tc>
        <w:tc>
          <w:tcPr>
            <w:tcW w:w="1440" w:type="dxa"/>
            <w:tcBorders>
              <w:top w:val="nil"/>
              <w:left w:val="nil"/>
              <w:bottom w:val="nil"/>
              <w:right w:val="nil"/>
            </w:tcBorders>
            <w:vAlign w:val="bottom"/>
          </w:tcPr>
          <w:p w14:paraId="20CD9BF5" w14:textId="77777777"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nil"/>
              <w:left w:val="nil"/>
              <w:bottom w:val="nil"/>
              <w:right w:val="nil"/>
            </w:tcBorders>
            <w:shd w:val="clear" w:color="auto" w:fill="auto"/>
            <w:noWrap/>
            <w:vAlign w:val="bottom"/>
          </w:tcPr>
          <w:p w14:paraId="0AE4C8FE" w14:textId="77777777"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shd w:val="clear" w:color="auto" w:fill="auto"/>
            <w:noWrap/>
            <w:vAlign w:val="bottom"/>
          </w:tcPr>
          <w:p w14:paraId="05FF7A97" w14:textId="77777777" w:rsidR="00280860" w:rsidRPr="00E6476E" w:rsidRDefault="00280860" w:rsidP="00280860">
            <w:pPr>
              <w:spacing w:after="0" w:line="240" w:lineRule="auto"/>
              <w:jc w:val="center"/>
              <w:rPr>
                <w:rFonts w:ascii="Times New Roman" w:hAnsi="Times New Roman" w:cs="Times New Roman"/>
                <w:color w:val="000000" w:themeColor="text1"/>
                <w:sz w:val="16"/>
                <w:szCs w:val="16"/>
              </w:rPr>
            </w:pPr>
          </w:p>
        </w:tc>
        <w:tc>
          <w:tcPr>
            <w:tcW w:w="800" w:type="dxa"/>
            <w:tcBorders>
              <w:top w:val="nil"/>
              <w:left w:val="nil"/>
              <w:bottom w:val="nil"/>
              <w:right w:val="nil"/>
            </w:tcBorders>
            <w:vAlign w:val="bottom"/>
          </w:tcPr>
          <w:p w14:paraId="350E9CD1" w14:textId="77777777" w:rsidR="00280860" w:rsidRPr="00E6476E" w:rsidRDefault="00280860" w:rsidP="00280860">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429C1982" w14:textId="77777777" w:rsidR="00280860" w:rsidRPr="00E6476E" w:rsidRDefault="00280860" w:rsidP="00280860">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798B753A" w14:textId="77777777" w:rsidR="00280860" w:rsidRPr="00E6476E" w:rsidRDefault="00280860" w:rsidP="00280860">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761D2C93" w14:textId="77777777" w:rsidR="00280860" w:rsidRPr="00E6476E" w:rsidRDefault="00280860" w:rsidP="00280860">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58440301" w14:textId="77777777" w:rsidR="00280860" w:rsidRPr="00E6476E" w:rsidRDefault="00280860" w:rsidP="00280860">
            <w:pPr>
              <w:spacing w:after="0" w:line="240" w:lineRule="auto"/>
              <w:jc w:val="center"/>
              <w:rPr>
                <w:rFonts w:ascii="Times New Roman" w:hAnsi="Times New Roman" w:cs="Times New Roman"/>
                <w:color w:val="000000" w:themeColor="text1"/>
                <w:sz w:val="16"/>
                <w:szCs w:val="16"/>
              </w:rPr>
            </w:pPr>
          </w:p>
        </w:tc>
        <w:tc>
          <w:tcPr>
            <w:tcW w:w="640" w:type="dxa"/>
            <w:tcBorders>
              <w:top w:val="nil"/>
              <w:left w:val="nil"/>
              <w:bottom w:val="nil"/>
              <w:right w:val="nil"/>
            </w:tcBorders>
            <w:vAlign w:val="bottom"/>
          </w:tcPr>
          <w:p w14:paraId="1F596152" w14:textId="77777777" w:rsidR="00280860" w:rsidRPr="00E6476E" w:rsidRDefault="00280860" w:rsidP="00280860">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nil"/>
              <w:right w:val="nil"/>
            </w:tcBorders>
            <w:vAlign w:val="bottom"/>
          </w:tcPr>
          <w:p w14:paraId="1FF45E53" w14:textId="5C135760"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 </w:t>
            </w:r>
          </w:p>
        </w:tc>
        <w:tc>
          <w:tcPr>
            <w:tcW w:w="720" w:type="dxa"/>
            <w:tcBorders>
              <w:top w:val="nil"/>
              <w:left w:val="nil"/>
              <w:bottom w:val="nil"/>
              <w:right w:val="nil"/>
            </w:tcBorders>
            <w:vAlign w:val="bottom"/>
          </w:tcPr>
          <w:p w14:paraId="42F74DE5" w14:textId="291859AD" w:rsidR="00280860" w:rsidRPr="00E6476E" w:rsidRDefault="00280860" w:rsidP="00280860">
            <w:pPr>
              <w:spacing w:after="0" w:line="240" w:lineRule="auto"/>
              <w:jc w:val="center"/>
              <w:rPr>
                <w:rFonts w:ascii="Times New Roman" w:hAnsi="Times New Roman" w:cs="Times New Roman"/>
                <w:color w:val="000000" w:themeColor="text1"/>
                <w:sz w:val="16"/>
                <w:szCs w:val="16"/>
              </w:rPr>
            </w:pPr>
          </w:p>
        </w:tc>
      </w:tr>
      <w:tr w:rsidR="00280860" w:rsidRPr="00E6476E" w14:paraId="5E54669D" w14:textId="77777777" w:rsidTr="00C71C3C">
        <w:trPr>
          <w:trHeight w:val="255"/>
        </w:trPr>
        <w:tc>
          <w:tcPr>
            <w:tcW w:w="2160" w:type="dxa"/>
            <w:tcBorders>
              <w:top w:val="nil"/>
              <w:left w:val="nil"/>
              <w:bottom w:val="nil"/>
              <w:right w:val="nil"/>
            </w:tcBorders>
            <w:shd w:val="clear" w:color="auto" w:fill="auto"/>
            <w:noWrap/>
            <w:vAlign w:val="bottom"/>
          </w:tcPr>
          <w:p w14:paraId="0C8720EC" w14:textId="2FBF8C4C"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ACDV B72</w:t>
            </w:r>
          </w:p>
        </w:tc>
        <w:tc>
          <w:tcPr>
            <w:tcW w:w="1440" w:type="dxa"/>
            <w:tcBorders>
              <w:top w:val="nil"/>
              <w:left w:val="nil"/>
              <w:bottom w:val="nil"/>
              <w:right w:val="nil"/>
            </w:tcBorders>
            <w:shd w:val="clear" w:color="auto" w:fill="auto"/>
            <w:noWrap/>
            <w:vAlign w:val="bottom"/>
          </w:tcPr>
          <w:p w14:paraId="3706C358" w14:textId="62760C8F"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2160" w:type="dxa"/>
            <w:tcBorders>
              <w:top w:val="nil"/>
              <w:left w:val="nil"/>
              <w:bottom w:val="nil"/>
              <w:right w:val="nil"/>
            </w:tcBorders>
            <w:shd w:val="clear" w:color="auto" w:fill="auto"/>
            <w:noWrap/>
            <w:vAlign w:val="bottom"/>
          </w:tcPr>
          <w:p w14:paraId="1980D6FF" w14:textId="65CCB8B1"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ACDV B72</w:t>
            </w:r>
          </w:p>
        </w:tc>
        <w:tc>
          <w:tcPr>
            <w:tcW w:w="1440" w:type="dxa"/>
            <w:tcBorders>
              <w:top w:val="nil"/>
              <w:left w:val="nil"/>
              <w:bottom w:val="nil"/>
              <w:right w:val="nil"/>
            </w:tcBorders>
            <w:vAlign w:val="bottom"/>
          </w:tcPr>
          <w:p w14:paraId="7EC4A7CF" w14:textId="6AEAEF83"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5966B2B9" w14:textId="03C8CD57"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30</w:t>
            </w:r>
          </w:p>
        </w:tc>
        <w:tc>
          <w:tcPr>
            <w:tcW w:w="720" w:type="dxa"/>
            <w:tcBorders>
              <w:top w:val="nil"/>
              <w:left w:val="nil"/>
              <w:bottom w:val="nil"/>
              <w:right w:val="nil"/>
            </w:tcBorders>
            <w:shd w:val="clear" w:color="auto" w:fill="auto"/>
            <w:noWrap/>
            <w:vAlign w:val="bottom"/>
          </w:tcPr>
          <w:p w14:paraId="53E34D3B" w14:textId="05B0E9E2"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97%</w:t>
            </w:r>
          </w:p>
        </w:tc>
        <w:tc>
          <w:tcPr>
            <w:tcW w:w="800" w:type="dxa"/>
            <w:tcBorders>
              <w:top w:val="nil"/>
              <w:left w:val="nil"/>
              <w:bottom w:val="nil"/>
              <w:right w:val="nil"/>
            </w:tcBorders>
            <w:vAlign w:val="bottom"/>
          </w:tcPr>
          <w:p w14:paraId="5216AB19" w14:textId="7B1C6682"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97%</w:t>
            </w:r>
          </w:p>
        </w:tc>
        <w:tc>
          <w:tcPr>
            <w:tcW w:w="720" w:type="dxa"/>
            <w:tcBorders>
              <w:top w:val="nil"/>
              <w:left w:val="nil"/>
              <w:bottom w:val="nil"/>
              <w:right w:val="nil"/>
            </w:tcBorders>
            <w:vAlign w:val="bottom"/>
          </w:tcPr>
          <w:p w14:paraId="699EB132" w14:textId="04867E89"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0800BCE9" w14:textId="749FF6F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1F5BDFC8" w14:textId="12F10240"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22A4CAC8" w14:textId="5B138491"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664ACA39" w14:textId="3BF6B90C"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5154D04E" w14:textId="7B848BF5"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3%</w:t>
            </w:r>
          </w:p>
        </w:tc>
        <w:tc>
          <w:tcPr>
            <w:tcW w:w="720" w:type="dxa"/>
            <w:tcBorders>
              <w:top w:val="nil"/>
              <w:left w:val="nil"/>
              <w:bottom w:val="nil"/>
              <w:right w:val="nil"/>
            </w:tcBorders>
            <w:vAlign w:val="bottom"/>
          </w:tcPr>
          <w:p w14:paraId="5E3CD215" w14:textId="5D5D2D2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569AFB8C" w14:textId="77777777" w:rsidTr="00C71C3C">
        <w:trPr>
          <w:trHeight w:val="255"/>
        </w:trPr>
        <w:tc>
          <w:tcPr>
            <w:tcW w:w="2160" w:type="dxa"/>
            <w:tcBorders>
              <w:top w:val="nil"/>
              <w:left w:val="nil"/>
              <w:bottom w:val="nil"/>
              <w:right w:val="nil"/>
            </w:tcBorders>
            <w:shd w:val="clear" w:color="auto" w:fill="auto"/>
            <w:noWrap/>
            <w:vAlign w:val="bottom"/>
          </w:tcPr>
          <w:p w14:paraId="390B568C" w14:textId="79D649F8"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B60</w:t>
            </w:r>
          </w:p>
        </w:tc>
        <w:tc>
          <w:tcPr>
            <w:tcW w:w="1440" w:type="dxa"/>
            <w:tcBorders>
              <w:top w:val="nil"/>
              <w:left w:val="nil"/>
              <w:bottom w:val="nil"/>
              <w:right w:val="nil"/>
            </w:tcBorders>
            <w:shd w:val="clear" w:color="auto" w:fill="auto"/>
            <w:noWrap/>
            <w:vAlign w:val="bottom"/>
          </w:tcPr>
          <w:p w14:paraId="0304109B" w14:textId="2CE0AFF9"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2160" w:type="dxa"/>
            <w:tcBorders>
              <w:top w:val="nil"/>
              <w:left w:val="nil"/>
              <w:bottom w:val="nil"/>
              <w:right w:val="nil"/>
            </w:tcBorders>
            <w:shd w:val="clear" w:color="auto" w:fill="auto"/>
            <w:noWrap/>
            <w:vAlign w:val="bottom"/>
          </w:tcPr>
          <w:p w14:paraId="4DFDB252" w14:textId="42CBA71E"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B60</w:t>
            </w:r>
          </w:p>
        </w:tc>
        <w:tc>
          <w:tcPr>
            <w:tcW w:w="1440" w:type="dxa"/>
            <w:tcBorders>
              <w:top w:val="nil"/>
              <w:left w:val="nil"/>
              <w:bottom w:val="nil"/>
              <w:right w:val="nil"/>
            </w:tcBorders>
            <w:vAlign w:val="bottom"/>
          </w:tcPr>
          <w:p w14:paraId="18AECD7C" w14:textId="51F364E8"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050DC26D" w14:textId="721D426B"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53</w:t>
            </w:r>
          </w:p>
        </w:tc>
        <w:tc>
          <w:tcPr>
            <w:tcW w:w="720" w:type="dxa"/>
            <w:tcBorders>
              <w:top w:val="nil"/>
              <w:left w:val="nil"/>
              <w:bottom w:val="nil"/>
              <w:right w:val="nil"/>
            </w:tcBorders>
            <w:shd w:val="clear" w:color="auto" w:fill="auto"/>
            <w:noWrap/>
            <w:vAlign w:val="bottom"/>
          </w:tcPr>
          <w:p w14:paraId="7BE881CC" w14:textId="6F092B8F"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83%</w:t>
            </w:r>
          </w:p>
        </w:tc>
        <w:tc>
          <w:tcPr>
            <w:tcW w:w="800" w:type="dxa"/>
            <w:tcBorders>
              <w:top w:val="nil"/>
              <w:left w:val="nil"/>
              <w:bottom w:val="nil"/>
              <w:right w:val="nil"/>
            </w:tcBorders>
            <w:vAlign w:val="bottom"/>
          </w:tcPr>
          <w:p w14:paraId="21C863C6" w14:textId="41E82445"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89%</w:t>
            </w:r>
          </w:p>
        </w:tc>
        <w:tc>
          <w:tcPr>
            <w:tcW w:w="720" w:type="dxa"/>
            <w:tcBorders>
              <w:top w:val="nil"/>
              <w:left w:val="nil"/>
              <w:bottom w:val="nil"/>
              <w:right w:val="nil"/>
            </w:tcBorders>
            <w:vAlign w:val="bottom"/>
          </w:tcPr>
          <w:p w14:paraId="075C12D5" w14:textId="636E949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724B2063" w14:textId="37D32259"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472659D8" w14:textId="42F0020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25519241" w14:textId="16D198DA"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3F481FAF" w14:textId="0325CFB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4255EE5D" w14:textId="682C5EE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11%</w:t>
            </w:r>
          </w:p>
        </w:tc>
        <w:tc>
          <w:tcPr>
            <w:tcW w:w="720" w:type="dxa"/>
            <w:tcBorders>
              <w:top w:val="nil"/>
              <w:left w:val="nil"/>
              <w:bottom w:val="nil"/>
              <w:right w:val="nil"/>
            </w:tcBorders>
            <w:vAlign w:val="bottom"/>
          </w:tcPr>
          <w:p w14:paraId="4CF46386" w14:textId="64FDE25E"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431E07C8" w14:textId="77777777" w:rsidTr="00C71C3C">
        <w:trPr>
          <w:trHeight w:val="255"/>
        </w:trPr>
        <w:tc>
          <w:tcPr>
            <w:tcW w:w="2160" w:type="dxa"/>
            <w:tcBorders>
              <w:top w:val="nil"/>
              <w:left w:val="nil"/>
              <w:bottom w:val="nil"/>
              <w:right w:val="nil"/>
            </w:tcBorders>
            <w:shd w:val="clear" w:color="auto" w:fill="auto"/>
            <w:noWrap/>
            <w:vAlign w:val="bottom"/>
          </w:tcPr>
          <w:p w14:paraId="2BF06D61" w14:textId="0CA42932"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shd w:val="clear" w:color="auto" w:fill="auto"/>
            <w:noWrap/>
            <w:vAlign w:val="bottom"/>
          </w:tcPr>
          <w:p w14:paraId="41A0ED8B" w14:textId="10CD0D6D"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2160" w:type="dxa"/>
            <w:tcBorders>
              <w:top w:val="nil"/>
              <w:left w:val="nil"/>
              <w:bottom w:val="nil"/>
              <w:right w:val="nil"/>
            </w:tcBorders>
            <w:shd w:val="clear" w:color="auto" w:fill="auto"/>
            <w:noWrap/>
            <w:vAlign w:val="bottom"/>
          </w:tcPr>
          <w:p w14:paraId="55C5B607" w14:textId="2588D329" w:rsidR="00280860" w:rsidRPr="00E6476E" w:rsidRDefault="00280860" w:rsidP="00280860">
            <w:pPr>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Math B70</w:t>
            </w:r>
          </w:p>
        </w:tc>
        <w:tc>
          <w:tcPr>
            <w:tcW w:w="1440" w:type="dxa"/>
            <w:tcBorders>
              <w:top w:val="nil"/>
              <w:left w:val="nil"/>
              <w:bottom w:val="nil"/>
              <w:right w:val="nil"/>
            </w:tcBorders>
            <w:vAlign w:val="bottom"/>
          </w:tcPr>
          <w:p w14:paraId="1CE4FDCA" w14:textId="090E56E9" w:rsidR="00280860" w:rsidRPr="00E6476E" w:rsidRDefault="00280860" w:rsidP="00280860">
            <w:pPr>
              <w:tabs>
                <w:tab w:val="decimal" w:pos="367"/>
              </w:tabs>
              <w:spacing w:after="0" w:line="240" w:lineRule="auto"/>
              <w:jc w:val="center"/>
              <w:rPr>
                <w:rFonts w:ascii="Times New Roman" w:eastAsia="Times New Roman" w:hAnsi="Times New Roman" w:cs="Times New Roman"/>
                <w:color w:val="000000" w:themeColor="text1"/>
                <w:sz w:val="16"/>
                <w:szCs w:val="16"/>
              </w:rPr>
            </w:pPr>
            <w:r w:rsidRPr="00E6476E">
              <w:rPr>
                <w:rFonts w:ascii="Times New Roman" w:eastAsia="Times New Roman" w:hAnsi="Times New Roman" w:cs="Times New Roman"/>
                <w:color w:val="000000" w:themeColor="text1"/>
                <w:sz w:val="16"/>
                <w:szCs w:val="16"/>
              </w:rPr>
              <w:t>Unsuccessful</w:t>
            </w:r>
          </w:p>
        </w:tc>
        <w:tc>
          <w:tcPr>
            <w:tcW w:w="720" w:type="dxa"/>
            <w:tcBorders>
              <w:top w:val="nil"/>
              <w:left w:val="nil"/>
              <w:bottom w:val="nil"/>
              <w:right w:val="nil"/>
            </w:tcBorders>
            <w:shd w:val="clear" w:color="auto" w:fill="auto"/>
            <w:noWrap/>
            <w:vAlign w:val="bottom"/>
          </w:tcPr>
          <w:p w14:paraId="17E900A8" w14:textId="30A56FB1" w:rsidR="00280860" w:rsidRPr="00E6476E" w:rsidRDefault="00280860" w:rsidP="00280860">
            <w:pPr>
              <w:tabs>
                <w:tab w:val="decimal" w:pos="367"/>
              </w:tabs>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76</w:t>
            </w:r>
          </w:p>
        </w:tc>
        <w:tc>
          <w:tcPr>
            <w:tcW w:w="720" w:type="dxa"/>
            <w:tcBorders>
              <w:top w:val="nil"/>
              <w:left w:val="nil"/>
              <w:bottom w:val="nil"/>
              <w:right w:val="nil"/>
            </w:tcBorders>
            <w:shd w:val="clear" w:color="auto" w:fill="auto"/>
            <w:noWrap/>
            <w:vAlign w:val="bottom"/>
          </w:tcPr>
          <w:p w14:paraId="60CAF170" w14:textId="183A282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87%</w:t>
            </w:r>
          </w:p>
        </w:tc>
        <w:tc>
          <w:tcPr>
            <w:tcW w:w="800" w:type="dxa"/>
            <w:tcBorders>
              <w:top w:val="nil"/>
              <w:left w:val="nil"/>
              <w:bottom w:val="nil"/>
              <w:right w:val="nil"/>
            </w:tcBorders>
            <w:vAlign w:val="bottom"/>
          </w:tcPr>
          <w:p w14:paraId="649D4FAB" w14:textId="003F9C98"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87%</w:t>
            </w:r>
          </w:p>
        </w:tc>
        <w:tc>
          <w:tcPr>
            <w:tcW w:w="720" w:type="dxa"/>
            <w:tcBorders>
              <w:top w:val="nil"/>
              <w:left w:val="nil"/>
              <w:bottom w:val="nil"/>
              <w:right w:val="nil"/>
            </w:tcBorders>
            <w:vAlign w:val="bottom"/>
          </w:tcPr>
          <w:p w14:paraId="2188083A" w14:textId="48B43BC9"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w:t>
            </w:r>
          </w:p>
        </w:tc>
        <w:tc>
          <w:tcPr>
            <w:tcW w:w="720" w:type="dxa"/>
            <w:tcBorders>
              <w:top w:val="nil"/>
              <w:left w:val="nil"/>
              <w:bottom w:val="nil"/>
              <w:right w:val="nil"/>
            </w:tcBorders>
            <w:vAlign w:val="bottom"/>
          </w:tcPr>
          <w:p w14:paraId="7AB06D36" w14:textId="769A27A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5D5AB025" w14:textId="4DD0B744"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7B245B45" w14:textId="66C95BE8"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640" w:type="dxa"/>
            <w:tcBorders>
              <w:top w:val="nil"/>
              <w:left w:val="nil"/>
              <w:bottom w:val="nil"/>
              <w:right w:val="nil"/>
            </w:tcBorders>
            <w:vAlign w:val="bottom"/>
          </w:tcPr>
          <w:p w14:paraId="570AC1CF" w14:textId="429F892D"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w:t>
            </w:r>
          </w:p>
        </w:tc>
        <w:tc>
          <w:tcPr>
            <w:tcW w:w="720" w:type="dxa"/>
            <w:tcBorders>
              <w:top w:val="nil"/>
              <w:left w:val="nil"/>
              <w:bottom w:val="nil"/>
              <w:right w:val="nil"/>
            </w:tcBorders>
            <w:vAlign w:val="bottom"/>
          </w:tcPr>
          <w:p w14:paraId="398E3CE9" w14:textId="60241FC5"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sz w:val="16"/>
                <w:szCs w:val="16"/>
              </w:rPr>
              <w:t>13%</w:t>
            </w:r>
          </w:p>
        </w:tc>
        <w:tc>
          <w:tcPr>
            <w:tcW w:w="720" w:type="dxa"/>
            <w:tcBorders>
              <w:top w:val="nil"/>
              <w:left w:val="nil"/>
              <w:bottom w:val="nil"/>
              <w:right w:val="nil"/>
            </w:tcBorders>
            <w:vAlign w:val="bottom"/>
          </w:tcPr>
          <w:p w14:paraId="52B9F5F8" w14:textId="0B9380F7" w:rsidR="00280860" w:rsidRPr="00E6476E" w:rsidRDefault="00280860" w:rsidP="00280860">
            <w:pPr>
              <w:spacing w:after="0" w:line="240" w:lineRule="auto"/>
              <w:jc w:val="center"/>
              <w:rPr>
                <w:rFonts w:ascii="Times New Roman" w:hAnsi="Times New Roman" w:cs="Times New Roman"/>
                <w:color w:val="000000" w:themeColor="text1"/>
                <w:sz w:val="16"/>
                <w:szCs w:val="16"/>
              </w:rPr>
            </w:pPr>
            <w:r w:rsidRPr="00E6476E">
              <w:rPr>
                <w:rFonts w:ascii="Times New Roman" w:hAnsi="Times New Roman" w:cs="Times New Roman"/>
                <w:color w:val="000000" w:themeColor="text1"/>
                <w:sz w:val="16"/>
                <w:szCs w:val="16"/>
              </w:rPr>
              <w:t>100%</w:t>
            </w:r>
          </w:p>
        </w:tc>
      </w:tr>
      <w:tr w:rsidR="00280860" w:rsidRPr="00E6476E" w14:paraId="453213C0" w14:textId="77777777" w:rsidTr="00C71C3C">
        <w:trPr>
          <w:trHeight w:val="255"/>
        </w:trPr>
        <w:tc>
          <w:tcPr>
            <w:tcW w:w="2160" w:type="dxa"/>
            <w:tcBorders>
              <w:top w:val="nil"/>
              <w:left w:val="nil"/>
              <w:bottom w:val="single" w:sz="4" w:space="0" w:color="auto"/>
              <w:right w:val="nil"/>
            </w:tcBorders>
            <w:shd w:val="clear" w:color="auto" w:fill="auto"/>
            <w:noWrap/>
            <w:vAlign w:val="bottom"/>
          </w:tcPr>
          <w:p w14:paraId="1E7F14C2" w14:textId="77777777" w:rsidR="00280860" w:rsidRPr="00E6476E" w:rsidRDefault="00280860" w:rsidP="00076125">
            <w:pPr>
              <w:spacing w:after="0" w:line="240" w:lineRule="auto"/>
              <w:jc w:val="center"/>
              <w:rPr>
                <w:rFonts w:ascii="Times New Roman" w:eastAsia="Times New Roman" w:hAnsi="Times New Roman" w:cs="Times New Roman"/>
                <w:color w:val="000000" w:themeColor="text1"/>
                <w:sz w:val="16"/>
                <w:szCs w:val="16"/>
              </w:rPr>
            </w:pPr>
          </w:p>
        </w:tc>
        <w:tc>
          <w:tcPr>
            <w:tcW w:w="1440" w:type="dxa"/>
            <w:tcBorders>
              <w:top w:val="nil"/>
              <w:left w:val="nil"/>
              <w:bottom w:val="single" w:sz="4" w:space="0" w:color="auto"/>
              <w:right w:val="nil"/>
            </w:tcBorders>
            <w:shd w:val="clear" w:color="auto" w:fill="auto"/>
            <w:noWrap/>
            <w:vAlign w:val="bottom"/>
          </w:tcPr>
          <w:p w14:paraId="0C4C1E43" w14:textId="77777777" w:rsidR="00280860" w:rsidRPr="00E6476E" w:rsidRDefault="00280860" w:rsidP="00076125">
            <w:pPr>
              <w:spacing w:after="0" w:line="240" w:lineRule="auto"/>
              <w:jc w:val="center"/>
              <w:rPr>
                <w:rFonts w:ascii="Times New Roman" w:eastAsia="Times New Roman" w:hAnsi="Times New Roman" w:cs="Times New Roman"/>
                <w:color w:val="000000" w:themeColor="text1"/>
                <w:sz w:val="16"/>
                <w:szCs w:val="16"/>
              </w:rPr>
            </w:pPr>
          </w:p>
        </w:tc>
        <w:tc>
          <w:tcPr>
            <w:tcW w:w="2160" w:type="dxa"/>
            <w:tcBorders>
              <w:top w:val="nil"/>
              <w:left w:val="nil"/>
              <w:bottom w:val="single" w:sz="4" w:space="0" w:color="auto"/>
              <w:right w:val="nil"/>
            </w:tcBorders>
            <w:shd w:val="clear" w:color="auto" w:fill="auto"/>
            <w:noWrap/>
            <w:vAlign w:val="bottom"/>
          </w:tcPr>
          <w:p w14:paraId="5F31A443" w14:textId="77777777" w:rsidR="00280860" w:rsidRPr="00E6476E" w:rsidRDefault="00280860" w:rsidP="00076125">
            <w:pPr>
              <w:spacing w:after="0" w:line="240" w:lineRule="auto"/>
              <w:jc w:val="center"/>
              <w:rPr>
                <w:rFonts w:ascii="Times New Roman" w:eastAsia="Times New Roman" w:hAnsi="Times New Roman" w:cs="Times New Roman"/>
                <w:color w:val="000000" w:themeColor="text1"/>
                <w:sz w:val="16"/>
                <w:szCs w:val="16"/>
              </w:rPr>
            </w:pPr>
          </w:p>
        </w:tc>
        <w:tc>
          <w:tcPr>
            <w:tcW w:w="1440" w:type="dxa"/>
            <w:tcBorders>
              <w:top w:val="nil"/>
              <w:left w:val="nil"/>
              <w:bottom w:val="single" w:sz="4" w:space="0" w:color="auto"/>
              <w:right w:val="nil"/>
            </w:tcBorders>
            <w:vAlign w:val="bottom"/>
          </w:tcPr>
          <w:p w14:paraId="0E7799D3" w14:textId="77777777" w:rsidR="00280860" w:rsidRPr="00E6476E" w:rsidRDefault="00280860" w:rsidP="00076125">
            <w:pPr>
              <w:tabs>
                <w:tab w:val="decimal" w:pos="367"/>
              </w:tabs>
              <w:spacing w:after="0" w:line="240" w:lineRule="auto"/>
              <w:jc w:val="center"/>
              <w:rPr>
                <w:rFonts w:ascii="Times New Roman" w:eastAsia="Times New Roman" w:hAnsi="Times New Roman" w:cs="Times New Roman"/>
                <w:color w:val="000000" w:themeColor="text1"/>
                <w:sz w:val="16"/>
                <w:szCs w:val="16"/>
              </w:rPr>
            </w:pPr>
          </w:p>
        </w:tc>
        <w:tc>
          <w:tcPr>
            <w:tcW w:w="720" w:type="dxa"/>
            <w:tcBorders>
              <w:top w:val="nil"/>
              <w:left w:val="nil"/>
              <w:bottom w:val="single" w:sz="4" w:space="0" w:color="auto"/>
              <w:right w:val="nil"/>
            </w:tcBorders>
            <w:shd w:val="clear" w:color="auto" w:fill="auto"/>
            <w:noWrap/>
            <w:vAlign w:val="bottom"/>
          </w:tcPr>
          <w:p w14:paraId="1D54F451" w14:textId="77777777" w:rsidR="00280860" w:rsidRPr="00E6476E" w:rsidRDefault="00280860" w:rsidP="00076125">
            <w:pPr>
              <w:tabs>
                <w:tab w:val="decimal" w:pos="367"/>
              </w:tabs>
              <w:spacing w:after="0" w:line="240" w:lineRule="auto"/>
              <w:jc w:val="center"/>
              <w:rPr>
                <w:rFonts w:ascii="Times New Roman" w:hAnsi="Times New Roman" w:cs="Times New Roman"/>
                <w:color w:val="000000"/>
                <w:sz w:val="16"/>
                <w:szCs w:val="16"/>
              </w:rPr>
            </w:pPr>
          </w:p>
        </w:tc>
        <w:tc>
          <w:tcPr>
            <w:tcW w:w="720" w:type="dxa"/>
            <w:tcBorders>
              <w:top w:val="nil"/>
              <w:left w:val="nil"/>
              <w:bottom w:val="single" w:sz="4" w:space="0" w:color="auto"/>
              <w:right w:val="nil"/>
            </w:tcBorders>
            <w:shd w:val="clear" w:color="auto" w:fill="auto"/>
            <w:noWrap/>
            <w:vAlign w:val="bottom"/>
          </w:tcPr>
          <w:p w14:paraId="5F2D97E6" w14:textId="77777777" w:rsidR="00280860" w:rsidRPr="00E6476E" w:rsidRDefault="00280860" w:rsidP="00076125">
            <w:pPr>
              <w:spacing w:after="0" w:line="240" w:lineRule="auto"/>
              <w:jc w:val="center"/>
              <w:rPr>
                <w:rFonts w:ascii="Times New Roman" w:hAnsi="Times New Roman" w:cs="Times New Roman"/>
                <w:color w:val="000000"/>
                <w:sz w:val="16"/>
                <w:szCs w:val="16"/>
              </w:rPr>
            </w:pPr>
          </w:p>
        </w:tc>
        <w:tc>
          <w:tcPr>
            <w:tcW w:w="800" w:type="dxa"/>
            <w:tcBorders>
              <w:top w:val="nil"/>
              <w:left w:val="nil"/>
              <w:bottom w:val="single" w:sz="4" w:space="0" w:color="auto"/>
              <w:right w:val="nil"/>
            </w:tcBorders>
            <w:vAlign w:val="bottom"/>
          </w:tcPr>
          <w:p w14:paraId="73292F8A" w14:textId="77777777" w:rsidR="00280860" w:rsidRPr="00E6476E" w:rsidRDefault="00280860" w:rsidP="00076125">
            <w:pPr>
              <w:spacing w:after="0" w:line="240" w:lineRule="auto"/>
              <w:jc w:val="center"/>
              <w:rPr>
                <w:rFonts w:ascii="Times New Roman" w:hAnsi="Times New Roman" w:cs="Times New Roman"/>
                <w:color w:val="000000"/>
                <w:sz w:val="16"/>
                <w:szCs w:val="16"/>
              </w:rPr>
            </w:pPr>
          </w:p>
        </w:tc>
        <w:tc>
          <w:tcPr>
            <w:tcW w:w="720" w:type="dxa"/>
            <w:tcBorders>
              <w:top w:val="nil"/>
              <w:left w:val="nil"/>
              <w:bottom w:val="single" w:sz="4" w:space="0" w:color="auto"/>
              <w:right w:val="nil"/>
            </w:tcBorders>
            <w:vAlign w:val="bottom"/>
          </w:tcPr>
          <w:p w14:paraId="0E11AAEF" w14:textId="77777777" w:rsidR="00280860" w:rsidRPr="00E6476E" w:rsidRDefault="00280860" w:rsidP="00076125">
            <w:pPr>
              <w:spacing w:after="0" w:line="240" w:lineRule="auto"/>
              <w:jc w:val="center"/>
              <w:rPr>
                <w:rFonts w:ascii="Times New Roman" w:hAnsi="Times New Roman" w:cs="Times New Roman"/>
                <w:color w:val="000000"/>
                <w:sz w:val="16"/>
                <w:szCs w:val="16"/>
              </w:rPr>
            </w:pPr>
          </w:p>
        </w:tc>
        <w:tc>
          <w:tcPr>
            <w:tcW w:w="720" w:type="dxa"/>
            <w:tcBorders>
              <w:top w:val="nil"/>
              <w:left w:val="nil"/>
              <w:bottom w:val="single" w:sz="4" w:space="0" w:color="auto"/>
              <w:right w:val="nil"/>
            </w:tcBorders>
            <w:vAlign w:val="bottom"/>
          </w:tcPr>
          <w:p w14:paraId="56D75895" w14:textId="77777777" w:rsidR="00280860" w:rsidRPr="00E6476E" w:rsidRDefault="00280860" w:rsidP="00076125">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single" w:sz="4" w:space="0" w:color="auto"/>
              <w:right w:val="nil"/>
            </w:tcBorders>
            <w:vAlign w:val="bottom"/>
          </w:tcPr>
          <w:p w14:paraId="1E6E2A17" w14:textId="77777777" w:rsidR="00280860" w:rsidRPr="00E6476E" w:rsidRDefault="00280860" w:rsidP="00076125">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single" w:sz="4" w:space="0" w:color="auto"/>
              <w:right w:val="nil"/>
            </w:tcBorders>
            <w:vAlign w:val="bottom"/>
          </w:tcPr>
          <w:p w14:paraId="035185A8" w14:textId="77777777" w:rsidR="00280860" w:rsidRPr="00E6476E" w:rsidRDefault="00280860" w:rsidP="00076125">
            <w:pPr>
              <w:spacing w:after="0" w:line="240" w:lineRule="auto"/>
              <w:jc w:val="center"/>
              <w:rPr>
                <w:rFonts w:ascii="Times New Roman" w:hAnsi="Times New Roman" w:cs="Times New Roman"/>
                <w:color w:val="000000" w:themeColor="text1"/>
                <w:sz w:val="16"/>
                <w:szCs w:val="16"/>
              </w:rPr>
            </w:pPr>
          </w:p>
        </w:tc>
        <w:tc>
          <w:tcPr>
            <w:tcW w:w="640" w:type="dxa"/>
            <w:tcBorders>
              <w:top w:val="nil"/>
              <w:left w:val="nil"/>
              <w:bottom w:val="single" w:sz="4" w:space="0" w:color="auto"/>
              <w:right w:val="nil"/>
            </w:tcBorders>
            <w:vAlign w:val="bottom"/>
          </w:tcPr>
          <w:p w14:paraId="69813494" w14:textId="77777777" w:rsidR="00280860" w:rsidRPr="00E6476E" w:rsidRDefault="00280860" w:rsidP="00076125">
            <w:pPr>
              <w:spacing w:after="0" w:line="240" w:lineRule="auto"/>
              <w:jc w:val="center"/>
              <w:rPr>
                <w:rFonts w:ascii="Times New Roman" w:hAnsi="Times New Roman" w:cs="Times New Roman"/>
                <w:color w:val="000000" w:themeColor="text1"/>
                <w:sz w:val="16"/>
                <w:szCs w:val="16"/>
              </w:rPr>
            </w:pPr>
          </w:p>
        </w:tc>
        <w:tc>
          <w:tcPr>
            <w:tcW w:w="720" w:type="dxa"/>
            <w:tcBorders>
              <w:top w:val="nil"/>
              <w:left w:val="nil"/>
              <w:bottom w:val="single" w:sz="4" w:space="0" w:color="auto"/>
              <w:right w:val="nil"/>
            </w:tcBorders>
            <w:vAlign w:val="bottom"/>
          </w:tcPr>
          <w:p w14:paraId="1CCAF49A" w14:textId="77777777" w:rsidR="00280860" w:rsidRPr="00E6476E" w:rsidRDefault="00280860" w:rsidP="00076125">
            <w:pPr>
              <w:spacing w:after="0" w:line="240" w:lineRule="auto"/>
              <w:jc w:val="center"/>
              <w:rPr>
                <w:rFonts w:ascii="Times New Roman" w:hAnsi="Times New Roman" w:cs="Times New Roman"/>
                <w:color w:val="000000"/>
                <w:sz w:val="16"/>
                <w:szCs w:val="16"/>
              </w:rPr>
            </w:pPr>
          </w:p>
        </w:tc>
        <w:tc>
          <w:tcPr>
            <w:tcW w:w="720" w:type="dxa"/>
            <w:tcBorders>
              <w:top w:val="nil"/>
              <w:left w:val="nil"/>
              <w:bottom w:val="single" w:sz="4" w:space="0" w:color="auto"/>
              <w:right w:val="nil"/>
            </w:tcBorders>
            <w:vAlign w:val="bottom"/>
          </w:tcPr>
          <w:p w14:paraId="31167277" w14:textId="77777777" w:rsidR="00280860" w:rsidRPr="00E6476E" w:rsidRDefault="00280860" w:rsidP="00076125">
            <w:pPr>
              <w:spacing w:after="0" w:line="240" w:lineRule="auto"/>
              <w:jc w:val="center"/>
              <w:rPr>
                <w:rFonts w:ascii="Times New Roman" w:hAnsi="Times New Roman" w:cs="Times New Roman"/>
                <w:color w:val="000000" w:themeColor="text1"/>
                <w:sz w:val="16"/>
                <w:szCs w:val="16"/>
              </w:rPr>
            </w:pPr>
          </w:p>
        </w:tc>
      </w:tr>
    </w:tbl>
    <w:p w14:paraId="5865A474" w14:textId="0380F6FA" w:rsidR="003843B0" w:rsidRPr="00347697" w:rsidRDefault="007E2FF2" w:rsidP="003843B0">
      <w:pPr>
        <w:spacing w:after="0" w:line="240" w:lineRule="auto"/>
        <w:rPr>
          <w:rFonts w:ascii="Times New Roman" w:hAnsi="Times New Roman" w:cs="Times New Roman"/>
          <w:sz w:val="20"/>
          <w:szCs w:val="20"/>
        </w:rPr>
      </w:pPr>
      <w:r>
        <w:rPr>
          <w:rFonts w:ascii="Times New Roman" w:hAnsi="Times New Roman" w:cs="Times New Roman"/>
          <w:sz w:val="20"/>
          <w:szCs w:val="20"/>
        </w:rPr>
        <w:t>NOTE:  Cells with few</w:t>
      </w:r>
      <w:r w:rsidR="003843B0" w:rsidRPr="00347697">
        <w:rPr>
          <w:rFonts w:ascii="Times New Roman" w:hAnsi="Times New Roman" w:cs="Times New Roman"/>
          <w:sz w:val="20"/>
          <w:szCs w:val="20"/>
        </w:rPr>
        <w:t xml:space="preserve"> students were collapsed together into the </w:t>
      </w:r>
      <w:r w:rsidR="00145990">
        <w:rPr>
          <w:rFonts w:ascii="Times New Roman" w:hAnsi="Times New Roman" w:cs="Times New Roman"/>
          <w:i/>
          <w:sz w:val="20"/>
          <w:szCs w:val="20"/>
        </w:rPr>
        <w:t>Other</w:t>
      </w:r>
      <w:r w:rsidR="003843B0" w:rsidRPr="00347697">
        <w:rPr>
          <w:rFonts w:ascii="Times New Roman" w:hAnsi="Times New Roman" w:cs="Times New Roman"/>
          <w:sz w:val="20"/>
          <w:szCs w:val="20"/>
        </w:rPr>
        <w:t xml:space="preserve"> column.  As a result, cells marked "-----" do not necessarily indicate that </w:t>
      </w:r>
      <w:r w:rsidR="003843B0">
        <w:rPr>
          <w:rFonts w:ascii="Times New Roman" w:hAnsi="Times New Roman" w:cs="Times New Roman"/>
          <w:sz w:val="20"/>
          <w:szCs w:val="20"/>
        </w:rPr>
        <w:t>zero</w:t>
      </w:r>
      <w:r w:rsidR="003843B0" w:rsidRPr="00347697">
        <w:rPr>
          <w:rFonts w:ascii="Times New Roman" w:hAnsi="Times New Roman" w:cs="Times New Roman"/>
          <w:sz w:val="20"/>
          <w:szCs w:val="20"/>
        </w:rPr>
        <w:t xml:space="preserve"> students attempted a given combination of first and second courses</w:t>
      </w:r>
      <w:r w:rsidR="00E5271B" w:rsidRPr="00347697">
        <w:rPr>
          <w:rFonts w:ascii="Times New Roman" w:hAnsi="Times New Roman" w:cs="Times New Roman"/>
          <w:sz w:val="20"/>
          <w:szCs w:val="20"/>
        </w:rPr>
        <w:t xml:space="preserve">.  </w:t>
      </w:r>
      <w:r w:rsidR="003843B0" w:rsidRPr="00347697">
        <w:rPr>
          <w:rFonts w:ascii="Times New Roman" w:hAnsi="Times New Roman" w:cs="Times New Roman"/>
          <w:sz w:val="20"/>
          <w:szCs w:val="20"/>
        </w:rPr>
        <w:t>Rather, these cells simply had too few students to warrant further analysis at this time.</w:t>
      </w:r>
    </w:p>
    <w:p w14:paraId="2325E39E" w14:textId="77777777" w:rsidR="00BE21A7" w:rsidRDefault="00BE21A7" w:rsidP="00BE21A7">
      <w:pPr>
        <w:spacing w:after="0" w:line="240" w:lineRule="auto"/>
        <w:rPr>
          <w:rFonts w:ascii="Times New Roman" w:hAnsi="Times New Roman" w:cs="Times New Roman"/>
          <w:sz w:val="24"/>
          <w:szCs w:val="24"/>
        </w:rPr>
      </w:pPr>
    </w:p>
    <w:p w14:paraId="1C105185" w14:textId="77777777" w:rsidR="00655DAE" w:rsidRDefault="00655DAE">
      <w:pPr>
        <w:rPr>
          <w:rFonts w:ascii="Times New Roman" w:hAnsi="Times New Roman" w:cs="Times New Roman"/>
          <w:sz w:val="24"/>
          <w:szCs w:val="24"/>
        </w:rPr>
      </w:pPr>
      <w:r>
        <w:rPr>
          <w:rFonts w:ascii="Times New Roman" w:hAnsi="Times New Roman" w:cs="Times New Roman"/>
          <w:sz w:val="24"/>
          <w:szCs w:val="24"/>
        </w:rPr>
        <w:br w:type="page"/>
      </w:r>
    </w:p>
    <w:p w14:paraId="530FD6CB" w14:textId="14486A9F" w:rsidR="0055432C" w:rsidRDefault="00A8136D">
      <w:pPr>
        <w:rPr>
          <w:rFonts w:ascii="Times New Roman" w:hAnsi="Times New Roman" w:cs="Times New Roman"/>
          <w:sz w:val="24"/>
          <w:szCs w:val="24"/>
        </w:rPr>
      </w:pPr>
      <w:r w:rsidRPr="00D334A5">
        <w:rPr>
          <w:rFonts w:ascii="Times New Roman" w:hAnsi="Times New Roman" w:cs="Times New Roman"/>
          <w:sz w:val="24"/>
          <w:szCs w:val="24"/>
        </w:rPr>
        <w:lastRenderedPageBreak/>
        <w:t xml:space="preserve">Table </w:t>
      </w:r>
      <w:r w:rsidR="00420C76" w:rsidRPr="00D334A5">
        <w:rPr>
          <w:rFonts w:ascii="Times New Roman" w:hAnsi="Times New Roman" w:cs="Times New Roman"/>
          <w:sz w:val="24"/>
          <w:szCs w:val="24"/>
        </w:rPr>
        <w:t>8</w:t>
      </w:r>
      <w:r w:rsidRPr="00D334A5">
        <w:rPr>
          <w:rFonts w:ascii="Times New Roman" w:hAnsi="Times New Roman" w:cs="Times New Roman"/>
          <w:sz w:val="24"/>
          <w:szCs w:val="24"/>
        </w:rPr>
        <w:t>:  Predicted probabilities of achieving each of three quantitative competency outcomes for six subsamples of developmental math students</w:t>
      </w:r>
      <w:r w:rsidR="00354B17" w:rsidRPr="00D334A5">
        <w:rPr>
          <w:rFonts w:ascii="Times New Roman" w:hAnsi="Times New Roman" w:cs="Times New Roman"/>
          <w:sz w:val="24"/>
          <w:szCs w:val="24"/>
        </w:rPr>
        <w:t xml:space="preserve">, </w:t>
      </w:r>
      <w:r w:rsidR="00191BF2">
        <w:rPr>
          <w:rFonts w:ascii="Times New Roman" w:hAnsi="Times New Roman" w:cs="Times New Roman"/>
          <w:sz w:val="24"/>
          <w:szCs w:val="24"/>
        </w:rPr>
        <w:t xml:space="preserve">based on estimates </w:t>
      </w:r>
      <w:r w:rsidR="00354B17" w:rsidRPr="00D334A5">
        <w:rPr>
          <w:rFonts w:ascii="Times New Roman" w:hAnsi="Times New Roman" w:cs="Times New Roman"/>
          <w:sz w:val="24"/>
          <w:szCs w:val="24"/>
        </w:rPr>
        <w:t>derived from logistic regression analyses</w:t>
      </w:r>
      <w:r w:rsidR="00191BF2">
        <w:rPr>
          <w:rFonts w:ascii="Times New Roman" w:hAnsi="Times New Roman" w:cs="Times New Roman"/>
          <w:sz w:val="24"/>
          <w:szCs w:val="24"/>
        </w:rPr>
        <w:t xml:space="preserve"> (not shown)</w:t>
      </w:r>
    </w:p>
    <w:tbl>
      <w:tblPr>
        <w:tblW w:w="12960" w:type="dxa"/>
        <w:tblCellMar>
          <w:left w:w="115" w:type="dxa"/>
          <w:right w:w="115" w:type="dxa"/>
        </w:tblCellMar>
        <w:tblLook w:val="04A0" w:firstRow="1" w:lastRow="0" w:firstColumn="1" w:lastColumn="0" w:noHBand="0" w:noVBand="1"/>
      </w:tblPr>
      <w:tblGrid>
        <w:gridCol w:w="1139"/>
        <w:gridCol w:w="1140"/>
        <w:gridCol w:w="2006"/>
        <w:gridCol w:w="1356"/>
        <w:gridCol w:w="2006"/>
        <w:gridCol w:w="1771"/>
        <w:gridCol w:w="1771"/>
        <w:gridCol w:w="1771"/>
      </w:tblGrid>
      <w:tr w:rsidR="00FA172D" w:rsidRPr="00E6476E" w14:paraId="46C97510" w14:textId="77777777" w:rsidTr="00595BB2">
        <w:trPr>
          <w:trHeight w:val="288"/>
        </w:trPr>
        <w:tc>
          <w:tcPr>
            <w:tcW w:w="1139" w:type="dxa"/>
            <w:tcBorders>
              <w:top w:val="single" w:sz="4" w:space="0" w:color="auto"/>
              <w:left w:val="nil"/>
              <w:right w:val="nil"/>
            </w:tcBorders>
            <w:shd w:val="clear" w:color="auto" w:fill="auto"/>
            <w:noWrap/>
            <w:vAlign w:val="bottom"/>
          </w:tcPr>
          <w:p w14:paraId="412A8231" w14:textId="77777777" w:rsidR="00FA172D" w:rsidRPr="00E6476E" w:rsidRDefault="00FA172D" w:rsidP="006A6AFB">
            <w:pPr>
              <w:spacing w:after="0" w:line="240" w:lineRule="auto"/>
              <w:jc w:val="center"/>
              <w:rPr>
                <w:rFonts w:ascii="Times New Roman" w:eastAsia="Times New Roman" w:hAnsi="Times New Roman" w:cs="Times New Roman"/>
                <w:b/>
                <w:bCs/>
                <w:color w:val="000000"/>
                <w:sz w:val="16"/>
                <w:szCs w:val="16"/>
              </w:rPr>
            </w:pPr>
          </w:p>
        </w:tc>
        <w:tc>
          <w:tcPr>
            <w:tcW w:w="1140" w:type="dxa"/>
            <w:tcBorders>
              <w:top w:val="single" w:sz="4" w:space="0" w:color="auto"/>
              <w:left w:val="nil"/>
              <w:right w:val="nil"/>
            </w:tcBorders>
            <w:shd w:val="clear" w:color="auto" w:fill="auto"/>
            <w:noWrap/>
            <w:vAlign w:val="bottom"/>
          </w:tcPr>
          <w:p w14:paraId="16D15E4E" w14:textId="77777777" w:rsidR="00FA172D" w:rsidRPr="00E6476E" w:rsidRDefault="00FA172D" w:rsidP="006A6AFB">
            <w:pPr>
              <w:spacing w:after="0" w:line="240" w:lineRule="auto"/>
              <w:jc w:val="center"/>
              <w:rPr>
                <w:rFonts w:ascii="Times New Roman" w:eastAsia="Times New Roman" w:hAnsi="Times New Roman" w:cs="Times New Roman"/>
                <w:b/>
                <w:bCs/>
                <w:color w:val="000000"/>
                <w:sz w:val="16"/>
                <w:szCs w:val="16"/>
              </w:rPr>
            </w:pPr>
          </w:p>
        </w:tc>
        <w:tc>
          <w:tcPr>
            <w:tcW w:w="2006" w:type="dxa"/>
            <w:tcBorders>
              <w:top w:val="single" w:sz="4" w:space="0" w:color="auto"/>
              <w:left w:val="nil"/>
              <w:right w:val="nil"/>
            </w:tcBorders>
            <w:shd w:val="clear" w:color="auto" w:fill="auto"/>
            <w:noWrap/>
            <w:vAlign w:val="bottom"/>
          </w:tcPr>
          <w:p w14:paraId="791B9B44" w14:textId="77777777" w:rsidR="00FA172D" w:rsidRPr="00E6476E" w:rsidRDefault="00FA172D" w:rsidP="006A6AFB">
            <w:pPr>
              <w:spacing w:after="0" w:line="240" w:lineRule="auto"/>
              <w:jc w:val="center"/>
              <w:rPr>
                <w:rFonts w:ascii="Times New Roman" w:eastAsia="Times New Roman" w:hAnsi="Times New Roman" w:cs="Times New Roman"/>
                <w:b/>
                <w:bCs/>
                <w:color w:val="000000"/>
                <w:sz w:val="16"/>
                <w:szCs w:val="16"/>
              </w:rPr>
            </w:pPr>
          </w:p>
        </w:tc>
        <w:tc>
          <w:tcPr>
            <w:tcW w:w="1356" w:type="dxa"/>
            <w:tcBorders>
              <w:top w:val="single" w:sz="4" w:space="0" w:color="auto"/>
              <w:left w:val="nil"/>
              <w:right w:val="nil"/>
            </w:tcBorders>
            <w:shd w:val="clear" w:color="auto" w:fill="auto"/>
            <w:noWrap/>
            <w:vAlign w:val="bottom"/>
          </w:tcPr>
          <w:p w14:paraId="3320841A" w14:textId="77777777" w:rsidR="00FA172D" w:rsidRPr="00E6476E" w:rsidRDefault="00FA172D" w:rsidP="006A6AFB">
            <w:pPr>
              <w:spacing w:after="0" w:line="240" w:lineRule="auto"/>
              <w:jc w:val="center"/>
              <w:rPr>
                <w:rFonts w:ascii="Times New Roman" w:eastAsia="Times New Roman" w:hAnsi="Times New Roman" w:cs="Times New Roman"/>
                <w:b/>
                <w:bCs/>
                <w:color w:val="000000"/>
                <w:sz w:val="16"/>
                <w:szCs w:val="16"/>
              </w:rPr>
            </w:pPr>
          </w:p>
        </w:tc>
        <w:tc>
          <w:tcPr>
            <w:tcW w:w="2006" w:type="dxa"/>
            <w:tcBorders>
              <w:top w:val="single" w:sz="4" w:space="0" w:color="auto"/>
              <w:left w:val="nil"/>
              <w:right w:val="nil"/>
            </w:tcBorders>
            <w:shd w:val="clear" w:color="auto" w:fill="auto"/>
            <w:noWrap/>
            <w:vAlign w:val="bottom"/>
          </w:tcPr>
          <w:p w14:paraId="0178B1CA" w14:textId="77777777" w:rsidR="00FA172D" w:rsidRPr="00E6476E" w:rsidRDefault="00FA172D" w:rsidP="006A6AFB">
            <w:pPr>
              <w:spacing w:after="0" w:line="240" w:lineRule="auto"/>
              <w:jc w:val="center"/>
              <w:rPr>
                <w:rFonts w:ascii="Times New Roman" w:eastAsia="Times New Roman" w:hAnsi="Times New Roman" w:cs="Times New Roman"/>
                <w:b/>
                <w:bCs/>
                <w:color w:val="000000"/>
                <w:sz w:val="16"/>
                <w:szCs w:val="16"/>
              </w:rPr>
            </w:pPr>
          </w:p>
        </w:tc>
        <w:tc>
          <w:tcPr>
            <w:tcW w:w="5313" w:type="dxa"/>
            <w:gridSpan w:val="3"/>
            <w:tcBorders>
              <w:top w:val="single" w:sz="4" w:space="0" w:color="auto"/>
              <w:left w:val="nil"/>
              <w:bottom w:val="single" w:sz="4" w:space="0" w:color="auto"/>
              <w:right w:val="nil"/>
            </w:tcBorders>
            <w:shd w:val="clear" w:color="auto" w:fill="auto"/>
            <w:vAlign w:val="bottom"/>
          </w:tcPr>
          <w:p w14:paraId="18CE8B7A" w14:textId="618470A7" w:rsidR="00FA172D" w:rsidRPr="00E6476E" w:rsidRDefault="00FA172D" w:rsidP="006A6AFB">
            <w:pPr>
              <w:spacing w:after="0" w:line="240" w:lineRule="auto"/>
              <w:jc w:val="center"/>
              <w:rPr>
                <w:rFonts w:ascii="Times New Roman" w:eastAsia="Times New Roman" w:hAnsi="Times New Roman" w:cs="Times New Roman"/>
                <w:b/>
                <w:color w:val="000000"/>
                <w:sz w:val="16"/>
                <w:szCs w:val="16"/>
              </w:rPr>
            </w:pPr>
            <w:r w:rsidRPr="00E6476E">
              <w:rPr>
                <w:rFonts w:ascii="Times New Roman" w:eastAsia="Times New Roman" w:hAnsi="Times New Roman" w:cs="Times New Roman"/>
                <w:b/>
                <w:color w:val="000000"/>
                <w:sz w:val="16"/>
                <w:szCs w:val="16"/>
              </w:rPr>
              <w:t>Predicted Probability</w:t>
            </w:r>
          </w:p>
        </w:tc>
      </w:tr>
      <w:tr w:rsidR="006A6AFB" w:rsidRPr="00E6476E" w14:paraId="58835FD0" w14:textId="77777777" w:rsidTr="00D334A5">
        <w:trPr>
          <w:trHeight w:val="780"/>
        </w:trPr>
        <w:tc>
          <w:tcPr>
            <w:tcW w:w="1139" w:type="dxa"/>
            <w:tcBorders>
              <w:top w:val="nil"/>
              <w:left w:val="nil"/>
              <w:bottom w:val="single" w:sz="4" w:space="0" w:color="auto"/>
              <w:right w:val="nil"/>
            </w:tcBorders>
            <w:shd w:val="clear" w:color="auto" w:fill="auto"/>
            <w:noWrap/>
            <w:vAlign w:val="bottom"/>
            <w:hideMark/>
          </w:tcPr>
          <w:p w14:paraId="08E92264" w14:textId="7D49E0DE" w:rsidR="006A6AFB" w:rsidRPr="00E6476E" w:rsidRDefault="006A6AFB" w:rsidP="006A6AFB">
            <w:pPr>
              <w:spacing w:after="0" w:line="240" w:lineRule="auto"/>
              <w:jc w:val="center"/>
              <w:rPr>
                <w:rFonts w:ascii="Times New Roman" w:eastAsia="Times New Roman" w:hAnsi="Times New Roman" w:cs="Times New Roman"/>
                <w:sz w:val="16"/>
                <w:szCs w:val="16"/>
              </w:rPr>
            </w:pPr>
            <w:r w:rsidRPr="00E6476E">
              <w:rPr>
                <w:rFonts w:ascii="Times New Roman" w:eastAsia="Times New Roman" w:hAnsi="Times New Roman" w:cs="Times New Roman"/>
                <w:b/>
                <w:bCs/>
                <w:color w:val="000000"/>
                <w:sz w:val="16"/>
                <w:szCs w:val="16"/>
              </w:rPr>
              <w:t>Subsample</w:t>
            </w:r>
          </w:p>
        </w:tc>
        <w:tc>
          <w:tcPr>
            <w:tcW w:w="1140" w:type="dxa"/>
            <w:tcBorders>
              <w:top w:val="nil"/>
              <w:left w:val="nil"/>
              <w:bottom w:val="single" w:sz="4" w:space="0" w:color="auto"/>
              <w:right w:val="nil"/>
            </w:tcBorders>
            <w:shd w:val="clear" w:color="auto" w:fill="auto"/>
            <w:noWrap/>
            <w:vAlign w:val="bottom"/>
            <w:hideMark/>
          </w:tcPr>
          <w:p w14:paraId="1644A8C0" w14:textId="77777777" w:rsidR="006A6AFB" w:rsidRPr="00E6476E" w:rsidRDefault="006A6AFB" w:rsidP="006A6AFB">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Transfer</w:t>
            </w:r>
          </w:p>
          <w:p w14:paraId="72D912F1" w14:textId="630A8A37" w:rsidR="006A6AFB" w:rsidRPr="00E6476E" w:rsidRDefault="006A6AFB" w:rsidP="006A6AFB">
            <w:pPr>
              <w:spacing w:after="0" w:line="240" w:lineRule="auto"/>
              <w:jc w:val="center"/>
              <w:rPr>
                <w:rFonts w:ascii="Times New Roman" w:eastAsia="Times New Roman" w:hAnsi="Times New Roman" w:cs="Times New Roman"/>
                <w:sz w:val="16"/>
                <w:szCs w:val="16"/>
              </w:rPr>
            </w:pPr>
            <w:r w:rsidRPr="00E6476E">
              <w:rPr>
                <w:rFonts w:ascii="Times New Roman" w:eastAsia="Times New Roman" w:hAnsi="Times New Roman" w:cs="Times New Roman"/>
                <w:b/>
                <w:bCs/>
                <w:color w:val="000000"/>
                <w:sz w:val="16"/>
                <w:szCs w:val="16"/>
              </w:rPr>
              <w:t>Seeking</w:t>
            </w:r>
          </w:p>
        </w:tc>
        <w:tc>
          <w:tcPr>
            <w:tcW w:w="2006" w:type="dxa"/>
            <w:tcBorders>
              <w:top w:val="nil"/>
              <w:left w:val="nil"/>
              <w:bottom w:val="single" w:sz="4" w:space="0" w:color="auto"/>
              <w:right w:val="nil"/>
            </w:tcBorders>
            <w:shd w:val="clear" w:color="auto" w:fill="auto"/>
            <w:noWrap/>
            <w:vAlign w:val="bottom"/>
            <w:hideMark/>
          </w:tcPr>
          <w:p w14:paraId="0CB8A5BC" w14:textId="2665503A" w:rsidR="006A6AFB" w:rsidRPr="00E6476E" w:rsidRDefault="006A6AFB" w:rsidP="006A6AFB">
            <w:pPr>
              <w:spacing w:after="0" w:line="240" w:lineRule="auto"/>
              <w:jc w:val="center"/>
              <w:rPr>
                <w:rFonts w:ascii="Times New Roman" w:eastAsia="Times New Roman" w:hAnsi="Times New Roman" w:cs="Times New Roman"/>
                <w:sz w:val="16"/>
                <w:szCs w:val="16"/>
              </w:rPr>
            </w:pPr>
            <w:r w:rsidRPr="00E6476E">
              <w:rPr>
                <w:rFonts w:ascii="Times New Roman" w:eastAsia="Times New Roman" w:hAnsi="Times New Roman" w:cs="Times New Roman"/>
                <w:b/>
                <w:bCs/>
                <w:color w:val="000000"/>
                <w:sz w:val="16"/>
                <w:szCs w:val="16"/>
              </w:rPr>
              <w:t>First Math</w:t>
            </w:r>
          </w:p>
        </w:tc>
        <w:tc>
          <w:tcPr>
            <w:tcW w:w="1356" w:type="dxa"/>
            <w:tcBorders>
              <w:top w:val="nil"/>
              <w:left w:val="nil"/>
              <w:bottom w:val="single" w:sz="4" w:space="0" w:color="auto"/>
              <w:right w:val="nil"/>
            </w:tcBorders>
            <w:shd w:val="clear" w:color="auto" w:fill="auto"/>
            <w:noWrap/>
            <w:vAlign w:val="bottom"/>
            <w:hideMark/>
          </w:tcPr>
          <w:p w14:paraId="22BACC47" w14:textId="17C3784C" w:rsidR="006A6AFB" w:rsidRPr="00E6476E" w:rsidRDefault="006A6AFB" w:rsidP="006A6AFB">
            <w:pPr>
              <w:spacing w:after="0" w:line="240" w:lineRule="auto"/>
              <w:jc w:val="center"/>
              <w:rPr>
                <w:rFonts w:ascii="Times New Roman" w:eastAsia="Times New Roman" w:hAnsi="Times New Roman" w:cs="Times New Roman"/>
                <w:sz w:val="16"/>
                <w:szCs w:val="16"/>
              </w:rPr>
            </w:pPr>
            <w:r w:rsidRPr="00E6476E">
              <w:rPr>
                <w:rFonts w:ascii="Times New Roman" w:eastAsia="Times New Roman" w:hAnsi="Times New Roman" w:cs="Times New Roman"/>
                <w:b/>
                <w:bCs/>
                <w:color w:val="000000"/>
                <w:sz w:val="16"/>
                <w:szCs w:val="16"/>
              </w:rPr>
              <w:t>Outcome in First Attempt of First Math</w:t>
            </w:r>
          </w:p>
        </w:tc>
        <w:tc>
          <w:tcPr>
            <w:tcW w:w="2006" w:type="dxa"/>
            <w:tcBorders>
              <w:top w:val="nil"/>
              <w:left w:val="nil"/>
              <w:bottom w:val="single" w:sz="4" w:space="0" w:color="auto"/>
              <w:right w:val="nil"/>
            </w:tcBorders>
            <w:shd w:val="clear" w:color="auto" w:fill="auto"/>
            <w:noWrap/>
            <w:vAlign w:val="bottom"/>
            <w:hideMark/>
          </w:tcPr>
          <w:p w14:paraId="733B955C" w14:textId="40EAAA11" w:rsidR="006A6AFB" w:rsidRPr="00E6476E" w:rsidRDefault="006A6AFB" w:rsidP="006A6AFB">
            <w:pPr>
              <w:spacing w:after="0" w:line="240" w:lineRule="auto"/>
              <w:jc w:val="center"/>
              <w:rPr>
                <w:rFonts w:ascii="Times New Roman" w:eastAsia="Times New Roman" w:hAnsi="Times New Roman" w:cs="Times New Roman"/>
                <w:sz w:val="16"/>
                <w:szCs w:val="16"/>
              </w:rPr>
            </w:pPr>
            <w:r w:rsidRPr="00E6476E">
              <w:rPr>
                <w:rFonts w:ascii="Times New Roman" w:eastAsia="Times New Roman" w:hAnsi="Times New Roman" w:cs="Times New Roman"/>
                <w:b/>
                <w:bCs/>
                <w:color w:val="000000"/>
                <w:sz w:val="16"/>
                <w:szCs w:val="16"/>
              </w:rPr>
              <w:t>Second Math</w:t>
            </w:r>
          </w:p>
        </w:tc>
        <w:tc>
          <w:tcPr>
            <w:tcW w:w="1771" w:type="dxa"/>
            <w:tcBorders>
              <w:top w:val="single" w:sz="4" w:space="0" w:color="auto"/>
              <w:left w:val="nil"/>
              <w:bottom w:val="single" w:sz="4" w:space="0" w:color="auto"/>
              <w:right w:val="nil"/>
            </w:tcBorders>
            <w:shd w:val="clear" w:color="auto" w:fill="auto"/>
            <w:vAlign w:val="bottom"/>
            <w:hideMark/>
          </w:tcPr>
          <w:p w14:paraId="4FDDD4E5" w14:textId="77777777" w:rsidR="006A6AFB" w:rsidRPr="00E6476E" w:rsidRDefault="006A6AFB" w:rsidP="006A6AFB">
            <w:pPr>
              <w:spacing w:after="0" w:line="240" w:lineRule="auto"/>
              <w:jc w:val="center"/>
              <w:rPr>
                <w:rFonts w:ascii="Times New Roman" w:eastAsia="Times New Roman" w:hAnsi="Times New Roman" w:cs="Times New Roman"/>
                <w:b/>
                <w:color w:val="000000"/>
                <w:sz w:val="16"/>
                <w:szCs w:val="16"/>
              </w:rPr>
            </w:pPr>
            <w:r w:rsidRPr="00E6476E">
              <w:rPr>
                <w:rFonts w:ascii="Times New Roman" w:eastAsia="Times New Roman" w:hAnsi="Times New Roman" w:cs="Times New Roman"/>
                <w:b/>
                <w:color w:val="000000"/>
                <w:sz w:val="16"/>
                <w:szCs w:val="16"/>
              </w:rPr>
              <w:t>Achieving Associate-Level or Transfer-Level Quantitative Competency</w:t>
            </w:r>
          </w:p>
        </w:tc>
        <w:tc>
          <w:tcPr>
            <w:tcW w:w="1771" w:type="dxa"/>
            <w:tcBorders>
              <w:top w:val="single" w:sz="4" w:space="0" w:color="auto"/>
              <w:left w:val="nil"/>
              <w:bottom w:val="single" w:sz="4" w:space="0" w:color="auto"/>
              <w:right w:val="nil"/>
            </w:tcBorders>
            <w:shd w:val="clear" w:color="auto" w:fill="auto"/>
            <w:vAlign w:val="bottom"/>
            <w:hideMark/>
          </w:tcPr>
          <w:p w14:paraId="0C3D3361" w14:textId="77777777" w:rsidR="006A6AFB" w:rsidRPr="00E6476E" w:rsidRDefault="006A6AFB" w:rsidP="006A6AFB">
            <w:pPr>
              <w:spacing w:after="0" w:line="240" w:lineRule="auto"/>
              <w:jc w:val="center"/>
              <w:rPr>
                <w:rFonts w:ascii="Times New Roman" w:eastAsia="Times New Roman" w:hAnsi="Times New Roman" w:cs="Times New Roman"/>
                <w:b/>
                <w:color w:val="000000"/>
                <w:sz w:val="16"/>
                <w:szCs w:val="16"/>
              </w:rPr>
            </w:pPr>
            <w:r w:rsidRPr="00E6476E">
              <w:rPr>
                <w:rFonts w:ascii="Times New Roman" w:eastAsia="Times New Roman" w:hAnsi="Times New Roman" w:cs="Times New Roman"/>
                <w:b/>
                <w:color w:val="000000"/>
                <w:sz w:val="16"/>
                <w:szCs w:val="16"/>
              </w:rPr>
              <w:t>Achieving Transfer-Level Quantitative Competency</w:t>
            </w:r>
          </w:p>
        </w:tc>
        <w:tc>
          <w:tcPr>
            <w:tcW w:w="1771" w:type="dxa"/>
            <w:tcBorders>
              <w:top w:val="single" w:sz="4" w:space="0" w:color="auto"/>
              <w:left w:val="nil"/>
              <w:bottom w:val="single" w:sz="4" w:space="0" w:color="auto"/>
              <w:right w:val="nil"/>
            </w:tcBorders>
            <w:shd w:val="clear" w:color="auto" w:fill="auto"/>
            <w:vAlign w:val="bottom"/>
            <w:hideMark/>
          </w:tcPr>
          <w:p w14:paraId="22E8D014" w14:textId="77777777" w:rsidR="006A6AFB" w:rsidRPr="00E6476E" w:rsidRDefault="006A6AFB" w:rsidP="006A6AFB">
            <w:pPr>
              <w:spacing w:after="0" w:line="240" w:lineRule="auto"/>
              <w:jc w:val="center"/>
              <w:rPr>
                <w:rFonts w:ascii="Times New Roman" w:eastAsia="Times New Roman" w:hAnsi="Times New Roman" w:cs="Times New Roman"/>
                <w:b/>
                <w:color w:val="000000"/>
                <w:sz w:val="16"/>
                <w:szCs w:val="16"/>
              </w:rPr>
            </w:pPr>
            <w:r w:rsidRPr="00E6476E">
              <w:rPr>
                <w:rFonts w:ascii="Times New Roman" w:eastAsia="Times New Roman" w:hAnsi="Times New Roman" w:cs="Times New Roman"/>
                <w:b/>
                <w:color w:val="000000"/>
                <w:sz w:val="16"/>
                <w:szCs w:val="16"/>
              </w:rPr>
              <w:t>Completing STEM-Track Math Course</w:t>
            </w:r>
          </w:p>
        </w:tc>
      </w:tr>
      <w:tr w:rsidR="00191BF2" w:rsidRPr="00E6476E" w14:paraId="2ECDFFEF" w14:textId="77777777" w:rsidTr="00D334A5">
        <w:trPr>
          <w:trHeight w:val="260"/>
        </w:trPr>
        <w:tc>
          <w:tcPr>
            <w:tcW w:w="1139" w:type="dxa"/>
            <w:tcBorders>
              <w:top w:val="single" w:sz="4" w:space="0" w:color="auto"/>
              <w:left w:val="nil"/>
              <w:right w:val="nil"/>
            </w:tcBorders>
            <w:shd w:val="clear" w:color="auto" w:fill="auto"/>
            <w:noWrap/>
            <w:vAlign w:val="bottom"/>
          </w:tcPr>
          <w:p w14:paraId="5A785455" w14:textId="77777777" w:rsidR="00191BF2" w:rsidRPr="00E6476E" w:rsidRDefault="00191BF2" w:rsidP="0055432C">
            <w:pPr>
              <w:spacing w:after="0" w:line="240" w:lineRule="auto"/>
              <w:jc w:val="center"/>
              <w:rPr>
                <w:rFonts w:ascii="Times New Roman" w:eastAsia="Times New Roman" w:hAnsi="Times New Roman" w:cs="Times New Roman"/>
                <w:color w:val="000000"/>
                <w:sz w:val="16"/>
                <w:szCs w:val="16"/>
              </w:rPr>
            </w:pPr>
          </w:p>
        </w:tc>
        <w:tc>
          <w:tcPr>
            <w:tcW w:w="1140" w:type="dxa"/>
            <w:tcBorders>
              <w:top w:val="single" w:sz="4" w:space="0" w:color="auto"/>
              <w:left w:val="nil"/>
              <w:right w:val="nil"/>
            </w:tcBorders>
            <w:shd w:val="clear" w:color="auto" w:fill="auto"/>
            <w:noWrap/>
            <w:vAlign w:val="bottom"/>
          </w:tcPr>
          <w:p w14:paraId="55481C71" w14:textId="77777777" w:rsidR="00191BF2" w:rsidRPr="00E6476E" w:rsidRDefault="00191BF2" w:rsidP="0055432C">
            <w:pPr>
              <w:spacing w:after="0" w:line="240" w:lineRule="auto"/>
              <w:jc w:val="center"/>
              <w:rPr>
                <w:rFonts w:ascii="Times New Roman" w:eastAsia="Times New Roman" w:hAnsi="Times New Roman" w:cs="Times New Roman"/>
                <w:color w:val="000000"/>
                <w:sz w:val="16"/>
                <w:szCs w:val="16"/>
              </w:rPr>
            </w:pPr>
          </w:p>
        </w:tc>
        <w:tc>
          <w:tcPr>
            <w:tcW w:w="2006" w:type="dxa"/>
            <w:tcBorders>
              <w:top w:val="single" w:sz="4" w:space="0" w:color="auto"/>
              <w:left w:val="nil"/>
              <w:right w:val="nil"/>
            </w:tcBorders>
            <w:shd w:val="clear" w:color="auto" w:fill="auto"/>
            <w:noWrap/>
            <w:vAlign w:val="bottom"/>
          </w:tcPr>
          <w:p w14:paraId="4A77F38A" w14:textId="77777777" w:rsidR="00191BF2" w:rsidRPr="00E6476E" w:rsidRDefault="00191BF2" w:rsidP="0055432C">
            <w:pPr>
              <w:spacing w:after="0" w:line="240" w:lineRule="auto"/>
              <w:jc w:val="right"/>
              <w:rPr>
                <w:rFonts w:ascii="Times New Roman" w:eastAsia="Times New Roman" w:hAnsi="Times New Roman" w:cs="Times New Roman"/>
                <w:color w:val="000000"/>
                <w:sz w:val="16"/>
                <w:szCs w:val="16"/>
              </w:rPr>
            </w:pPr>
          </w:p>
        </w:tc>
        <w:tc>
          <w:tcPr>
            <w:tcW w:w="1356" w:type="dxa"/>
            <w:tcBorders>
              <w:top w:val="single" w:sz="4" w:space="0" w:color="auto"/>
              <w:left w:val="nil"/>
              <w:right w:val="nil"/>
            </w:tcBorders>
            <w:shd w:val="clear" w:color="auto" w:fill="auto"/>
            <w:noWrap/>
            <w:vAlign w:val="bottom"/>
          </w:tcPr>
          <w:p w14:paraId="76C6E2D3" w14:textId="77777777" w:rsidR="00191BF2" w:rsidRPr="00E6476E" w:rsidRDefault="00191BF2" w:rsidP="0055432C">
            <w:pPr>
              <w:spacing w:after="0" w:line="240" w:lineRule="auto"/>
              <w:jc w:val="right"/>
              <w:rPr>
                <w:rFonts w:ascii="Times New Roman" w:eastAsia="Times New Roman" w:hAnsi="Times New Roman" w:cs="Times New Roman"/>
                <w:color w:val="000000"/>
                <w:sz w:val="16"/>
                <w:szCs w:val="16"/>
              </w:rPr>
            </w:pPr>
          </w:p>
        </w:tc>
        <w:tc>
          <w:tcPr>
            <w:tcW w:w="2006" w:type="dxa"/>
            <w:tcBorders>
              <w:top w:val="single" w:sz="4" w:space="0" w:color="auto"/>
              <w:left w:val="nil"/>
              <w:right w:val="nil"/>
            </w:tcBorders>
            <w:shd w:val="clear" w:color="auto" w:fill="auto"/>
            <w:noWrap/>
            <w:vAlign w:val="bottom"/>
          </w:tcPr>
          <w:p w14:paraId="46F8B5DC" w14:textId="77777777" w:rsidR="00191BF2" w:rsidRPr="00E6476E" w:rsidRDefault="00191BF2" w:rsidP="00FA172D">
            <w:pPr>
              <w:spacing w:after="0" w:line="240" w:lineRule="auto"/>
              <w:jc w:val="right"/>
              <w:rPr>
                <w:rFonts w:ascii="Times New Roman" w:eastAsia="Times New Roman" w:hAnsi="Times New Roman" w:cs="Times New Roman"/>
                <w:color w:val="000000"/>
                <w:sz w:val="16"/>
                <w:szCs w:val="16"/>
              </w:rPr>
            </w:pPr>
          </w:p>
        </w:tc>
        <w:tc>
          <w:tcPr>
            <w:tcW w:w="1771" w:type="dxa"/>
            <w:tcBorders>
              <w:top w:val="single" w:sz="4" w:space="0" w:color="auto"/>
              <w:left w:val="nil"/>
              <w:right w:val="nil"/>
            </w:tcBorders>
            <w:shd w:val="clear" w:color="auto" w:fill="auto"/>
            <w:noWrap/>
            <w:vAlign w:val="bottom"/>
          </w:tcPr>
          <w:p w14:paraId="4E65807A" w14:textId="77777777" w:rsidR="00191BF2" w:rsidRPr="00E6476E" w:rsidRDefault="00191BF2" w:rsidP="006A6AFB">
            <w:pPr>
              <w:tabs>
                <w:tab w:val="decimal" w:pos="713"/>
              </w:tabs>
              <w:spacing w:after="0" w:line="240" w:lineRule="auto"/>
              <w:rPr>
                <w:rFonts w:ascii="Times New Roman" w:eastAsia="Times New Roman" w:hAnsi="Times New Roman" w:cs="Times New Roman"/>
                <w:color w:val="000000"/>
                <w:sz w:val="16"/>
                <w:szCs w:val="16"/>
              </w:rPr>
            </w:pPr>
          </w:p>
        </w:tc>
        <w:tc>
          <w:tcPr>
            <w:tcW w:w="1771" w:type="dxa"/>
            <w:tcBorders>
              <w:top w:val="single" w:sz="4" w:space="0" w:color="auto"/>
              <w:left w:val="nil"/>
              <w:right w:val="nil"/>
            </w:tcBorders>
            <w:shd w:val="clear" w:color="auto" w:fill="auto"/>
            <w:noWrap/>
            <w:vAlign w:val="bottom"/>
          </w:tcPr>
          <w:p w14:paraId="26FEB412" w14:textId="77777777" w:rsidR="00191BF2" w:rsidRPr="00E6476E" w:rsidRDefault="00191BF2" w:rsidP="006A6AFB">
            <w:pPr>
              <w:tabs>
                <w:tab w:val="decimal" w:pos="720"/>
              </w:tabs>
              <w:spacing w:after="0" w:line="240" w:lineRule="auto"/>
              <w:rPr>
                <w:rFonts w:ascii="Times New Roman" w:eastAsia="Times New Roman" w:hAnsi="Times New Roman" w:cs="Times New Roman"/>
                <w:color w:val="000000"/>
                <w:sz w:val="16"/>
                <w:szCs w:val="16"/>
              </w:rPr>
            </w:pPr>
          </w:p>
        </w:tc>
        <w:tc>
          <w:tcPr>
            <w:tcW w:w="1771" w:type="dxa"/>
            <w:tcBorders>
              <w:top w:val="single" w:sz="4" w:space="0" w:color="auto"/>
              <w:left w:val="nil"/>
              <w:right w:val="nil"/>
            </w:tcBorders>
            <w:shd w:val="clear" w:color="auto" w:fill="auto"/>
            <w:noWrap/>
            <w:vAlign w:val="bottom"/>
          </w:tcPr>
          <w:p w14:paraId="144ED1A9" w14:textId="77777777" w:rsidR="00191BF2" w:rsidRPr="00E6476E" w:rsidRDefault="00191BF2" w:rsidP="006A6AFB">
            <w:pPr>
              <w:tabs>
                <w:tab w:val="decimal" w:pos="720"/>
              </w:tabs>
              <w:spacing w:after="0" w:line="240" w:lineRule="auto"/>
              <w:rPr>
                <w:rFonts w:ascii="Times New Roman" w:eastAsia="Times New Roman" w:hAnsi="Times New Roman" w:cs="Times New Roman"/>
                <w:color w:val="000000"/>
                <w:sz w:val="16"/>
                <w:szCs w:val="16"/>
              </w:rPr>
            </w:pPr>
          </w:p>
        </w:tc>
      </w:tr>
      <w:tr w:rsidR="006A6AFB" w:rsidRPr="00E6476E" w14:paraId="7FC9A913" w14:textId="77777777" w:rsidTr="00D334A5">
        <w:trPr>
          <w:trHeight w:val="260"/>
        </w:trPr>
        <w:tc>
          <w:tcPr>
            <w:tcW w:w="1139" w:type="dxa"/>
            <w:tcBorders>
              <w:left w:val="nil"/>
              <w:bottom w:val="nil"/>
              <w:right w:val="nil"/>
            </w:tcBorders>
            <w:shd w:val="clear" w:color="auto" w:fill="auto"/>
            <w:noWrap/>
            <w:vAlign w:val="bottom"/>
            <w:hideMark/>
          </w:tcPr>
          <w:p w14:paraId="1F76EB4D" w14:textId="77777777" w:rsidR="0055432C" w:rsidRPr="00E6476E" w:rsidRDefault="0055432C" w:rsidP="0055432C">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w:t>
            </w:r>
          </w:p>
        </w:tc>
        <w:tc>
          <w:tcPr>
            <w:tcW w:w="1140" w:type="dxa"/>
            <w:tcBorders>
              <w:left w:val="nil"/>
              <w:bottom w:val="nil"/>
              <w:right w:val="nil"/>
            </w:tcBorders>
            <w:shd w:val="clear" w:color="auto" w:fill="auto"/>
            <w:noWrap/>
            <w:vAlign w:val="bottom"/>
            <w:hideMark/>
          </w:tcPr>
          <w:p w14:paraId="302DB1A8" w14:textId="365CB7E6" w:rsidR="0055432C" w:rsidRPr="00E6476E" w:rsidRDefault="00C93054" w:rsidP="0055432C">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Yes</w:t>
            </w:r>
          </w:p>
        </w:tc>
        <w:tc>
          <w:tcPr>
            <w:tcW w:w="2006" w:type="dxa"/>
            <w:tcBorders>
              <w:left w:val="nil"/>
              <w:bottom w:val="nil"/>
              <w:right w:val="nil"/>
            </w:tcBorders>
            <w:shd w:val="clear" w:color="auto" w:fill="auto"/>
            <w:noWrap/>
            <w:vAlign w:val="bottom"/>
            <w:hideMark/>
          </w:tcPr>
          <w:p w14:paraId="640534D9"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B60</w:t>
            </w:r>
          </w:p>
        </w:tc>
        <w:tc>
          <w:tcPr>
            <w:tcW w:w="1356" w:type="dxa"/>
            <w:tcBorders>
              <w:left w:val="nil"/>
              <w:bottom w:val="nil"/>
              <w:right w:val="nil"/>
            </w:tcBorders>
            <w:shd w:val="clear" w:color="auto" w:fill="auto"/>
            <w:noWrap/>
            <w:vAlign w:val="bottom"/>
            <w:hideMark/>
          </w:tcPr>
          <w:p w14:paraId="36C9593A"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w:t>
            </w:r>
          </w:p>
        </w:tc>
        <w:tc>
          <w:tcPr>
            <w:tcW w:w="2006" w:type="dxa"/>
            <w:tcBorders>
              <w:left w:val="nil"/>
              <w:bottom w:val="nil"/>
              <w:right w:val="nil"/>
            </w:tcBorders>
            <w:shd w:val="clear" w:color="auto" w:fill="auto"/>
            <w:noWrap/>
            <w:vAlign w:val="bottom"/>
            <w:hideMark/>
          </w:tcPr>
          <w:p w14:paraId="6570CB3A" w14:textId="375F0DC2" w:rsidR="00FA172D" w:rsidRPr="00E6476E" w:rsidRDefault="00FA172D" w:rsidP="00FA172D">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left w:val="nil"/>
              <w:bottom w:val="nil"/>
              <w:right w:val="nil"/>
            </w:tcBorders>
            <w:shd w:val="clear" w:color="auto" w:fill="auto"/>
            <w:noWrap/>
            <w:vAlign w:val="bottom"/>
            <w:hideMark/>
          </w:tcPr>
          <w:p w14:paraId="33316303" w14:textId="77777777" w:rsidR="0055432C" w:rsidRPr="00E6476E" w:rsidRDefault="0055432C" w:rsidP="006A6AFB">
            <w:pPr>
              <w:tabs>
                <w:tab w:val="decimal" w:pos="713"/>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0.32</w:t>
            </w:r>
          </w:p>
        </w:tc>
        <w:tc>
          <w:tcPr>
            <w:tcW w:w="1771" w:type="dxa"/>
            <w:tcBorders>
              <w:left w:val="nil"/>
              <w:bottom w:val="nil"/>
              <w:right w:val="nil"/>
            </w:tcBorders>
            <w:shd w:val="clear" w:color="auto" w:fill="auto"/>
            <w:noWrap/>
            <w:vAlign w:val="bottom"/>
            <w:hideMark/>
          </w:tcPr>
          <w:p w14:paraId="08B035FF"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0.09</w:t>
            </w:r>
          </w:p>
        </w:tc>
        <w:tc>
          <w:tcPr>
            <w:tcW w:w="1771" w:type="dxa"/>
            <w:tcBorders>
              <w:left w:val="nil"/>
              <w:bottom w:val="nil"/>
              <w:right w:val="nil"/>
            </w:tcBorders>
            <w:shd w:val="clear" w:color="auto" w:fill="auto"/>
            <w:noWrap/>
            <w:vAlign w:val="bottom"/>
            <w:hideMark/>
          </w:tcPr>
          <w:p w14:paraId="6B142B2F"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0.03</w:t>
            </w:r>
          </w:p>
        </w:tc>
      </w:tr>
      <w:tr w:rsidR="006A6AFB" w:rsidRPr="00E6476E" w14:paraId="46C22C9D" w14:textId="77777777" w:rsidTr="00FA172D">
        <w:trPr>
          <w:trHeight w:val="260"/>
        </w:trPr>
        <w:tc>
          <w:tcPr>
            <w:tcW w:w="1139" w:type="dxa"/>
            <w:tcBorders>
              <w:top w:val="nil"/>
              <w:left w:val="nil"/>
              <w:bottom w:val="nil"/>
              <w:right w:val="nil"/>
            </w:tcBorders>
            <w:shd w:val="clear" w:color="auto" w:fill="auto"/>
            <w:noWrap/>
            <w:vAlign w:val="bottom"/>
            <w:hideMark/>
          </w:tcPr>
          <w:p w14:paraId="7668399B"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1776EB51"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482E4D94"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B65</w:t>
            </w:r>
          </w:p>
        </w:tc>
        <w:tc>
          <w:tcPr>
            <w:tcW w:w="1356" w:type="dxa"/>
            <w:tcBorders>
              <w:top w:val="nil"/>
              <w:left w:val="nil"/>
              <w:bottom w:val="nil"/>
              <w:right w:val="nil"/>
            </w:tcBorders>
            <w:shd w:val="clear" w:color="auto" w:fill="auto"/>
            <w:noWrap/>
            <w:vAlign w:val="bottom"/>
            <w:hideMark/>
          </w:tcPr>
          <w:p w14:paraId="336307B9"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w:t>
            </w:r>
          </w:p>
        </w:tc>
        <w:tc>
          <w:tcPr>
            <w:tcW w:w="2006" w:type="dxa"/>
            <w:tcBorders>
              <w:top w:val="nil"/>
              <w:left w:val="nil"/>
              <w:bottom w:val="nil"/>
              <w:right w:val="nil"/>
            </w:tcBorders>
            <w:shd w:val="clear" w:color="auto" w:fill="auto"/>
            <w:noWrap/>
            <w:vAlign w:val="bottom"/>
            <w:hideMark/>
          </w:tcPr>
          <w:p w14:paraId="792C1FB1" w14:textId="2B2DAE3E" w:rsidR="0055432C" w:rsidRPr="00E6476E" w:rsidRDefault="00FA172D" w:rsidP="00FA172D">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2CC8C130"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0.34</w:t>
            </w:r>
          </w:p>
        </w:tc>
        <w:tc>
          <w:tcPr>
            <w:tcW w:w="1771" w:type="dxa"/>
            <w:tcBorders>
              <w:top w:val="nil"/>
              <w:left w:val="nil"/>
              <w:bottom w:val="nil"/>
              <w:right w:val="nil"/>
            </w:tcBorders>
            <w:shd w:val="clear" w:color="auto" w:fill="auto"/>
            <w:noWrap/>
            <w:vAlign w:val="bottom"/>
            <w:hideMark/>
          </w:tcPr>
          <w:p w14:paraId="2CA819E4"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0.24</w:t>
            </w:r>
          </w:p>
        </w:tc>
        <w:tc>
          <w:tcPr>
            <w:tcW w:w="1771" w:type="dxa"/>
            <w:tcBorders>
              <w:top w:val="nil"/>
              <w:left w:val="nil"/>
              <w:bottom w:val="nil"/>
              <w:right w:val="nil"/>
            </w:tcBorders>
            <w:shd w:val="clear" w:color="auto" w:fill="auto"/>
            <w:noWrap/>
            <w:vAlign w:val="bottom"/>
            <w:hideMark/>
          </w:tcPr>
          <w:p w14:paraId="47F6164C"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0.02</w:t>
            </w:r>
          </w:p>
        </w:tc>
      </w:tr>
      <w:tr w:rsidR="00FA172D" w:rsidRPr="00E6476E" w14:paraId="11727DB3" w14:textId="77777777" w:rsidTr="00FA172D">
        <w:trPr>
          <w:trHeight w:val="260"/>
        </w:trPr>
        <w:tc>
          <w:tcPr>
            <w:tcW w:w="1139" w:type="dxa"/>
            <w:tcBorders>
              <w:top w:val="nil"/>
              <w:left w:val="nil"/>
              <w:bottom w:val="nil"/>
              <w:right w:val="nil"/>
            </w:tcBorders>
            <w:shd w:val="clear" w:color="auto" w:fill="auto"/>
            <w:noWrap/>
            <w:vAlign w:val="bottom"/>
            <w:hideMark/>
          </w:tcPr>
          <w:p w14:paraId="2236560F" w14:textId="77777777" w:rsidR="00FA172D" w:rsidRPr="00E6476E" w:rsidRDefault="00FA172D" w:rsidP="00FA172D">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19903AD1" w14:textId="77777777" w:rsidR="00FA172D" w:rsidRPr="00E6476E" w:rsidRDefault="00FA172D" w:rsidP="00FA172D">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4D2D34B3" w14:textId="77777777" w:rsidR="00FA172D" w:rsidRPr="00E6476E" w:rsidRDefault="00FA172D" w:rsidP="00FA172D">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LRNC B530 (Math B60)</w:t>
            </w:r>
          </w:p>
        </w:tc>
        <w:tc>
          <w:tcPr>
            <w:tcW w:w="1356" w:type="dxa"/>
            <w:tcBorders>
              <w:top w:val="nil"/>
              <w:left w:val="nil"/>
              <w:bottom w:val="nil"/>
              <w:right w:val="nil"/>
            </w:tcBorders>
            <w:shd w:val="clear" w:color="auto" w:fill="auto"/>
            <w:noWrap/>
            <w:vAlign w:val="bottom"/>
            <w:hideMark/>
          </w:tcPr>
          <w:p w14:paraId="5A4B8986" w14:textId="77777777" w:rsidR="00FA172D" w:rsidRPr="00E6476E" w:rsidRDefault="00FA172D" w:rsidP="00FA172D">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w:t>
            </w:r>
          </w:p>
        </w:tc>
        <w:tc>
          <w:tcPr>
            <w:tcW w:w="2006" w:type="dxa"/>
            <w:tcBorders>
              <w:top w:val="nil"/>
              <w:left w:val="nil"/>
              <w:bottom w:val="nil"/>
              <w:right w:val="nil"/>
            </w:tcBorders>
            <w:shd w:val="clear" w:color="auto" w:fill="auto"/>
            <w:noWrap/>
            <w:vAlign w:val="bottom"/>
            <w:hideMark/>
          </w:tcPr>
          <w:p w14:paraId="1EE7B2FF" w14:textId="3716B177" w:rsidR="00FA172D" w:rsidRPr="00E6476E" w:rsidRDefault="00FA172D" w:rsidP="00FA172D">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39CAA7E5" w14:textId="77777777" w:rsidR="00FA172D" w:rsidRPr="00E6476E" w:rsidRDefault="00FA172D" w:rsidP="00FA172D">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0.63</w:t>
            </w:r>
          </w:p>
        </w:tc>
        <w:tc>
          <w:tcPr>
            <w:tcW w:w="1771" w:type="dxa"/>
            <w:tcBorders>
              <w:top w:val="nil"/>
              <w:left w:val="nil"/>
              <w:bottom w:val="nil"/>
              <w:right w:val="nil"/>
            </w:tcBorders>
            <w:shd w:val="clear" w:color="auto" w:fill="auto"/>
            <w:noWrap/>
            <w:vAlign w:val="bottom"/>
            <w:hideMark/>
          </w:tcPr>
          <w:p w14:paraId="2E97CC11" w14:textId="77777777" w:rsidR="00FA172D" w:rsidRPr="00E6476E" w:rsidRDefault="00FA172D" w:rsidP="00FA172D">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0.27</w:t>
            </w:r>
          </w:p>
        </w:tc>
        <w:tc>
          <w:tcPr>
            <w:tcW w:w="1771" w:type="dxa"/>
            <w:tcBorders>
              <w:top w:val="nil"/>
              <w:left w:val="nil"/>
              <w:bottom w:val="nil"/>
              <w:right w:val="nil"/>
            </w:tcBorders>
            <w:shd w:val="clear" w:color="auto" w:fill="auto"/>
            <w:noWrap/>
            <w:vAlign w:val="bottom"/>
            <w:hideMark/>
          </w:tcPr>
          <w:p w14:paraId="107C73C8" w14:textId="77777777" w:rsidR="00FA172D" w:rsidRPr="00E6476E" w:rsidRDefault="00FA172D" w:rsidP="00FA172D">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0.17</w:t>
            </w:r>
          </w:p>
        </w:tc>
      </w:tr>
      <w:tr w:rsidR="00FA172D" w:rsidRPr="00E6476E" w14:paraId="3B8BDB9F" w14:textId="77777777" w:rsidTr="00FA172D">
        <w:trPr>
          <w:trHeight w:val="260"/>
        </w:trPr>
        <w:tc>
          <w:tcPr>
            <w:tcW w:w="1139" w:type="dxa"/>
            <w:tcBorders>
              <w:top w:val="nil"/>
              <w:left w:val="nil"/>
              <w:bottom w:val="nil"/>
              <w:right w:val="nil"/>
            </w:tcBorders>
            <w:shd w:val="clear" w:color="auto" w:fill="auto"/>
            <w:noWrap/>
            <w:vAlign w:val="bottom"/>
            <w:hideMark/>
          </w:tcPr>
          <w:p w14:paraId="704CFEC9" w14:textId="77777777" w:rsidR="00FA172D" w:rsidRPr="00E6476E" w:rsidRDefault="00FA172D" w:rsidP="00FA172D">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54D75F27" w14:textId="77777777" w:rsidR="00FA172D" w:rsidRPr="00E6476E" w:rsidRDefault="00FA172D" w:rsidP="00FA172D">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656A3801" w14:textId="77777777" w:rsidR="00FA172D" w:rsidRPr="00E6476E" w:rsidRDefault="00FA172D" w:rsidP="00FA172D">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356" w:type="dxa"/>
            <w:tcBorders>
              <w:top w:val="nil"/>
              <w:left w:val="nil"/>
              <w:bottom w:val="nil"/>
              <w:right w:val="nil"/>
            </w:tcBorders>
            <w:shd w:val="clear" w:color="auto" w:fill="auto"/>
            <w:noWrap/>
            <w:vAlign w:val="bottom"/>
            <w:hideMark/>
          </w:tcPr>
          <w:p w14:paraId="36F35A3A" w14:textId="77777777" w:rsidR="00FA172D" w:rsidRPr="00E6476E" w:rsidRDefault="00FA172D" w:rsidP="00FA172D">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w:t>
            </w:r>
          </w:p>
        </w:tc>
        <w:tc>
          <w:tcPr>
            <w:tcW w:w="2006" w:type="dxa"/>
            <w:tcBorders>
              <w:top w:val="nil"/>
              <w:left w:val="nil"/>
              <w:bottom w:val="nil"/>
              <w:right w:val="nil"/>
            </w:tcBorders>
            <w:shd w:val="clear" w:color="auto" w:fill="auto"/>
            <w:noWrap/>
            <w:vAlign w:val="bottom"/>
            <w:hideMark/>
          </w:tcPr>
          <w:p w14:paraId="30D93112" w14:textId="1379528B" w:rsidR="00FA172D" w:rsidRPr="00E6476E" w:rsidRDefault="00FA172D" w:rsidP="00FA172D">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173C5CC1" w14:textId="77777777" w:rsidR="00FA172D" w:rsidRPr="00E6476E" w:rsidRDefault="00FA172D" w:rsidP="00FA172D">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0.59</w:t>
            </w:r>
          </w:p>
        </w:tc>
        <w:tc>
          <w:tcPr>
            <w:tcW w:w="1771" w:type="dxa"/>
            <w:tcBorders>
              <w:top w:val="nil"/>
              <w:left w:val="nil"/>
              <w:bottom w:val="nil"/>
              <w:right w:val="nil"/>
            </w:tcBorders>
            <w:shd w:val="clear" w:color="auto" w:fill="auto"/>
            <w:noWrap/>
            <w:vAlign w:val="bottom"/>
            <w:hideMark/>
          </w:tcPr>
          <w:p w14:paraId="01BF0A18" w14:textId="77777777" w:rsidR="00FA172D" w:rsidRPr="00E6476E" w:rsidRDefault="00FA172D" w:rsidP="00FA172D">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0.20</w:t>
            </w:r>
          </w:p>
        </w:tc>
        <w:tc>
          <w:tcPr>
            <w:tcW w:w="1771" w:type="dxa"/>
            <w:tcBorders>
              <w:top w:val="nil"/>
              <w:left w:val="nil"/>
              <w:bottom w:val="nil"/>
              <w:right w:val="nil"/>
            </w:tcBorders>
            <w:shd w:val="clear" w:color="auto" w:fill="auto"/>
            <w:noWrap/>
            <w:vAlign w:val="bottom"/>
            <w:hideMark/>
          </w:tcPr>
          <w:p w14:paraId="18F2F41E" w14:textId="77777777" w:rsidR="00FA172D" w:rsidRPr="00E6476E" w:rsidRDefault="00FA172D" w:rsidP="00FA172D">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0.11</w:t>
            </w:r>
          </w:p>
        </w:tc>
      </w:tr>
      <w:tr w:rsidR="006A6AFB" w:rsidRPr="00E6476E" w14:paraId="227CDEF2" w14:textId="77777777" w:rsidTr="006A6AFB">
        <w:trPr>
          <w:trHeight w:val="260"/>
        </w:trPr>
        <w:tc>
          <w:tcPr>
            <w:tcW w:w="1139" w:type="dxa"/>
            <w:tcBorders>
              <w:top w:val="nil"/>
              <w:left w:val="nil"/>
              <w:bottom w:val="nil"/>
              <w:right w:val="nil"/>
            </w:tcBorders>
            <w:shd w:val="clear" w:color="auto" w:fill="auto"/>
            <w:noWrap/>
            <w:vAlign w:val="bottom"/>
            <w:hideMark/>
          </w:tcPr>
          <w:p w14:paraId="7F75407E"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50382AE4"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15D25641"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4143C4E5" w14:textId="77777777" w:rsidR="0055432C" w:rsidRPr="00E6476E" w:rsidRDefault="0055432C" w:rsidP="0055432C">
            <w:pPr>
              <w:spacing w:after="0" w:line="240" w:lineRule="auto"/>
              <w:jc w:val="right"/>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5FE55164" w14:textId="7797FE7A" w:rsidR="0055432C" w:rsidRPr="00E6476E" w:rsidRDefault="00AA2614" w:rsidP="0055432C">
            <w:pPr>
              <w:spacing w:after="0" w:line="240" w:lineRule="auto"/>
              <w:jc w:val="right"/>
              <w:rPr>
                <w:rFonts w:ascii="Times New Roman" w:eastAsia="Times New Roman" w:hAnsi="Times New Roman" w:cs="Times New Roman"/>
                <w:sz w:val="16"/>
                <w:szCs w:val="16"/>
              </w:rPr>
            </w:pPr>
            <w:r w:rsidRPr="00E6476E">
              <w:rPr>
                <w:rFonts w:ascii="Times New Roman" w:eastAsia="Times New Roman" w:hAnsi="Times New Roman" w:cs="Times New Roman"/>
                <w:b/>
                <w:sz w:val="16"/>
                <w:szCs w:val="16"/>
              </w:rPr>
              <w:t>N</w:t>
            </w:r>
          </w:p>
        </w:tc>
        <w:tc>
          <w:tcPr>
            <w:tcW w:w="1771" w:type="dxa"/>
            <w:tcBorders>
              <w:top w:val="nil"/>
              <w:left w:val="nil"/>
              <w:bottom w:val="nil"/>
              <w:right w:val="nil"/>
            </w:tcBorders>
            <w:shd w:val="clear" w:color="auto" w:fill="auto"/>
            <w:noWrap/>
            <w:vAlign w:val="bottom"/>
            <w:hideMark/>
          </w:tcPr>
          <w:p w14:paraId="7B705F1D" w14:textId="700237F6"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1,985</w:t>
            </w:r>
          </w:p>
        </w:tc>
        <w:tc>
          <w:tcPr>
            <w:tcW w:w="1771" w:type="dxa"/>
            <w:tcBorders>
              <w:top w:val="nil"/>
              <w:left w:val="nil"/>
              <w:bottom w:val="nil"/>
              <w:right w:val="nil"/>
            </w:tcBorders>
            <w:shd w:val="clear" w:color="auto" w:fill="auto"/>
            <w:noWrap/>
            <w:vAlign w:val="bottom"/>
            <w:hideMark/>
          </w:tcPr>
          <w:p w14:paraId="20FDCA0E" w14:textId="7E3B63D1"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1,985</w:t>
            </w:r>
          </w:p>
        </w:tc>
        <w:tc>
          <w:tcPr>
            <w:tcW w:w="1771" w:type="dxa"/>
            <w:tcBorders>
              <w:top w:val="nil"/>
              <w:left w:val="nil"/>
              <w:bottom w:val="nil"/>
              <w:right w:val="nil"/>
            </w:tcBorders>
            <w:shd w:val="clear" w:color="auto" w:fill="auto"/>
            <w:noWrap/>
            <w:vAlign w:val="bottom"/>
            <w:hideMark/>
          </w:tcPr>
          <w:p w14:paraId="433D51EE" w14:textId="608AE33F"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1,985</w:t>
            </w:r>
          </w:p>
        </w:tc>
      </w:tr>
      <w:tr w:rsidR="006A6AFB" w:rsidRPr="00E6476E" w14:paraId="6D5EBD67" w14:textId="77777777" w:rsidTr="006A6AFB">
        <w:trPr>
          <w:trHeight w:val="260"/>
        </w:trPr>
        <w:tc>
          <w:tcPr>
            <w:tcW w:w="1139" w:type="dxa"/>
            <w:tcBorders>
              <w:top w:val="nil"/>
              <w:left w:val="nil"/>
              <w:bottom w:val="nil"/>
              <w:right w:val="nil"/>
            </w:tcBorders>
            <w:shd w:val="clear" w:color="auto" w:fill="auto"/>
            <w:noWrap/>
            <w:vAlign w:val="bottom"/>
            <w:hideMark/>
          </w:tcPr>
          <w:p w14:paraId="2B81A855" w14:textId="77777777" w:rsidR="0055432C" w:rsidRPr="00E6476E" w:rsidRDefault="0055432C" w:rsidP="0055432C">
            <w:pPr>
              <w:spacing w:after="0" w:line="240" w:lineRule="auto"/>
              <w:rPr>
                <w:rFonts w:ascii="Times New Roman" w:eastAsia="Times New Roman" w:hAnsi="Times New Roman" w:cs="Times New Roman"/>
                <w:b/>
                <w:bCs/>
                <w:color w:val="000000"/>
                <w:sz w:val="16"/>
                <w:szCs w:val="16"/>
              </w:rPr>
            </w:pPr>
          </w:p>
        </w:tc>
        <w:tc>
          <w:tcPr>
            <w:tcW w:w="1140" w:type="dxa"/>
            <w:tcBorders>
              <w:top w:val="nil"/>
              <w:left w:val="nil"/>
              <w:bottom w:val="nil"/>
              <w:right w:val="nil"/>
            </w:tcBorders>
            <w:shd w:val="clear" w:color="auto" w:fill="auto"/>
            <w:noWrap/>
            <w:vAlign w:val="bottom"/>
            <w:hideMark/>
          </w:tcPr>
          <w:p w14:paraId="2823841F"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7590586C"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3D9D2C28"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51B3DD5C"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7C4002A9"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3EB31158"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76AD31DC" w14:textId="77777777" w:rsidR="0055432C" w:rsidRPr="00E6476E" w:rsidRDefault="0055432C" w:rsidP="0055432C">
            <w:pPr>
              <w:spacing w:after="0" w:line="240" w:lineRule="auto"/>
              <w:rPr>
                <w:rFonts w:ascii="Times New Roman" w:eastAsia="Times New Roman" w:hAnsi="Times New Roman" w:cs="Times New Roman"/>
                <w:sz w:val="16"/>
                <w:szCs w:val="16"/>
              </w:rPr>
            </w:pPr>
          </w:p>
        </w:tc>
      </w:tr>
      <w:tr w:rsidR="000E7C8F" w:rsidRPr="00E6476E" w14:paraId="21DFB077" w14:textId="77777777" w:rsidTr="006A6AFB">
        <w:trPr>
          <w:trHeight w:val="260"/>
        </w:trPr>
        <w:tc>
          <w:tcPr>
            <w:tcW w:w="1139" w:type="dxa"/>
            <w:tcBorders>
              <w:top w:val="nil"/>
              <w:left w:val="nil"/>
              <w:bottom w:val="nil"/>
              <w:right w:val="nil"/>
            </w:tcBorders>
            <w:shd w:val="clear" w:color="auto" w:fill="auto"/>
            <w:noWrap/>
            <w:vAlign w:val="bottom"/>
            <w:hideMark/>
          </w:tcPr>
          <w:p w14:paraId="66951B9E" w14:textId="77777777" w:rsidR="000E7C8F" w:rsidRPr="00E6476E" w:rsidRDefault="000E7C8F" w:rsidP="000E7C8F">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2</w:t>
            </w:r>
          </w:p>
        </w:tc>
        <w:tc>
          <w:tcPr>
            <w:tcW w:w="1140" w:type="dxa"/>
            <w:tcBorders>
              <w:top w:val="nil"/>
              <w:left w:val="nil"/>
              <w:bottom w:val="nil"/>
              <w:right w:val="nil"/>
            </w:tcBorders>
            <w:shd w:val="clear" w:color="auto" w:fill="auto"/>
            <w:noWrap/>
            <w:vAlign w:val="bottom"/>
            <w:hideMark/>
          </w:tcPr>
          <w:p w14:paraId="01515857" w14:textId="101634CE" w:rsidR="000E7C8F" w:rsidRPr="00E6476E" w:rsidRDefault="00C93054" w:rsidP="000E7C8F">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Yes</w:t>
            </w:r>
          </w:p>
        </w:tc>
        <w:tc>
          <w:tcPr>
            <w:tcW w:w="2006" w:type="dxa"/>
            <w:tcBorders>
              <w:top w:val="nil"/>
              <w:left w:val="nil"/>
              <w:bottom w:val="nil"/>
              <w:right w:val="nil"/>
            </w:tcBorders>
            <w:shd w:val="clear" w:color="auto" w:fill="auto"/>
            <w:noWrap/>
            <w:vAlign w:val="bottom"/>
            <w:hideMark/>
          </w:tcPr>
          <w:p w14:paraId="28B6B036"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B60</w:t>
            </w:r>
          </w:p>
        </w:tc>
        <w:tc>
          <w:tcPr>
            <w:tcW w:w="1356" w:type="dxa"/>
            <w:tcBorders>
              <w:top w:val="nil"/>
              <w:left w:val="nil"/>
              <w:bottom w:val="nil"/>
              <w:right w:val="nil"/>
            </w:tcBorders>
            <w:shd w:val="clear" w:color="auto" w:fill="auto"/>
            <w:noWrap/>
            <w:vAlign w:val="bottom"/>
            <w:hideMark/>
          </w:tcPr>
          <w:p w14:paraId="0392E0B6"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34C363F9" w14:textId="0D2B73AE"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46DF0BFB"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0.59</w:t>
            </w:r>
          </w:p>
        </w:tc>
        <w:tc>
          <w:tcPr>
            <w:tcW w:w="1771" w:type="dxa"/>
            <w:tcBorders>
              <w:top w:val="nil"/>
              <w:left w:val="nil"/>
              <w:bottom w:val="nil"/>
              <w:right w:val="nil"/>
            </w:tcBorders>
            <w:shd w:val="clear" w:color="auto" w:fill="auto"/>
            <w:noWrap/>
            <w:vAlign w:val="bottom"/>
            <w:hideMark/>
          </w:tcPr>
          <w:p w14:paraId="75DB6712"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0.19</w:t>
            </w:r>
          </w:p>
        </w:tc>
        <w:tc>
          <w:tcPr>
            <w:tcW w:w="1771" w:type="dxa"/>
            <w:tcBorders>
              <w:top w:val="nil"/>
              <w:left w:val="nil"/>
              <w:bottom w:val="nil"/>
              <w:right w:val="nil"/>
            </w:tcBorders>
            <w:shd w:val="clear" w:color="auto" w:fill="auto"/>
            <w:noWrap/>
            <w:vAlign w:val="bottom"/>
            <w:hideMark/>
          </w:tcPr>
          <w:p w14:paraId="7D0E1F9C"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0.07</w:t>
            </w:r>
          </w:p>
        </w:tc>
      </w:tr>
      <w:tr w:rsidR="000E7C8F" w:rsidRPr="00E6476E" w14:paraId="74D96EB7" w14:textId="77777777" w:rsidTr="006A6AFB">
        <w:trPr>
          <w:trHeight w:val="260"/>
        </w:trPr>
        <w:tc>
          <w:tcPr>
            <w:tcW w:w="1139" w:type="dxa"/>
            <w:tcBorders>
              <w:top w:val="nil"/>
              <w:left w:val="nil"/>
              <w:bottom w:val="nil"/>
              <w:right w:val="nil"/>
            </w:tcBorders>
            <w:shd w:val="clear" w:color="auto" w:fill="auto"/>
            <w:noWrap/>
            <w:vAlign w:val="bottom"/>
            <w:hideMark/>
          </w:tcPr>
          <w:p w14:paraId="1D818466"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0CC0F541" w14:textId="77777777" w:rsidR="000E7C8F" w:rsidRPr="00E6476E" w:rsidRDefault="000E7C8F" w:rsidP="000E7C8F">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618D7AEE"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B65</w:t>
            </w:r>
          </w:p>
        </w:tc>
        <w:tc>
          <w:tcPr>
            <w:tcW w:w="1356" w:type="dxa"/>
            <w:tcBorders>
              <w:top w:val="nil"/>
              <w:left w:val="nil"/>
              <w:bottom w:val="nil"/>
              <w:right w:val="nil"/>
            </w:tcBorders>
            <w:shd w:val="clear" w:color="auto" w:fill="auto"/>
            <w:noWrap/>
            <w:vAlign w:val="bottom"/>
            <w:hideMark/>
          </w:tcPr>
          <w:p w14:paraId="0BB1DEC5"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41BBEB08" w14:textId="70A2B63F"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613465F9"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0.51</w:t>
            </w:r>
          </w:p>
        </w:tc>
        <w:tc>
          <w:tcPr>
            <w:tcW w:w="1771" w:type="dxa"/>
            <w:tcBorders>
              <w:top w:val="nil"/>
              <w:left w:val="nil"/>
              <w:bottom w:val="nil"/>
              <w:right w:val="nil"/>
            </w:tcBorders>
            <w:shd w:val="clear" w:color="auto" w:fill="auto"/>
            <w:noWrap/>
            <w:vAlign w:val="bottom"/>
            <w:hideMark/>
          </w:tcPr>
          <w:p w14:paraId="3238FA05"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0.38</w:t>
            </w:r>
          </w:p>
        </w:tc>
        <w:tc>
          <w:tcPr>
            <w:tcW w:w="1771" w:type="dxa"/>
            <w:tcBorders>
              <w:top w:val="nil"/>
              <w:left w:val="nil"/>
              <w:bottom w:val="nil"/>
              <w:right w:val="nil"/>
            </w:tcBorders>
            <w:shd w:val="clear" w:color="auto" w:fill="auto"/>
            <w:noWrap/>
            <w:vAlign w:val="bottom"/>
            <w:hideMark/>
          </w:tcPr>
          <w:p w14:paraId="4EDC4F42"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0.04</w:t>
            </w:r>
          </w:p>
        </w:tc>
      </w:tr>
      <w:tr w:rsidR="000E7C8F" w:rsidRPr="00E6476E" w14:paraId="00168DA7" w14:textId="77777777" w:rsidTr="00AA2614">
        <w:trPr>
          <w:trHeight w:val="260"/>
        </w:trPr>
        <w:tc>
          <w:tcPr>
            <w:tcW w:w="1139" w:type="dxa"/>
            <w:tcBorders>
              <w:top w:val="nil"/>
              <w:left w:val="nil"/>
              <w:bottom w:val="nil"/>
              <w:right w:val="nil"/>
            </w:tcBorders>
            <w:shd w:val="clear" w:color="auto" w:fill="auto"/>
            <w:noWrap/>
            <w:vAlign w:val="bottom"/>
            <w:hideMark/>
          </w:tcPr>
          <w:p w14:paraId="54795738"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4E13D92F" w14:textId="77777777" w:rsidR="000E7C8F" w:rsidRPr="00E6476E" w:rsidRDefault="000E7C8F" w:rsidP="000E7C8F">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6A7FB1BE"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LRNC B530 (Math B60)</w:t>
            </w:r>
          </w:p>
        </w:tc>
        <w:tc>
          <w:tcPr>
            <w:tcW w:w="1356" w:type="dxa"/>
            <w:tcBorders>
              <w:top w:val="nil"/>
              <w:left w:val="nil"/>
              <w:bottom w:val="nil"/>
              <w:right w:val="nil"/>
            </w:tcBorders>
            <w:shd w:val="clear" w:color="auto" w:fill="auto"/>
            <w:noWrap/>
            <w:vAlign w:val="bottom"/>
            <w:hideMark/>
          </w:tcPr>
          <w:p w14:paraId="3FD2C5C7"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13FA3185" w14:textId="1F224DDE"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004A8713"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0.70</w:t>
            </w:r>
          </w:p>
        </w:tc>
        <w:tc>
          <w:tcPr>
            <w:tcW w:w="1771" w:type="dxa"/>
            <w:tcBorders>
              <w:top w:val="nil"/>
              <w:left w:val="nil"/>
              <w:bottom w:val="nil"/>
              <w:right w:val="nil"/>
            </w:tcBorders>
            <w:shd w:val="clear" w:color="auto" w:fill="auto"/>
            <w:noWrap/>
            <w:vAlign w:val="bottom"/>
            <w:hideMark/>
          </w:tcPr>
          <w:p w14:paraId="462C8984"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0.37</w:t>
            </w:r>
          </w:p>
        </w:tc>
        <w:tc>
          <w:tcPr>
            <w:tcW w:w="1771" w:type="dxa"/>
            <w:tcBorders>
              <w:top w:val="nil"/>
              <w:left w:val="nil"/>
              <w:bottom w:val="nil"/>
              <w:right w:val="nil"/>
            </w:tcBorders>
            <w:shd w:val="clear" w:color="auto" w:fill="auto"/>
            <w:noWrap/>
            <w:vAlign w:val="bottom"/>
            <w:hideMark/>
          </w:tcPr>
          <w:p w14:paraId="35A46DD6"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0.24</w:t>
            </w:r>
          </w:p>
        </w:tc>
      </w:tr>
      <w:tr w:rsidR="000E7C8F" w:rsidRPr="00E6476E" w14:paraId="19308E49" w14:textId="77777777" w:rsidTr="006A6AFB">
        <w:trPr>
          <w:trHeight w:val="260"/>
        </w:trPr>
        <w:tc>
          <w:tcPr>
            <w:tcW w:w="1139" w:type="dxa"/>
            <w:tcBorders>
              <w:top w:val="nil"/>
              <w:left w:val="nil"/>
              <w:bottom w:val="nil"/>
              <w:right w:val="nil"/>
            </w:tcBorders>
            <w:shd w:val="clear" w:color="auto" w:fill="auto"/>
            <w:noWrap/>
            <w:vAlign w:val="bottom"/>
            <w:hideMark/>
          </w:tcPr>
          <w:p w14:paraId="7C44EA26"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7AD7B3A1" w14:textId="77777777" w:rsidR="000E7C8F" w:rsidRPr="00E6476E" w:rsidRDefault="000E7C8F" w:rsidP="000E7C8F">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401330D5"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356" w:type="dxa"/>
            <w:tcBorders>
              <w:top w:val="nil"/>
              <w:left w:val="nil"/>
              <w:bottom w:val="nil"/>
              <w:right w:val="nil"/>
            </w:tcBorders>
            <w:shd w:val="clear" w:color="auto" w:fill="auto"/>
            <w:noWrap/>
            <w:vAlign w:val="bottom"/>
            <w:hideMark/>
          </w:tcPr>
          <w:p w14:paraId="3B453345"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68CCBA60" w14:textId="05CC4542"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1116ECB0" w14:textId="77777777" w:rsidR="000E7C8F" w:rsidRPr="00E6476E" w:rsidRDefault="000E7C8F" w:rsidP="00595BB2">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bottom w:val="nil"/>
              <w:right w:val="nil"/>
            </w:tcBorders>
            <w:shd w:val="clear" w:color="auto" w:fill="auto"/>
            <w:noWrap/>
            <w:vAlign w:val="bottom"/>
            <w:hideMark/>
          </w:tcPr>
          <w:p w14:paraId="3782E06C"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0.44</w:t>
            </w:r>
          </w:p>
        </w:tc>
        <w:tc>
          <w:tcPr>
            <w:tcW w:w="1771" w:type="dxa"/>
            <w:tcBorders>
              <w:top w:val="nil"/>
              <w:left w:val="nil"/>
              <w:bottom w:val="nil"/>
              <w:right w:val="nil"/>
            </w:tcBorders>
            <w:shd w:val="clear" w:color="auto" w:fill="auto"/>
            <w:noWrap/>
            <w:vAlign w:val="bottom"/>
            <w:hideMark/>
          </w:tcPr>
          <w:p w14:paraId="32E869D3"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0.23</w:t>
            </w:r>
          </w:p>
        </w:tc>
      </w:tr>
      <w:tr w:rsidR="006A6AFB" w:rsidRPr="00E6476E" w14:paraId="50266700" w14:textId="77777777" w:rsidTr="006A6AFB">
        <w:trPr>
          <w:trHeight w:val="260"/>
        </w:trPr>
        <w:tc>
          <w:tcPr>
            <w:tcW w:w="1139" w:type="dxa"/>
            <w:tcBorders>
              <w:top w:val="nil"/>
              <w:left w:val="nil"/>
              <w:bottom w:val="nil"/>
              <w:right w:val="nil"/>
            </w:tcBorders>
            <w:shd w:val="clear" w:color="auto" w:fill="auto"/>
            <w:noWrap/>
            <w:vAlign w:val="bottom"/>
            <w:hideMark/>
          </w:tcPr>
          <w:p w14:paraId="76CF36B2"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06724301"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6881260C"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3D9D8C67" w14:textId="77777777" w:rsidR="0055432C" w:rsidRPr="00E6476E" w:rsidRDefault="0055432C" w:rsidP="0055432C">
            <w:pPr>
              <w:spacing w:after="0" w:line="240" w:lineRule="auto"/>
              <w:jc w:val="right"/>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6020106D" w14:textId="4E17FDA4" w:rsidR="0055432C" w:rsidRPr="00E6476E" w:rsidRDefault="00AA2614" w:rsidP="0055432C">
            <w:pPr>
              <w:spacing w:after="0" w:line="240" w:lineRule="auto"/>
              <w:jc w:val="right"/>
              <w:rPr>
                <w:rFonts w:ascii="Times New Roman" w:eastAsia="Times New Roman" w:hAnsi="Times New Roman" w:cs="Times New Roman"/>
                <w:sz w:val="16"/>
                <w:szCs w:val="16"/>
              </w:rPr>
            </w:pPr>
            <w:r w:rsidRPr="00E6476E">
              <w:rPr>
                <w:rFonts w:ascii="Times New Roman" w:eastAsia="Times New Roman" w:hAnsi="Times New Roman" w:cs="Times New Roman"/>
                <w:b/>
                <w:sz w:val="16"/>
                <w:szCs w:val="16"/>
              </w:rPr>
              <w:t>N</w:t>
            </w:r>
          </w:p>
        </w:tc>
        <w:tc>
          <w:tcPr>
            <w:tcW w:w="1771" w:type="dxa"/>
            <w:tcBorders>
              <w:top w:val="nil"/>
              <w:left w:val="nil"/>
              <w:bottom w:val="nil"/>
              <w:right w:val="nil"/>
            </w:tcBorders>
            <w:shd w:val="clear" w:color="auto" w:fill="auto"/>
            <w:noWrap/>
            <w:vAlign w:val="bottom"/>
            <w:hideMark/>
          </w:tcPr>
          <w:p w14:paraId="49230A9A" w14:textId="7DD071BE"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694</w:t>
            </w:r>
          </w:p>
        </w:tc>
        <w:tc>
          <w:tcPr>
            <w:tcW w:w="1771" w:type="dxa"/>
            <w:tcBorders>
              <w:top w:val="nil"/>
              <w:left w:val="nil"/>
              <w:bottom w:val="nil"/>
              <w:right w:val="nil"/>
            </w:tcBorders>
            <w:shd w:val="clear" w:color="auto" w:fill="auto"/>
            <w:noWrap/>
            <w:vAlign w:val="bottom"/>
            <w:hideMark/>
          </w:tcPr>
          <w:p w14:paraId="605A8A17" w14:textId="1D85618F"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1,098</w:t>
            </w:r>
          </w:p>
        </w:tc>
        <w:tc>
          <w:tcPr>
            <w:tcW w:w="1771" w:type="dxa"/>
            <w:tcBorders>
              <w:top w:val="nil"/>
              <w:left w:val="nil"/>
              <w:bottom w:val="nil"/>
              <w:right w:val="nil"/>
            </w:tcBorders>
            <w:shd w:val="clear" w:color="auto" w:fill="auto"/>
            <w:noWrap/>
            <w:vAlign w:val="bottom"/>
            <w:hideMark/>
          </w:tcPr>
          <w:p w14:paraId="0C706D86" w14:textId="0F968C8E"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1,098</w:t>
            </w:r>
          </w:p>
        </w:tc>
      </w:tr>
      <w:tr w:rsidR="006A6AFB" w:rsidRPr="00E6476E" w14:paraId="3298BF85" w14:textId="77777777" w:rsidTr="006A6AFB">
        <w:trPr>
          <w:trHeight w:val="260"/>
        </w:trPr>
        <w:tc>
          <w:tcPr>
            <w:tcW w:w="1139" w:type="dxa"/>
            <w:tcBorders>
              <w:top w:val="nil"/>
              <w:left w:val="nil"/>
              <w:bottom w:val="nil"/>
              <w:right w:val="nil"/>
            </w:tcBorders>
            <w:shd w:val="clear" w:color="auto" w:fill="auto"/>
            <w:noWrap/>
            <w:vAlign w:val="bottom"/>
            <w:hideMark/>
          </w:tcPr>
          <w:p w14:paraId="6C4A431D" w14:textId="77777777" w:rsidR="0055432C" w:rsidRPr="00E6476E" w:rsidRDefault="0055432C" w:rsidP="0055432C">
            <w:pPr>
              <w:spacing w:after="0" w:line="240" w:lineRule="auto"/>
              <w:rPr>
                <w:rFonts w:ascii="Times New Roman" w:eastAsia="Times New Roman" w:hAnsi="Times New Roman" w:cs="Times New Roman"/>
                <w:b/>
                <w:bCs/>
                <w:color w:val="000000"/>
                <w:sz w:val="16"/>
                <w:szCs w:val="16"/>
              </w:rPr>
            </w:pPr>
          </w:p>
        </w:tc>
        <w:tc>
          <w:tcPr>
            <w:tcW w:w="1140" w:type="dxa"/>
            <w:tcBorders>
              <w:top w:val="nil"/>
              <w:left w:val="nil"/>
              <w:bottom w:val="nil"/>
              <w:right w:val="nil"/>
            </w:tcBorders>
            <w:shd w:val="clear" w:color="auto" w:fill="auto"/>
            <w:noWrap/>
            <w:vAlign w:val="bottom"/>
            <w:hideMark/>
          </w:tcPr>
          <w:p w14:paraId="77FDA0C0"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580CD145"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7EC53714"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6EDEF37F"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7A304B71" w14:textId="77777777" w:rsidR="0055432C" w:rsidRPr="00E6476E" w:rsidRDefault="0055432C" w:rsidP="008262DF">
            <w:pPr>
              <w:spacing w:after="0" w:line="240" w:lineRule="auto"/>
              <w:jc w:val="center"/>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29CB1514" w14:textId="77777777" w:rsidR="0055432C" w:rsidRPr="00E6476E" w:rsidRDefault="0055432C" w:rsidP="008262DF">
            <w:pPr>
              <w:spacing w:after="0" w:line="240" w:lineRule="auto"/>
              <w:jc w:val="center"/>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6EF470D0" w14:textId="77777777" w:rsidR="0055432C" w:rsidRPr="00E6476E" w:rsidRDefault="0055432C" w:rsidP="008262DF">
            <w:pPr>
              <w:spacing w:after="0" w:line="240" w:lineRule="auto"/>
              <w:jc w:val="center"/>
              <w:rPr>
                <w:rFonts w:ascii="Times New Roman" w:eastAsia="Times New Roman" w:hAnsi="Times New Roman" w:cs="Times New Roman"/>
                <w:sz w:val="16"/>
                <w:szCs w:val="16"/>
              </w:rPr>
            </w:pPr>
          </w:p>
        </w:tc>
      </w:tr>
      <w:tr w:rsidR="006A6AFB" w:rsidRPr="00E6476E" w14:paraId="7305BFB0" w14:textId="77777777" w:rsidTr="006A6AFB">
        <w:trPr>
          <w:trHeight w:val="260"/>
        </w:trPr>
        <w:tc>
          <w:tcPr>
            <w:tcW w:w="1139" w:type="dxa"/>
            <w:tcBorders>
              <w:top w:val="nil"/>
              <w:left w:val="nil"/>
              <w:bottom w:val="nil"/>
              <w:right w:val="nil"/>
            </w:tcBorders>
            <w:shd w:val="clear" w:color="auto" w:fill="auto"/>
            <w:noWrap/>
            <w:vAlign w:val="bottom"/>
            <w:hideMark/>
          </w:tcPr>
          <w:p w14:paraId="28F810C8" w14:textId="77777777" w:rsidR="0055432C" w:rsidRPr="00E6476E" w:rsidRDefault="0055432C" w:rsidP="0055432C">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3</w:t>
            </w:r>
          </w:p>
        </w:tc>
        <w:tc>
          <w:tcPr>
            <w:tcW w:w="1140" w:type="dxa"/>
            <w:tcBorders>
              <w:top w:val="nil"/>
              <w:left w:val="nil"/>
              <w:bottom w:val="nil"/>
              <w:right w:val="nil"/>
            </w:tcBorders>
            <w:shd w:val="clear" w:color="auto" w:fill="auto"/>
            <w:noWrap/>
            <w:vAlign w:val="bottom"/>
            <w:hideMark/>
          </w:tcPr>
          <w:p w14:paraId="4FA89CBA" w14:textId="2703F953" w:rsidR="0055432C" w:rsidRPr="00E6476E" w:rsidRDefault="00C93054" w:rsidP="0055432C">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Yes</w:t>
            </w:r>
          </w:p>
        </w:tc>
        <w:tc>
          <w:tcPr>
            <w:tcW w:w="2006" w:type="dxa"/>
            <w:tcBorders>
              <w:top w:val="nil"/>
              <w:left w:val="nil"/>
              <w:bottom w:val="nil"/>
              <w:right w:val="nil"/>
            </w:tcBorders>
            <w:shd w:val="clear" w:color="auto" w:fill="auto"/>
            <w:noWrap/>
            <w:vAlign w:val="bottom"/>
            <w:hideMark/>
          </w:tcPr>
          <w:p w14:paraId="12915DC5"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B60</w:t>
            </w:r>
          </w:p>
        </w:tc>
        <w:tc>
          <w:tcPr>
            <w:tcW w:w="1356" w:type="dxa"/>
            <w:tcBorders>
              <w:top w:val="nil"/>
              <w:left w:val="nil"/>
              <w:bottom w:val="nil"/>
              <w:right w:val="nil"/>
            </w:tcBorders>
            <w:shd w:val="clear" w:color="auto" w:fill="auto"/>
            <w:noWrap/>
            <w:vAlign w:val="bottom"/>
            <w:hideMark/>
          </w:tcPr>
          <w:p w14:paraId="6DC70C01"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08248079"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771" w:type="dxa"/>
            <w:tcBorders>
              <w:top w:val="nil"/>
              <w:left w:val="nil"/>
              <w:bottom w:val="nil"/>
              <w:right w:val="nil"/>
            </w:tcBorders>
            <w:shd w:val="clear" w:color="auto" w:fill="auto"/>
            <w:noWrap/>
            <w:vAlign w:val="bottom"/>
            <w:hideMark/>
          </w:tcPr>
          <w:p w14:paraId="7B614A0A"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0.61</w:t>
            </w:r>
          </w:p>
        </w:tc>
        <w:tc>
          <w:tcPr>
            <w:tcW w:w="1771" w:type="dxa"/>
            <w:tcBorders>
              <w:top w:val="nil"/>
              <w:left w:val="nil"/>
              <w:bottom w:val="nil"/>
              <w:right w:val="nil"/>
            </w:tcBorders>
            <w:shd w:val="clear" w:color="auto" w:fill="auto"/>
            <w:noWrap/>
            <w:vAlign w:val="bottom"/>
            <w:hideMark/>
          </w:tcPr>
          <w:p w14:paraId="5E6268A7"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0.20</w:t>
            </w:r>
          </w:p>
        </w:tc>
        <w:tc>
          <w:tcPr>
            <w:tcW w:w="1771" w:type="dxa"/>
            <w:tcBorders>
              <w:top w:val="nil"/>
              <w:left w:val="nil"/>
              <w:bottom w:val="nil"/>
              <w:right w:val="nil"/>
            </w:tcBorders>
            <w:shd w:val="clear" w:color="auto" w:fill="auto"/>
            <w:noWrap/>
            <w:vAlign w:val="bottom"/>
            <w:hideMark/>
          </w:tcPr>
          <w:p w14:paraId="0055B4CD"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0.06</w:t>
            </w:r>
          </w:p>
        </w:tc>
      </w:tr>
      <w:tr w:rsidR="006A6AFB" w:rsidRPr="00E6476E" w14:paraId="7D9F3165" w14:textId="77777777" w:rsidTr="00AA2614">
        <w:trPr>
          <w:trHeight w:val="260"/>
        </w:trPr>
        <w:tc>
          <w:tcPr>
            <w:tcW w:w="1139" w:type="dxa"/>
            <w:tcBorders>
              <w:top w:val="nil"/>
              <w:left w:val="nil"/>
              <w:bottom w:val="nil"/>
              <w:right w:val="nil"/>
            </w:tcBorders>
            <w:shd w:val="clear" w:color="auto" w:fill="auto"/>
            <w:noWrap/>
            <w:vAlign w:val="bottom"/>
            <w:hideMark/>
          </w:tcPr>
          <w:p w14:paraId="3E97AB04"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5B8885DA"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1F83EE63"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B65</w:t>
            </w:r>
          </w:p>
        </w:tc>
        <w:tc>
          <w:tcPr>
            <w:tcW w:w="1356" w:type="dxa"/>
            <w:tcBorders>
              <w:top w:val="nil"/>
              <w:left w:val="nil"/>
              <w:bottom w:val="nil"/>
              <w:right w:val="nil"/>
            </w:tcBorders>
            <w:shd w:val="clear" w:color="auto" w:fill="auto"/>
            <w:noWrap/>
            <w:vAlign w:val="bottom"/>
            <w:hideMark/>
          </w:tcPr>
          <w:p w14:paraId="235D1EEA"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4677AD68"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B22</w:t>
            </w:r>
          </w:p>
        </w:tc>
        <w:tc>
          <w:tcPr>
            <w:tcW w:w="1771" w:type="dxa"/>
            <w:tcBorders>
              <w:top w:val="nil"/>
              <w:left w:val="nil"/>
              <w:bottom w:val="nil"/>
              <w:right w:val="nil"/>
            </w:tcBorders>
            <w:shd w:val="clear" w:color="auto" w:fill="auto"/>
            <w:noWrap/>
            <w:vAlign w:val="bottom"/>
            <w:hideMark/>
          </w:tcPr>
          <w:p w14:paraId="784443AC"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0.67</w:t>
            </w:r>
          </w:p>
        </w:tc>
        <w:tc>
          <w:tcPr>
            <w:tcW w:w="1771" w:type="dxa"/>
            <w:tcBorders>
              <w:top w:val="nil"/>
              <w:left w:val="nil"/>
              <w:bottom w:val="nil"/>
              <w:right w:val="nil"/>
            </w:tcBorders>
            <w:shd w:val="clear" w:color="auto" w:fill="auto"/>
            <w:noWrap/>
            <w:vAlign w:val="bottom"/>
            <w:hideMark/>
          </w:tcPr>
          <w:p w14:paraId="6DE515F7"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0.53</w:t>
            </w:r>
          </w:p>
        </w:tc>
        <w:tc>
          <w:tcPr>
            <w:tcW w:w="1771" w:type="dxa"/>
            <w:tcBorders>
              <w:top w:val="nil"/>
              <w:left w:val="nil"/>
              <w:bottom w:val="nil"/>
              <w:right w:val="nil"/>
            </w:tcBorders>
            <w:shd w:val="clear" w:color="auto" w:fill="auto"/>
            <w:noWrap/>
            <w:vAlign w:val="bottom"/>
            <w:hideMark/>
          </w:tcPr>
          <w:p w14:paraId="0888A7EF"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w:t>
            </w:r>
          </w:p>
        </w:tc>
      </w:tr>
      <w:tr w:rsidR="006A6AFB" w:rsidRPr="00E6476E" w14:paraId="3226DC6F" w14:textId="77777777" w:rsidTr="00AA2614">
        <w:trPr>
          <w:trHeight w:val="260"/>
        </w:trPr>
        <w:tc>
          <w:tcPr>
            <w:tcW w:w="1139" w:type="dxa"/>
            <w:tcBorders>
              <w:top w:val="nil"/>
              <w:left w:val="nil"/>
              <w:bottom w:val="nil"/>
              <w:right w:val="nil"/>
            </w:tcBorders>
            <w:shd w:val="clear" w:color="auto" w:fill="auto"/>
            <w:noWrap/>
            <w:vAlign w:val="bottom"/>
            <w:hideMark/>
          </w:tcPr>
          <w:p w14:paraId="5F36EB06" w14:textId="77777777" w:rsidR="0055432C" w:rsidRPr="00E6476E" w:rsidRDefault="0055432C" w:rsidP="0055432C">
            <w:pPr>
              <w:spacing w:after="0" w:line="240" w:lineRule="auto"/>
              <w:jc w:val="center"/>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58E31E6B"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1C12D586"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B65</w:t>
            </w:r>
          </w:p>
        </w:tc>
        <w:tc>
          <w:tcPr>
            <w:tcW w:w="1356" w:type="dxa"/>
            <w:tcBorders>
              <w:top w:val="nil"/>
              <w:left w:val="nil"/>
              <w:bottom w:val="nil"/>
              <w:right w:val="nil"/>
            </w:tcBorders>
            <w:shd w:val="clear" w:color="auto" w:fill="auto"/>
            <w:noWrap/>
            <w:vAlign w:val="bottom"/>
            <w:hideMark/>
          </w:tcPr>
          <w:p w14:paraId="199649AD"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35953D14"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Psyc B5</w:t>
            </w:r>
          </w:p>
        </w:tc>
        <w:tc>
          <w:tcPr>
            <w:tcW w:w="1771" w:type="dxa"/>
            <w:tcBorders>
              <w:top w:val="nil"/>
              <w:left w:val="nil"/>
              <w:bottom w:val="nil"/>
              <w:right w:val="nil"/>
            </w:tcBorders>
            <w:shd w:val="clear" w:color="auto" w:fill="auto"/>
            <w:noWrap/>
            <w:vAlign w:val="bottom"/>
            <w:hideMark/>
          </w:tcPr>
          <w:p w14:paraId="3954E9D4"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bottom w:val="nil"/>
              <w:right w:val="nil"/>
            </w:tcBorders>
            <w:shd w:val="clear" w:color="auto" w:fill="auto"/>
            <w:noWrap/>
            <w:vAlign w:val="bottom"/>
            <w:hideMark/>
          </w:tcPr>
          <w:p w14:paraId="099B4163"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0.88</w:t>
            </w:r>
          </w:p>
        </w:tc>
        <w:tc>
          <w:tcPr>
            <w:tcW w:w="1771" w:type="dxa"/>
            <w:tcBorders>
              <w:top w:val="nil"/>
              <w:left w:val="nil"/>
              <w:bottom w:val="nil"/>
              <w:right w:val="nil"/>
            </w:tcBorders>
            <w:shd w:val="clear" w:color="auto" w:fill="auto"/>
            <w:noWrap/>
            <w:vAlign w:val="bottom"/>
            <w:hideMark/>
          </w:tcPr>
          <w:p w14:paraId="24281E80"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w:t>
            </w:r>
          </w:p>
        </w:tc>
      </w:tr>
      <w:tr w:rsidR="006A6AFB" w:rsidRPr="00E6476E" w14:paraId="2C705768" w14:textId="77777777" w:rsidTr="006A6AFB">
        <w:trPr>
          <w:trHeight w:val="260"/>
        </w:trPr>
        <w:tc>
          <w:tcPr>
            <w:tcW w:w="1139" w:type="dxa"/>
            <w:tcBorders>
              <w:top w:val="nil"/>
              <w:left w:val="nil"/>
              <w:bottom w:val="nil"/>
              <w:right w:val="nil"/>
            </w:tcBorders>
            <w:shd w:val="clear" w:color="auto" w:fill="auto"/>
            <w:noWrap/>
            <w:vAlign w:val="bottom"/>
            <w:hideMark/>
          </w:tcPr>
          <w:p w14:paraId="17E35030" w14:textId="77777777" w:rsidR="0055432C" w:rsidRPr="00E6476E" w:rsidRDefault="0055432C" w:rsidP="0055432C">
            <w:pPr>
              <w:spacing w:after="0" w:line="240" w:lineRule="auto"/>
              <w:jc w:val="center"/>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06880E51"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2C99FAD7"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LRNC B530 (Math B60)</w:t>
            </w:r>
          </w:p>
        </w:tc>
        <w:tc>
          <w:tcPr>
            <w:tcW w:w="1356" w:type="dxa"/>
            <w:tcBorders>
              <w:top w:val="nil"/>
              <w:left w:val="nil"/>
              <w:bottom w:val="nil"/>
              <w:right w:val="nil"/>
            </w:tcBorders>
            <w:shd w:val="clear" w:color="auto" w:fill="auto"/>
            <w:noWrap/>
            <w:vAlign w:val="bottom"/>
            <w:hideMark/>
          </w:tcPr>
          <w:p w14:paraId="2A38D389"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611808E8"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LRNC B530 (Math B70)</w:t>
            </w:r>
          </w:p>
        </w:tc>
        <w:tc>
          <w:tcPr>
            <w:tcW w:w="1771" w:type="dxa"/>
            <w:tcBorders>
              <w:top w:val="nil"/>
              <w:left w:val="nil"/>
              <w:bottom w:val="nil"/>
              <w:right w:val="nil"/>
            </w:tcBorders>
            <w:shd w:val="clear" w:color="auto" w:fill="auto"/>
            <w:noWrap/>
            <w:vAlign w:val="bottom"/>
            <w:hideMark/>
          </w:tcPr>
          <w:p w14:paraId="721A99D3"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0.63</w:t>
            </w:r>
          </w:p>
        </w:tc>
        <w:tc>
          <w:tcPr>
            <w:tcW w:w="1771" w:type="dxa"/>
            <w:tcBorders>
              <w:top w:val="nil"/>
              <w:left w:val="nil"/>
              <w:bottom w:val="nil"/>
              <w:right w:val="nil"/>
            </w:tcBorders>
            <w:shd w:val="clear" w:color="auto" w:fill="auto"/>
            <w:noWrap/>
            <w:vAlign w:val="bottom"/>
            <w:hideMark/>
          </w:tcPr>
          <w:p w14:paraId="018C22ED"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0.37</w:t>
            </w:r>
          </w:p>
        </w:tc>
        <w:tc>
          <w:tcPr>
            <w:tcW w:w="1771" w:type="dxa"/>
            <w:tcBorders>
              <w:top w:val="nil"/>
              <w:left w:val="nil"/>
              <w:bottom w:val="nil"/>
              <w:right w:val="nil"/>
            </w:tcBorders>
            <w:shd w:val="clear" w:color="auto" w:fill="auto"/>
            <w:noWrap/>
            <w:vAlign w:val="bottom"/>
            <w:hideMark/>
          </w:tcPr>
          <w:p w14:paraId="78248788"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0.19</w:t>
            </w:r>
          </w:p>
        </w:tc>
      </w:tr>
      <w:tr w:rsidR="006A6AFB" w:rsidRPr="00E6476E" w14:paraId="011B2F2D" w14:textId="77777777" w:rsidTr="006A6AFB">
        <w:trPr>
          <w:trHeight w:val="260"/>
        </w:trPr>
        <w:tc>
          <w:tcPr>
            <w:tcW w:w="1139" w:type="dxa"/>
            <w:tcBorders>
              <w:top w:val="nil"/>
              <w:left w:val="nil"/>
              <w:bottom w:val="nil"/>
              <w:right w:val="nil"/>
            </w:tcBorders>
            <w:shd w:val="clear" w:color="auto" w:fill="auto"/>
            <w:noWrap/>
            <w:vAlign w:val="bottom"/>
            <w:hideMark/>
          </w:tcPr>
          <w:p w14:paraId="6CD5FE7B"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68909C62"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0ECC446E"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356" w:type="dxa"/>
            <w:tcBorders>
              <w:top w:val="nil"/>
              <w:left w:val="nil"/>
              <w:bottom w:val="nil"/>
              <w:right w:val="nil"/>
            </w:tcBorders>
            <w:shd w:val="clear" w:color="auto" w:fill="auto"/>
            <w:noWrap/>
            <w:vAlign w:val="bottom"/>
            <w:hideMark/>
          </w:tcPr>
          <w:p w14:paraId="4D69E7DB"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72F0A9BA"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B1A</w:t>
            </w:r>
          </w:p>
        </w:tc>
        <w:tc>
          <w:tcPr>
            <w:tcW w:w="1771" w:type="dxa"/>
            <w:tcBorders>
              <w:top w:val="nil"/>
              <w:left w:val="nil"/>
              <w:bottom w:val="nil"/>
              <w:right w:val="nil"/>
            </w:tcBorders>
            <w:shd w:val="clear" w:color="auto" w:fill="auto"/>
            <w:noWrap/>
            <w:vAlign w:val="bottom"/>
            <w:hideMark/>
          </w:tcPr>
          <w:p w14:paraId="15AC375D"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bottom w:val="nil"/>
              <w:right w:val="nil"/>
            </w:tcBorders>
            <w:shd w:val="clear" w:color="auto" w:fill="auto"/>
            <w:noWrap/>
            <w:vAlign w:val="bottom"/>
            <w:hideMark/>
          </w:tcPr>
          <w:p w14:paraId="0AD4A8C1"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0.65</w:t>
            </w:r>
          </w:p>
        </w:tc>
        <w:tc>
          <w:tcPr>
            <w:tcW w:w="1771" w:type="dxa"/>
            <w:tcBorders>
              <w:top w:val="nil"/>
              <w:left w:val="nil"/>
              <w:bottom w:val="nil"/>
              <w:right w:val="nil"/>
            </w:tcBorders>
            <w:shd w:val="clear" w:color="auto" w:fill="auto"/>
            <w:noWrap/>
            <w:vAlign w:val="bottom"/>
            <w:hideMark/>
          </w:tcPr>
          <w:p w14:paraId="1B5AAFE9"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0.61</w:t>
            </w:r>
          </w:p>
        </w:tc>
      </w:tr>
      <w:tr w:rsidR="006A6AFB" w:rsidRPr="00E6476E" w14:paraId="3C900AB5" w14:textId="77777777" w:rsidTr="006A6AFB">
        <w:trPr>
          <w:trHeight w:val="260"/>
        </w:trPr>
        <w:tc>
          <w:tcPr>
            <w:tcW w:w="1139" w:type="dxa"/>
            <w:tcBorders>
              <w:top w:val="nil"/>
              <w:left w:val="nil"/>
              <w:bottom w:val="nil"/>
              <w:right w:val="nil"/>
            </w:tcBorders>
            <w:shd w:val="clear" w:color="auto" w:fill="auto"/>
            <w:noWrap/>
            <w:vAlign w:val="bottom"/>
            <w:hideMark/>
          </w:tcPr>
          <w:p w14:paraId="0AED874D"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556C400E"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34E24F70"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356" w:type="dxa"/>
            <w:tcBorders>
              <w:top w:val="nil"/>
              <w:left w:val="nil"/>
              <w:bottom w:val="nil"/>
              <w:right w:val="nil"/>
            </w:tcBorders>
            <w:shd w:val="clear" w:color="auto" w:fill="auto"/>
            <w:noWrap/>
            <w:vAlign w:val="bottom"/>
            <w:hideMark/>
          </w:tcPr>
          <w:p w14:paraId="690E3E85"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6281756B"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B22</w:t>
            </w:r>
          </w:p>
        </w:tc>
        <w:tc>
          <w:tcPr>
            <w:tcW w:w="1771" w:type="dxa"/>
            <w:tcBorders>
              <w:top w:val="nil"/>
              <w:left w:val="nil"/>
              <w:bottom w:val="nil"/>
              <w:right w:val="nil"/>
            </w:tcBorders>
            <w:shd w:val="clear" w:color="auto" w:fill="auto"/>
            <w:noWrap/>
            <w:vAlign w:val="bottom"/>
            <w:hideMark/>
          </w:tcPr>
          <w:p w14:paraId="1B826270"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bottom w:val="nil"/>
              <w:right w:val="nil"/>
            </w:tcBorders>
            <w:shd w:val="clear" w:color="auto" w:fill="auto"/>
            <w:noWrap/>
            <w:vAlign w:val="bottom"/>
            <w:hideMark/>
          </w:tcPr>
          <w:p w14:paraId="740730FC"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0.69</w:t>
            </w:r>
          </w:p>
        </w:tc>
        <w:tc>
          <w:tcPr>
            <w:tcW w:w="1771" w:type="dxa"/>
            <w:tcBorders>
              <w:top w:val="nil"/>
              <w:left w:val="nil"/>
              <w:bottom w:val="nil"/>
              <w:right w:val="nil"/>
            </w:tcBorders>
            <w:shd w:val="clear" w:color="auto" w:fill="auto"/>
            <w:noWrap/>
            <w:vAlign w:val="bottom"/>
            <w:hideMark/>
          </w:tcPr>
          <w:p w14:paraId="52EF2CA1"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0.06</w:t>
            </w:r>
          </w:p>
        </w:tc>
      </w:tr>
      <w:tr w:rsidR="006A6AFB" w:rsidRPr="00E6476E" w14:paraId="57E57D28" w14:textId="77777777" w:rsidTr="006A6AFB">
        <w:trPr>
          <w:trHeight w:val="260"/>
        </w:trPr>
        <w:tc>
          <w:tcPr>
            <w:tcW w:w="1139" w:type="dxa"/>
            <w:tcBorders>
              <w:top w:val="nil"/>
              <w:left w:val="nil"/>
              <w:bottom w:val="nil"/>
              <w:right w:val="nil"/>
            </w:tcBorders>
            <w:shd w:val="clear" w:color="auto" w:fill="auto"/>
            <w:noWrap/>
            <w:vAlign w:val="bottom"/>
            <w:hideMark/>
          </w:tcPr>
          <w:p w14:paraId="7CF7A302"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43357B16"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75BFE277"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356" w:type="dxa"/>
            <w:tcBorders>
              <w:top w:val="nil"/>
              <w:left w:val="nil"/>
              <w:bottom w:val="nil"/>
              <w:right w:val="nil"/>
            </w:tcBorders>
            <w:shd w:val="clear" w:color="auto" w:fill="auto"/>
            <w:noWrap/>
            <w:vAlign w:val="bottom"/>
            <w:hideMark/>
          </w:tcPr>
          <w:p w14:paraId="5D5FE983"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438E3137"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Psyc B5</w:t>
            </w:r>
          </w:p>
        </w:tc>
        <w:tc>
          <w:tcPr>
            <w:tcW w:w="1771" w:type="dxa"/>
            <w:tcBorders>
              <w:top w:val="nil"/>
              <w:left w:val="nil"/>
              <w:bottom w:val="nil"/>
              <w:right w:val="nil"/>
            </w:tcBorders>
            <w:shd w:val="clear" w:color="auto" w:fill="auto"/>
            <w:noWrap/>
            <w:vAlign w:val="bottom"/>
            <w:hideMark/>
          </w:tcPr>
          <w:p w14:paraId="4102D0AA"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bottom w:val="nil"/>
              <w:right w:val="nil"/>
            </w:tcBorders>
            <w:shd w:val="clear" w:color="auto" w:fill="auto"/>
            <w:noWrap/>
            <w:vAlign w:val="bottom"/>
            <w:hideMark/>
          </w:tcPr>
          <w:p w14:paraId="240BE0C0"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0.89</w:t>
            </w:r>
          </w:p>
        </w:tc>
        <w:tc>
          <w:tcPr>
            <w:tcW w:w="1771" w:type="dxa"/>
            <w:tcBorders>
              <w:top w:val="nil"/>
              <w:left w:val="nil"/>
              <w:bottom w:val="nil"/>
              <w:right w:val="nil"/>
            </w:tcBorders>
            <w:shd w:val="clear" w:color="auto" w:fill="auto"/>
            <w:noWrap/>
            <w:vAlign w:val="bottom"/>
            <w:hideMark/>
          </w:tcPr>
          <w:p w14:paraId="76B9FB2A"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0.02</w:t>
            </w:r>
          </w:p>
        </w:tc>
      </w:tr>
      <w:tr w:rsidR="006A6AFB" w:rsidRPr="00E6476E" w14:paraId="271F1A1D" w14:textId="77777777" w:rsidTr="006A6AFB">
        <w:trPr>
          <w:trHeight w:val="260"/>
        </w:trPr>
        <w:tc>
          <w:tcPr>
            <w:tcW w:w="1139" w:type="dxa"/>
            <w:tcBorders>
              <w:top w:val="nil"/>
              <w:left w:val="nil"/>
              <w:bottom w:val="nil"/>
              <w:right w:val="nil"/>
            </w:tcBorders>
            <w:shd w:val="clear" w:color="auto" w:fill="auto"/>
            <w:noWrap/>
            <w:vAlign w:val="bottom"/>
            <w:hideMark/>
          </w:tcPr>
          <w:p w14:paraId="19FF4DF6"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725E9574"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31988119"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429D5C98" w14:textId="77777777" w:rsidR="0055432C" w:rsidRPr="00E6476E" w:rsidRDefault="0055432C" w:rsidP="0055432C">
            <w:pPr>
              <w:spacing w:after="0" w:line="240" w:lineRule="auto"/>
              <w:jc w:val="right"/>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29F61C1F" w14:textId="7D820551" w:rsidR="0055432C" w:rsidRPr="00E6476E" w:rsidRDefault="00AA2614" w:rsidP="0055432C">
            <w:pPr>
              <w:spacing w:after="0" w:line="240" w:lineRule="auto"/>
              <w:jc w:val="right"/>
              <w:rPr>
                <w:rFonts w:ascii="Times New Roman" w:eastAsia="Times New Roman" w:hAnsi="Times New Roman" w:cs="Times New Roman"/>
                <w:sz w:val="16"/>
                <w:szCs w:val="16"/>
              </w:rPr>
            </w:pPr>
            <w:r w:rsidRPr="00E6476E">
              <w:rPr>
                <w:rFonts w:ascii="Times New Roman" w:eastAsia="Times New Roman" w:hAnsi="Times New Roman" w:cs="Times New Roman"/>
                <w:b/>
                <w:sz w:val="16"/>
                <w:szCs w:val="16"/>
              </w:rPr>
              <w:t>N</w:t>
            </w:r>
          </w:p>
        </w:tc>
        <w:tc>
          <w:tcPr>
            <w:tcW w:w="1771" w:type="dxa"/>
            <w:tcBorders>
              <w:top w:val="nil"/>
              <w:left w:val="nil"/>
              <w:bottom w:val="nil"/>
              <w:right w:val="nil"/>
            </w:tcBorders>
            <w:shd w:val="clear" w:color="auto" w:fill="auto"/>
            <w:noWrap/>
            <w:vAlign w:val="bottom"/>
            <w:hideMark/>
          </w:tcPr>
          <w:p w14:paraId="61A19020" w14:textId="77777777"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545</w:t>
            </w:r>
          </w:p>
        </w:tc>
        <w:tc>
          <w:tcPr>
            <w:tcW w:w="1771" w:type="dxa"/>
            <w:tcBorders>
              <w:top w:val="nil"/>
              <w:left w:val="nil"/>
              <w:bottom w:val="nil"/>
              <w:right w:val="nil"/>
            </w:tcBorders>
            <w:shd w:val="clear" w:color="auto" w:fill="auto"/>
            <w:noWrap/>
            <w:vAlign w:val="bottom"/>
            <w:hideMark/>
          </w:tcPr>
          <w:p w14:paraId="0E2304AE" w14:textId="77777777"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840</w:t>
            </w:r>
          </w:p>
        </w:tc>
        <w:tc>
          <w:tcPr>
            <w:tcW w:w="1771" w:type="dxa"/>
            <w:tcBorders>
              <w:top w:val="nil"/>
              <w:left w:val="nil"/>
              <w:bottom w:val="nil"/>
              <w:right w:val="nil"/>
            </w:tcBorders>
            <w:shd w:val="clear" w:color="auto" w:fill="auto"/>
            <w:noWrap/>
            <w:vAlign w:val="bottom"/>
            <w:hideMark/>
          </w:tcPr>
          <w:p w14:paraId="70772DA6" w14:textId="77777777"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804</w:t>
            </w:r>
          </w:p>
        </w:tc>
      </w:tr>
      <w:tr w:rsidR="006A6AFB" w:rsidRPr="00E6476E" w14:paraId="24026E6B" w14:textId="77777777" w:rsidTr="006A6AFB">
        <w:trPr>
          <w:trHeight w:val="260"/>
        </w:trPr>
        <w:tc>
          <w:tcPr>
            <w:tcW w:w="1139" w:type="dxa"/>
            <w:tcBorders>
              <w:top w:val="nil"/>
              <w:left w:val="nil"/>
              <w:bottom w:val="nil"/>
              <w:right w:val="nil"/>
            </w:tcBorders>
            <w:shd w:val="clear" w:color="auto" w:fill="auto"/>
            <w:noWrap/>
            <w:vAlign w:val="bottom"/>
            <w:hideMark/>
          </w:tcPr>
          <w:p w14:paraId="6F399815" w14:textId="77777777" w:rsidR="0055432C" w:rsidRPr="00E6476E" w:rsidRDefault="0055432C" w:rsidP="0055432C">
            <w:pPr>
              <w:spacing w:after="0" w:line="240" w:lineRule="auto"/>
              <w:jc w:val="right"/>
              <w:rPr>
                <w:rFonts w:ascii="Times New Roman" w:eastAsia="Times New Roman" w:hAnsi="Times New Roman" w:cs="Times New Roman"/>
                <w:b/>
                <w:bCs/>
                <w:color w:val="000000"/>
                <w:sz w:val="16"/>
                <w:szCs w:val="16"/>
              </w:rPr>
            </w:pPr>
          </w:p>
        </w:tc>
        <w:tc>
          <w:tcPr>
            <w:tcW w:w="1140" w:type="dxa"/>
            <w:tcBorders>
              <w:top w:val="nil"/>
              <w:left w:val="nil"/>
              <w:bottom w:val="nil"/>
              <w:right w:val="nil"/>
            </w:tcBorders>
            <w:shd w:val="clear" w:color="auto" w:fill="auto"/>
            <w:noWrap/>
            <w:vAlign w:val="bottom"/>
            <w:hideMark/>
          </w:tcPr>
          <w:p w14:paraId="0F8C5DC2"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16F5A655"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68FACFF6"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7908FC56"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68C565A0"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77D8AB06"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4E2607B4" w14:textId="77777777" w:rsidR="0055432C" w:rsidRPr="00E6476E" w:rsidRDefault="0055432C" w:rsidP="0055432C">
            <w:pPr>
              <w:spacing w:after="0" w:line="240" w:lineRule="auto"/>
              <w:rPr>
                <w:rFonts w:ascii="Times New Roman" w:eastAsia="Times New Roman" w:hAnsi="Times New Roman" w:cs="Times New Roman"/>
                <w:sz w:val="16"/>
                <w:szCs w:val="16"/>
              </w:rPr>
            </w:pPr>
          </w:p>
        </w:tc>
      </w:tr>
      <w:tr w:rsidR="000E7C8F" w:rsidRPr="00E6476E" w14:paraId="4F154665" w14:textId="77777777" w:rsidTr="006A6AFB">
        <w:trPr>
          <w:trHeight w:val="260"/>
        </w:trPr>
        <w:tc>
          <w:tcPr>
            <w:tcW w:w="1139" w:type="dxa"/>
            <w:tcBorders>
              <w:top w:val="nil"/>
              <w:left w:val="nil"/>
              <w:bottom w:val="nil"/>
              <w:right w:val="nil"/>
            </w:tcBorders>
            <w:shd w:val="clear" w:color="auto" w:fill="auto"/>
            <w:noWrap/>
            <w:vAlign w:val="bottom"/>
            <w:hideMark/>
          </w:tcPr>
          <w:p w14:paraId="0C52B32D" w14:textId="77777777" w:rsidR="000E7C8F" w:rsidRPr="00E6476E" w:rsidRDefault="000E7C8F" w:rsidP="000E7C8F">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4</w:t>
            </w:r>
          </w:p>
        </w:tc>
        <w:tc>
          <w:tcPr>
            <w:tcW w:w="1140" w:type="dxa"/>
            <w:tcBorders>
              <w:top w:val="nil"/>
              <w:left w:val="nil"/>
              <w:bottom w:val="nil"/>
              <w:right w:val="nil"/>
            </w:tcBorders>
            <w:shd w:val="clear" w:color="auto" w:fill="auto"/>
            <w:noWrap/>
            <w:vAlign w:val="bottom"/>
            <w:hideMark/>
          </w:tcPr>
          <w:p w14:paraId="5BB07094" w14:textId="29D184DA" w:rsidR="000E7C8F" w:rsidRPr="00E6476E" w:rsidRDefault="00C93054" w:rsidP="000E7C8F">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No</w:t>
            </w:r>
          </w:p>
        </w:tc>
        <w:tc>
          <w:tcPr>
            <w:tcW w:w="2006" w:type="dxa"/>
            <w:tcBorders>
              <w:top w:val="nil"/>
              <w:left w:val="nil"/>
              <w:bottom w:val="nil"/>
              <w:right w:val="nil"/>
            </w:tcBorders>
            <w:shd w:val="clear" w:color="auto" w:fill="auto"/>
            <w:noWrap/>
            <w:vAlign w:val="bottom"/>
            <w:hideMark/>
          </w:tcPr>
          <w:p w14:paraId="1ADBD68D"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B60</w:t>
            </w:r>
          </w:p>
        </w:tc>
        <w:tc>
          <w:tcPr>
            <w:tcW w:w="1356" w:type="dxa"/>
            <w:tcBorders>
              <w:top w:val="nil"/>
              <w:left w:val="nil"/>
              <w:bottom w:val="nil"/>
              <w:right w:val="nil"/>
            </w:tcBorders>
            <w:shd w:val="clear" w:color="auto" w:fill="auto"/>
            <w:noWrap/>
            <w:vAlign w:val="bottom"/>
            <w:hideMark/>
          </w:tcPr>
          <w:p w14:paraId="7EC2B191"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w:t>
            </w:r>
          </w:p>
        </w:tc>
        <w:tc>
          <w:tcPr>
            <w:tcW w:w="2006" w:type="dxa"/>
            <w:tcBorders>
              <w:top w:val="nil"/>
              <w:left w:val="nil"/>
              <w:bottom w:val="nil"/>
              <w:right w:val="nil"/>
            </w:tcBorders>
            <w:shd w:val="clear" w:color="auto" w:fill="auto"/>
            <w:noWrap/>
            <w:vAlign w:val="bottom"/>
            <w:hideMark/>
          </w:tcPr>
          <w:p w14:paraId="0E22F96C" w14:textId="4E3C2A29"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6EC74D84"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0.38</w:t>
            </w:r>
          </w:p>
        </w:tc>
        <w:tc>
          <w:tcPr>
            <w:tcW w:w="1771" w:type="dxa"/>
            <w:tcBorders>
              <w:top w:val="nil"/>
              <w:left w:val="nil"/>
              <w:bottom w:val="nil"/>
              <w:right w:val="nil"/>
            </w:tcBorders>
            <w:shd w:val="clear" w:color="auto" w:fill="auto"/>
            <w:noWrap/>
            <w:vAlign w:val="bottom"/>
            <w:hideMark/>
          </w:tcPr>
          <w:p w14:paraId="6EF5C460"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0.08</w:t>
            </w:r>
          </w:p>
        </w:tc>
        <w:tc>
          <w:tcPr>
            <w:tcW w:w="1771" w:type="dxa"/>
            <w:tcBorders>
              <w:top w:val="nil"/>
              <w:left w:val="nil"/>
              <w:bottom w:val="nil"/>
              <w:right w:val="nil"/>
            </w:tcBorders>
            <w:shd w:val="clear" w:color="auto" w:fill="auto"/>
            <w:noWrap/>
            <w:vAlign w:val="bottom"/>
            <w:hideMark/>
          </w:tcPr>
          <w:p w14:paraId="657B87CA"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0.05</w:t>
            </w:r>
          </w:p>
        </w:tc>
      </w:tr>
      <w:tr w:rsidR="000E7C8F" w:rsidRPr="00E6476E" w14:paraId="2EA1DD6B" w14:textId="77777777" w:rsidTr="006A6AFB">
        <w:trPr>
          <w:trHeight w:val="260"/>
        </w:trPr>
        <w:tc>
          <w:tcPr>
            <w:tcW w:w="1139" w:type="dxa"/>
            <w:tcBorders>
              <w:top w:val="nil"/>
              <w:left w:val="nil"/>
              <w:bottom w:val="nil"/>
              <w:right w:val="nil"/>
            </w:tcBorders>
            <w:shd w:val="clear" w:color="auto" w:fill="auto"/>
            <w:noWrap/>
            <w:vAlign w:val="bottom"/>
            <w:hideMark/>
          </w:tcPr>
          <w:p w14:paraId="7E3A6DC0"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22914F85" w14:textId="77777777" w:rsidR="000E7C8F" w:rsidRPr="00E6476E" w:rsidRDefault="000E7C8F" w:rsidP="000E7C8F">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3BA46307"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B65</w:t>
            </w:r>
          </w:p>
        </w:tc>
        <w:tc>
          <w:tcPr>
            <w:tcW w:w="1356" w:type="dxa"/>
            <w:tcBorders>
              <w:top w:val="nil"/>
              <w:left w:val="nil"/>
              <w:bottom w:val="nil"/>
              <w:right w:val="nil"/>
            </w:tcBorders>
            <w:shd w:val="clear" w:color="auto" w:fill="auto"/>
            <w:noWrap/>
            <w:vAlign w:val="bottom"/>
            <w:hideMark/>
          </w:tcPr>
          <w:p w14:paraId="2C77E8D9"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w:t>
            </w:r>
          </w:p>
        </w:tc>
        <w:tc>
          <w:tcPr>
            <w:tcW w:w="2006" w:type="dxa"/>
            <w:tcBorders>
              <w:top w:val="nil"/>
              <w:left w:val="nil"/>
              <w:bottom w:val="nil"/>
              <w:right w:val="nil"/>
            </w:tcBorders>
            <w:shd w:val="clear" w:color="auto" w:fill="auto"/>
            <w:noWrap/>
            <w:vAlign w:val="bottom"/>
            <w:hideMark/>
          </w:tcPr>
          <w:p w14:paraId="0F2C967D" w14:textId="73A5BF93"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3C960217"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0.08</w:t>
            </w:r>
          </w:p>
        </w:tc>
        <w:tc>
          <w:tcPr>
            <w:tcW w:w="1771" w:type="dxa"/>
            <w:tcBorders>
              <w:top w:val="nil"/>
              <w:left w:val="nil"/>
              <w:bottom w:val="nil"/>
              <w:right w:val="nil"/>
            </w:tcBorders>
            <w:shd w:val="clear" w:color="auto" w:fill="auto"/>
            <w:noWrap/>
            <w:vAlign w:val="bottom"/>
            <w:hideMark/>
          </w:tcPr>
          <w:p w14:paraId="61DB0D89"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0.11</w:t>
            </w:r>
          </w:p>
        </w:tc>
        <w:tc>
          <w:tcPr>
            <w:tcW w:w="1771" w:type="dxa"/>
            <w:tcBorders>
              <w:top w:val="nil"/>
              <w:left w:val="nil"/>
              <w:bottom w:val="nil"/>
              <w:right w:val="nil"/>
            </w:tcBorders>
            <w:shd w:val="clear" w:color="auto" w:fill="auto"/>
            <w:noWrap/>
            <w:vAlign w:val="bottom"/>
            <w:hideMark/>
          </w:tcPr>
          <w:p w14:paraId="2BA3312A" w14:textId="77777777" w:rsidR="000E7C8F" w:rsidRPr="00E6476E" w:rsidRDefault="000E7C8F"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w:t>
            </w:r>
          </w:p>
        </w:tc>
      </w:tr>
      <w:tr w:rsidR="000E7C8F" w:rsidRPr="00E6476E" w14:paraId="036BC70B" w14:textId="77777777" w:rsidTr="00AA2614">
        <w:trPr>
          <w:trHeight w:val="260"/>
        </w:trPr>
        <w:tc>
          <w:tcPr>
            <w:tcW w:w="1139" w:type="dxa"/>
            <w:tcBorders>
              <w:top w:val="nil"/>
              <w:left w:val="nil"/>
              <w:bottom w:val="nil"/>
              <w:right w:val="nil"/>
            </w:tcBorders>
            <w:shd w:val="clear" w:color="auto" w:fill="auto"/>
            <w:noWrap/>
            <w:vAlign w:val="bottom"/>
            <w:hideMark/>
          </w:tcPr>
          <w:p w14:paraId="12B81E73" w14:textId="77777777" w:rsidR="000E7C8F" w:rsidRPr="00E6476E" w:rsidRDefault="000E7C8F" w:rsidP="000E7C8F">
            <w:pPr>
              <w:spacing w:after="0" w:line="240" w:lineRule="auto"/>
              <w:jc w:val="center"/>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3C74EDAE" w14:textId="77777777" w:rsidR="000E7C8F" w:rsidRPr="00E6476E" w:rsidRDefault="000E7C8F" w:rsidP="000E7C8F">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6CCF061F"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LRNC B530 (Math B60)</w:t>
            </w:r>
          </w:p>
        </w:tc>
        <w:tc>
          <w:tcPr>
            <w:tcW w:w="1356" w:type="dxa"/>
            <w:tcBorders>
              <w:top w:val="nil"/>
              <w:left w:val="nil"/>
              <w:bottom w:val="nil"/>
              <w:right w:val="nil"/>
            </w:tcBorders>
            <w:shd w:val="clear" w:color="auto" w:fill="auto"/>
            <w:noWrap/>
            <w:vAlign w:val="bottom"/>
            <w:hideMark/>
          </w:tcPr>
          <w:p w14:paraId="5D2AD244"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w:t>
            </w:r>
          </w:p>
        </w:tc>
        <w:tc>
          <w:tcPr>
            <w:tcW w:w="2006" w:type="dxa"/>
            <w:tcBorders>
              <w:top w:val="nil"/>
              <w:left w:val="nil"/>
              <w:bottom w:val="nil"/>
              <w:right w:val="nil"/>
            </w:tcBorders>
            <w:shd w:val="clear" w:color="auto" w:fill="auto"/>
            <w:noWrap/>
            <w:vAlign w:val="bottom"/>
            <w:hideMark/>
          </w:tcPr>
          <w:p w14:paraId="4ED1500C" w14:textId="5497DEDE"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4EF8B1ED"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0.58</w:t>
            </w:r>
          </w:p>
        </w:tc>
        <w:tc>
          <w:tcPr>
            <w:tcW w:w="1771" w:type="dxa"/>
            <w:tcBorders>
              <w:top w:val="nil"/>
              <w:left w:val="nil"/>
              <w:bottom w:val="nil"/>
              <w:right w:val="nil"/>
            </w:tcBorders>
            <w:shd w:val="clear" w:color="auto" w:fill="auto"/>
            <w:noWrap/>
            <w:vAlign w:val="bottom"/>
            <w:hideMark/>
          </w:tcPr>
          <w:p w14:paraId="35CEBB92"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0.42</w:t>
            </w:r>
          </w:p>
        </w:tc>
        <w:tc>
          <w:tcPr>
            <w:tcW w:w="1771" w:type="dxa"/>
            <w:tcBorders>
              <w:top w:val="nil"/>
              <w:left w:val="nil"/>
              <w:bottom w:val="nil"/>
              <w:right w:val="nil"/>
            </w:tcBorders>
            <w:shd w:val="clear" w:color="auto" w:fill="auto"/>
            <w:noWrap/>
            <w:vAlign w:val="bottom"/>
            <w:hideMark/>
          </w:tcPr>
          <w:p w14:paraId="56FEAE26"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0.13</w:t>
            </w:r>
          </w:p>
        </w:tc>
      </w:tr>
      <w:tr w:rsidR="000E7C8F" w:rsidRPr="00E6476E" w14:paraId="355E5C79" w14:textId="77777777" w:rsidTr="006A6AFB">
        <w:trPr>
          <w:trHeight w:val="260"/>
        </w:trPr>
        <w:tc>
          <w:tcPr>
            <w:tcW w:w="1139" w:type="dxa"/>
            <w:tcBorders>
              <w:top w:val="nil"/>
              <w:left w:val="nil"/>
              <w:bottom w:val="nil"/>
              <w:right w:val="nil"/>
            </w:tcBorders>
            <w:shd w:val="clear" w:color="auto" w:fill="auto"/>
            <w:noWrap/>
            <w:vAlign w:val="bottom"/>
            <w:hideMark/>
          </w:tcPr>
          <w:p w14:paraId="58BF9F4D"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4A4F308D" w14:textId="77777777" w:rsidR="000E7C8F" w:rsidRPr="00E6476E" w:rsidRDefault="000E7C8F" w:rsidP="000E7C8F">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5B067A6C"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356" w:type="dxa"/>
            <w:tcBorders>
              <w:top w:val="nil"/>
              <w:left w:val="nil"/>
              <w:bottom w:val="nil"/>
              <w:right w:val="nil"/>
            </w:tcBorders>
            <w:shd w:val="clear" w:color="auto" w:fill="auto"/>
            <w:noWrap/>
            <w:vAlign w:val="bottom"/>
            <w:hideMark/>
          </w:tcPr>
          <w:p w14:paraId="22935BFA"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w:t>
            </w:r>
          </w:p>
        </w:tc>
        <w:tc>
          <w:tcPr>
            <w:tcW w:w="2006" w:type="dxa"/>
            <w:tcBorders>
              <w:top w:val="nil"/>
              <w:left w:val="nil"/>
              <w:bottom w:val="nil"/>
              <w:right w:val="nil"/>
            </w:tcBorders>
            <w:shd w:val="clear" w:color="auto" w:fill="auto"/>
            <w:noWrap/>
            <w:vAlign w:val="bottom"/>
            <w:hideMark/>
          </w:tcPr>
          <w:p w14:paraId="0A3C3807" w14:textId="003E182A"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433E0C7B"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0.66</w:t>
            </w:r>
          </w:p>
        </w:tc>
        <w:tc>
          <w:tcPr>
            <w:tcW w:w="1771" w:type="dxa"/>
            <w:tcBorders>
              <w:top w:val="nil"/>
              <w:left w:val="nil"/>
              <w:bottom w:val="nil"/>
              <w:right w:val="nil"/>
            </w:tcBorders>
            <w:shd w:val="clear" w:color="auto" w:fill="auto"/>
            <w:noWrap/>
            <w:vAlign w:val="bottom"/>
            <w:hideMark/>
          </w:tcPr>
          <w:p w14:paraId="3E719D68"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0.26</w:t>
            </w:r>
          </w:p>
        </w:tc>
        <w:tc>
          <w:tcPr>
            <w:tcW w:w="1771" w:type="dxa"/>
            <w:tcBorders>
              <w:top w:val="nil"/>
              <w:left w:val="nil"/>
              <w:bottom w:val="nil"/>
              <w:right w:val="nil"/>
            </w:tcBorders>
            <w:shd w:val="clear" w:color="auto" w:fill="auto"/>
            <w:noWrap/>
            <w:vAlign w:val="bottom"/>
            <w:hideMark/>
          </w:tcPr>
          <w:p w14:paraId="27B066A4"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0.26</w:t>
            </w:r>
          </w:p>
        </w:tc>
      </w:tr>
      <w:tr w:rsidR="006A6AFB" w:rsidRPr="00E6476E" w14:paraId="0308A47C" w14:textId="77777777" w:rsidTr="006A6AFB">
        <w:trPr>
          <w:trHeight w:val="260"/>
        </w:trPr>
        <w:tc>
          <w:tcPr>
            <w:tcW w:w="1139" w:type="dxa"/>
            <w:tcBorders>
              <w:top w:val="nil"/>
              <w:left w:val="nil"/>
              <w:bottom w:val="nil"/>
              <w:right w:val="nil"/>
            </w:tcBorders>
            <w:shd w:val="clear" w:color="auto" w:fill="auto"/>
            <w:noWrap/>
            <w:vAlign w:val="bottom"/>
            <w:hideMark/>
          </w:tcPr>
          <w:p w14:paraId="000E5EF5"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425D9E0B"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1C84D8F4"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2F83B84C" w14:textId="77777777" w:rsidR="0055432C" w:rsidRPr="00E6476E" w:rsidRDefault="0055432C" w:rsidP="0055432C">
            <w:pPr>
              <w:spacing w:after="0" w:line="240" w:lineRule="auto"/>
              <w:jc w:val="right"/>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6B42032A" w14:textId="22B84C5C" w:rsidR="0055432C" w:rsidRPr="00E6476E" w:rsidRDefault="00AA2614" w:rsidP="0055432C">
            <w:pPr>
              <w:spacing w:after="0" w:line="240" w:lineRule="auto"/>
              <w:jc w:val="right"/>
              <w:rPr>
                <w:rFonts w:ascii="Times New Roman" w:eastAsia="Times New Roman" w:hAnsi="Times New Roman" w:cs="Times New Roman"/>
                <w:sz w:val="16"/>
                <w:szCs w:val="16"/>
              </w:rPr>
            </w:pPr>
            <w:r w:rsidRPr="00E6476E">
              <w:rPr>
                <w:rFonts w:ascii="Times New Roman" w:eastAsia="Times New Roman" w:hAnsi="Times New Roman" w:cs="Times New Roman"/>
                <w:b/>
                <w:sz w:val="16"/>
                <w:szCs w:val="16"/>
              </w:rPr>
              <w:t>N</w:t>
            </w:r>
          </w:p>
        </w:tc>
        <w:tc>
          <w:tcPr>
            <w:tcW w:w="1771" w:type="dxa"/>
            <w:tcBorders>
              <w:top w:val="nil"/>
              <w:left w:val="nil"/>
              <w:bottom w:val="nil"/>
              <w:right w:val="nil"/>
            </w:tcBorders>
            <w:shd w:val="clear" w:color="auto" w:fill="auto"/>
            <w:noWrap/>
            <w:vAlign w:val="bottom"/>
            <w:hideMark/>
          </w:tcPr>
          <w:p w14:paraId="5E804E01" w14:textId="35DB441D"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602</w:t>
            </w:r>
          </w:p>
        </w:tc>
        <w:tc>
          <w:tcPr>
            <w:tcW w:w="1771" w:type="dxa"/>
            <w:tcBorders>
              <w:top w:val="nil"/>
              <w:left w:val="nil"/>
              <w:bottom w:val="nil"/>
              <w:right w:val="nil"/>
            </w:tcBorders>
            <w:shd w:val="clear" w:color="auto" w:fill="auto"/>
            <w:noWrap/>
            <w:vAlign w:val="bottom"/>
            <w:hideMark/>
          </w:tcPr>
          <w:p w14:paraId="7B3D5DFE" w14:textId="628200C3"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578</w:t>
            </w:r>
          </w:p>
        </w:tc>
        <w:tc>
          <w:tcPr>
            <w:tcW w:w="1771" w:type="dxa"/>
            <w:tcBorders>
              <w:top w:val="nil"/>
              <w:left w:val="nil"/>
              <w:bottom w:val="nil"/>
              <w:right w:val="nil"/>
            </w:tcBorders>
            <w:shd w:val="clear" w:color="auto" w:fill="auto"/>
            <w:noWrap/>
            <w:vAlign w:val="bottom"/>
            <w:hideMark/>
          </w:tcPr>
          <w:p w14:paraId="7C4BCD1C" w14:textId="0C389759"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553</w:t>
            </w:r>
          </w:p>
        </w:tc>
      </w:tr>
      <w:tr w:rsidR="006A6AFB" w:rsidRPr="00E6476E" w14:paraId="5E919C2F" w14:textId="77777777" w:rsidTr="006A6AFB">
        <w:trPr>
          <w:trHeight w:val="260"/>
        </w:trPr>
        <w:tc>
          <w:tcPr>
            <w:tcW w:w="1139" w:type="dxa"/>
            <w:tcBorders>
              <w:top w:val="nil"/>
              <w:left w:val="nil"/>
              <w:bottom w:val="nil"/>
              <w:right w:val="nil"/>
            </w:tcBorders>
            <w:shd w:val="clear" w:color="auto" w:fill="auto"/>
            <w:noWrap/>
            <w:vAlign w:val="bottom"/>
            <w:hideMark/>
          </w:tcPr>
          <w:p w14:paraId="7D9ADF84" w14:textId="77777777" w:rsidR="0055432C" w:rsidRPr="00E6476E" w:rsidRDefault="0055432C" w:rsidP="0055432C">
            <w:pPr>
              <w:spacing w:after="0" w:line="240" w:lineRule="auto"/>
              <w:rPr>
                <w:rFonts w:ascii="Times New Roman" w:eastAsia="Times New Roman" w:hAnsi="Times New Roman" w:cs="Times New Roman"/>
                <w:b/>
                <w:bCs/>
                <w:color w:val="000000"/>
                <w:sz w:val="16"/>
                <w:szCs w:val="16"/>
              </w:rPr>
            </w:pPr>
          </w:p>
        </w:tc>
        <w:tc>
          <w:tcPr>
            <w:tcW w:w="1140" w:type="dxa"/>
            <w:tcBorders>
              <w:top w:val="nil"/>
              <w:left w:val="nil"/>
              <w:bottom w:val="nil"/>
              <w:right w:val="nil"/>
            </w:tcBorders>
            <w:shd w:val="clear" w:color="auto" w:fill="auto"/>
            <w:noWrap/>
            <w:vAlign w:val="bottom"/>
            <w:hideMark/>
          </w:tcPr>
          <w:p w14:paraId="397DCD2E"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2A3542CA"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58501A7F"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14154F2F"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108B77C6"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517E9529"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002D2283" w14:textId="77777777" w:rsidR="0055432C" w:rsidRPr="00E6476E" w:rsidRDefault="0055432C" w:rsidP="0055432C">
            <w:pPr>
              <w:spacing w:after="0" w:line="240" w:lineRule="auto"/>
              <w:rPr>
                <w:rFonts w:ascii="Times New Roman" w:eastAsia="Times New Roman" w:hAnsi="Times New Roman" w:cs="Times New Roman"/>
                <w:sz w:val="16"/>
                <w:szCs w:val="16"/>
              </w:rPr>
            </w:pPr>
          </w:p>
        </w:tc>
      </w:tr>
      <w:tr w:rsidR="000E7C8F" w:rsidRPr="00E6476E" w14:paraId="76125168" w14:textId="77777777" w:rsidTr="006A6AFB">
        <w:trPr>
          <w:trHeight w:val="260"/>
        </w:trPr>
        <w:tc>
          <w:tcPr>
            <w:tcW w:w="1139" w:type="dxa"/>
            <w:tcBorders>
              <w:top w:val="nil"/>
              <w:left w:val="nil"/>
              <w:bottom w:val="nil"/>
              <w:right w:val="nil"/>
            </w:tcBorders>
            <w:shd w:val="clear" w:color="auto" w:fill="auto"/>
            <w:noWrap/>
            <w:vAlign w:val="bottom"/>
            <w:hideMark/>
          </w:tcPr>
          <w:p w14:paraId="13219171" w14:textId="77777777" w:rsidR="000E7C8F" w:rsidRPr="00E6476E" w:rsidRDefault="000E7C8F" w:rsidP="000E7C8F">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lastRenderedPageBreak/>
              <w:t>5</w:t>
            </w:r>
          </w:p>
        </w:tc>
        <w:tc>
          <w:tcPr>
            <w:tcW w:w="1140" w:type="dxa"/>
            <w:tcBorders>
              <w:top w:val="nil"/>
              <w:left w:val="nil"/>
              <w:bottom w:val="nil"/>
              <w:right w:val="nil"/>
            </w:tcBorders>
            <w:shd w:val="clear" w:color="auto" w:fill="auto"/>
            <w:noWrap/>
            <w:vAlign w:val="bottom"/>
            <w:hideMark/>
          </w:tcPr>
          <w:p w14:paraId="09D5602A" w14:textId="595263CE" w:rsidR="000E7C8F" w:rsidRPr="00E6476E" w:rsidRDefault="00C93054" w:rsidP="000E7C8F">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No</w:t>
            </w:r>
          </w:p>
        </w:tc>
        <w:tc>
          <w:tcPr>
            <w:tcW w:w="2006" w:type="dxa"/>
            <w:tcBorders>
              <w:top w:val="nil"/>
              <w:left w:val="nil"/>
              <w:bottom w:val="nil"/>
              <w:right w:val="nil"/>
            </w:tcBorders>
            <w:shd w:val="clear" w:color="auto" w:fill="auto"/>
            <w:noWrap/>
            <w:vAlign w:val="bottom"/>
            <w:hideMark/>
          </w:tcPr>
          <w:p w14:paraId="59D6E301"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B60</w:t>
            </w:r>
          </w:p>
        </w:tc>
        <w:tc>
          <w:tcPr>
            <w:tcW w:w="1356" w:type="dxa"/>
            <w:tcBorders>
              <w:top w:val="nil"/>
              <w:left w:val="nil"/>
              <w:bottom w:val="nil"/>
              <w:right w:val="nil"/>
            </w:tcBorders>
            <w:shd w:val="clear" w:color="auto" w:fill="auto"/>
            <w:noWrap/>
            <w:vAlign w:val="bottom"/>
            <w:hideMark/>
          </w:tcPr>
          <w:p w14:paraId="23CF7C99"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69EBCE40" w14:textId="0EEF6AE9"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165450D5"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0.68</w:t>
            </w:r>
          </w:p>
        </w:tc>
        <w:tc>
          <w:tcPr>
            <w:tcW w:w="1771" w:type="dxa"/>
            <w:tcBorders>
              <w:top w:val="nil"/>
              <w:left w:val="nil"/>
              <w:bottom w:val="nil"/>
              <w:right w:val="nil"/>
            </w:tcBorders>
            <w:shd w:val="clear" w:color="auto" w:fill="auto"/>
            <w:noWrap/>
            <w:vAlign w:val="bottom"/>
            <w:hideMark/>
          </w:tcPr>
          <w:p w14:paraId="3BADBE37"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0.18</w:t>
            </w:r>
          </w:p>
        </w:tc>
        <w:tc>
          <w:tcPr>
            <w:tcW w:w="1771" w:type="dxa"/>
            <w:tcBorders>
              <w:top w:val="nil"/>
              <w:left w:val="nil"/>
              <w:bottom w:val="nil"/>
              <w:right w:val="nil"/>
            </w:tcBorders>
            <w:shd w:val="clear" w:color="auto" w:fill="auto"/>
            <w:noWrap/>
            <w:vAlign w:val="bottom"/>
            <w:hideMark/>
          </w:tcPr>
          <w:p w14:paraId="13671EB9"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0.13</w:t>
            </w:r>
          </w:p>
        </w:tc>
      </w:tr>
      <w:tr w:rsidR="000E7C8F" w:rsidRPr="00E6476E" w14:paraId="1C43BF44" w14:textId="77777777" w:rsidTr="006A6AFB">
        <w:trPr>
          <w:trHeight w:val="260"/>
        </w:trPr>
        <w:tc>
          <w:tcPr>
            <w:tcW w:w="1139" w:type="dxa"/>
            <w:tcBorders>
              <w:top w:val="nil"/>
              <w:left w:val="nil"/>
              <w:bottom w:val="nil"/>
              <w:right w:val="nil"/>
            </w:tcBorders>
            <w:shd w:val="clear" w:color="auto" w:fill="auto"/>
            <w:noWrap/>
            <w:vAlign w:val="bottom"/>
            <w:hideMark/>
          </w:tcPr>
          <w:p w14:paraId="37C9F772"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5A26A335" w14:textId="77777777" w:rsidR="000E7C8F" w:rsidRPr="00E6476E" w:rsidRDefault="000E7C8F" w:rsidP="000E7C8F">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17501D72"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B65</w:t>
            </w:r>
          </w:p>
        </w:tc>
        <w:tc>
          <w:tcPr>
            <w:tcW w:w="1356" w:type="dxa"/>
            <w:tcBorders>
              <w:top w:val="nil"/>
              <w:left w:val="nil"/>
              <w:bottom w:val="nil"/>
              <w:right w:val="nil"/>
            </w:tcBorders>
            <w:shd w:val="clear" w:color="auto" w:fill="auto"/>
            <w:noWrap/>
            <w:vAlign w:val="bottom"/>
            <w:hideMark/>
          </w:tcPr>
          <w:p w14:paraId="7786552F"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777EE3CE" w14:textId="21836F1A"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59F6603A"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0.19</w:t>
            </w:r>
          </w:p>
        </w:tc>
        <w:tc>
          <w:tcPr>
            <w:tcW w:w="1771" w:type="dxa"/>
            <w:tcBorders>
              <w:top w:val="nil"/>
              <w:left w:val="nil"/>
              <w:bottom w:val="nil"/>
              <w:right w:val="nil"/>
            </w:tcBorders>
            <w:shd w:val="clear" w:color="auto" w:fill="auto"/>
            <w:noWrap/>
            <w:vAlign w:val="bottom"/>
            <w:hideMark/>
          </w:tcPr>
          <w:p w14:paraId="5BD67DCA"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0.23</w:t>
            </w:r>
          </w:p>
        </w:tc>
        <w:tc>
          <w:tcPr>
            <w:tcW w:w="1771" w:type="dxa"/>
            <w:tcBorders>
              <w:top w:val="nil"/>
              <w:left w:val="nil"/>
              <w:bottom w:val="nil"/>
              <w:right w:val="nil"/>
            </w:tcBorders>
            <w:shd w:val="clear" w:color="auto" w:fill="auto"/>
            <w:noWrap/>
            <w:vAlign w:val="bottom"/>
            <w:hideMark/>
          </w:tcPr>
          <w:p w14:paraId="4EA49DBA" w14:textId="77777777" w:rsidR="000E7C8F" w:rsidRPr="00E6476E" w:rsidRDefault="000E7C8F"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w:t>
            </w:r>
          </w:p>
        </w:tc>
      </w:tr>
      <w:tr w:rsidR="000E7C8F" w:rsidRPr="00E6476E" w14:paraId="672F5CBD" w14:textId="77777777" w:rsidTr="00AA2614">
        <w:trPr>
          <w:trHeight w:val="260"/>
        </w:trPr>
        <w:tc>
          <w:tcPr>
            <w:tcW w:w="1139" w:type="dxa"/>
            <w:tcBorders>
              <w:top w:val="nil"/>
              <w:left w:val="nil"/>
              <w:bottom w:val="nil"/>
              <w:right w:val="nil"/>
            </w:tcBorders>
            <w:shd w:val="clear" w:color="auto" w:fill="auto"/>
            <w:noWrap/>
            <w:vAlign w:val="bottom"/>
            <w:hideMark/>
          </w:tcPr>
          <w:p w14:paraId="6E0D4D3F" w14:textId="77777777" w:rsidR="000E7C8F" w:rsidRPr="00E6476E" w:rsidRDefault="000E7C8F" w:rsidP="000E7C8F">
            <w:pPr>
              <w:spacing w:after="0" w:line="240" w:lineRule="auto"/>
              <w:jc w:val="center"/>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0F5956E9" w14:textId="77777777" w:rsidR="000E7C8F" w:rsidRPr="00E6476E" w:rsidRDefault="000E7C8F" w:rsidP="000E7C8F">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7167E735"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LRNC B530 (Math B60)</w:t>
            </w:r>
          </w:p>
        </w:tc>
        <w:tc>
          <w:tcPr>
            <w:tcW w:w="1356" w:type="dxa"/>
            <w:tcBorders>
              <w:top w:val="nil"/>
              <w:left w:val="nil"/>
              <w:bottom w:val="nil"/>
              <w:right w:val="nil"/>
            </w:tcBorders>
            <w:shd w:val="clear" w:color="auto" w:fill="auto"/>
            <w:noWrap/>
            <w:vAlign w:val="bottom"/>
            <w:hideMark/>
          </w:tcPr>
          <w:p w14:paraId="3A1DCFCB"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24B97C2F" w14:textId="161C92A9"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7ADDDDF4"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0.82</w:t>
            </w:r>
          </w:p>
        </w:tc>
        <w:tc>
          <w:tcPr>
            <w:tcW w:w="1771" w:type="dxa"/>
            <w:tcBorders>
              <w:top w:val="nil"/>
              <w:left w:val="nil"/>
              <w:bottom w:val="nil"/>
              <w:right w:val="nil"/>
            </w:tcBorders>
            <w:shd w:val="clear" w:color="auto" w:fill="auto"/>
            <w:noWrap/>
            <w:vAlign w:val="bottom"/>
            <w:hideMark/>
          </w:tcPr>
          <w:p w14:paraId="2C98D367"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0.63</w:t>
            </w:r>
          </w:p>
        </w:tc>
        <w:tc>
          <w:tcPr>
            <w:tcW w:w="1771" w:type="dxa"/>
            <w:tcBorders>
              <w:top w:val="nil"/>
              <w:left w:val="nil"/>
              <w:bottom w:val="nil"/>
              <w:right w:val="nil"/>
            </w:tcBorders>
            <w:shd w:val="clear" w:color="auto" w:fill="auto"/>
            <w:noWrap/>
            <w:vAlign w:val="bottom"/>
            <w:hideMark/>
          </w:tcPr>
          <w:p w14:paraId="7DF2D056"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0.20</w:t>
            </w:r>
          </w:p>
        </w:tc>
      </w:tr>
      <w:tr w:rsidR="000E7C8F" w:rsidRPr="00E6476E" w14:paraId="2AA9F942" w14:textId="77777777" w:rsidTr="006A6AFB">
        <w:trPr>
          <w:trHeight w:val="260"/>
        </w:trPr>
        <w:tc>
          <w:tcPr>
            <w:tcW w:w="1139" w:type="dxa"/>
            <w:tcBorders>
              <w:top w:val="nil"/>
              <w:left w:val="nil"/>
              <w:bottom w:val="nil"/>
              <w:right w:val="nil"/>
            </w:tcBorders>
            <w:shd w:val="clear" w:color="auto" w:fill="auto"/>
            <w:noWrap/>
            <w:vAlign w:val="bottom"/>
            <w:hideMark/>
          </w:tcPr>
          <w:p w14:paraId="1F05B546"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39080683" w14:textId="77777777" w:rsidR="000E7C8F" w:rsidRPr="00E6476E" w:rsidRDefault="000E7C8F" w:rsidP="000E7C8F">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03EE9F64"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356" w:type="dxa"/>
            <w:tcBorders>
              <w:top w:val="nil"/>
              <w:left w:val="nil"/>
              <w:bottom w:val="nil"/>
              <w:right w:val="nil"/>
            </w:tcBorders>
            <w:shd w:val="clear" w:color="auto" w:fill="auto"/>
            <w:noWrap/>
            <w:vAlign w:val="bottom"/>
            <w:hideMark/>
          </w:tcPr>
          <w:p w14:paraId="746583F6" w14:textId="77777777"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75845CE4" w14:textId="012BF4E4" w:rsidR="000E7C8F" w:rsidRPr="00E6476E" w:rsidRDefault="000E7C8F" w:rsidP="000E7C8F">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Any or None</w:t>
            </w:r>
          </w:p>
        </w:tc>
        <w:tc>
          <w:tcPr>
            <w:tcW w:w="1771" w:type="dxa"/>
            <w:tcBorders>
              <w:top w:val="nil"/>
              <w:left w:val="nil"/>
              <w:bottom w:val="nil"/>
              <w:right w:val="nil"/>
            </w:tcBorders>
            <w:shd w:val="clear" w:color="auto" w:fill="auto"/>
            <w:noWrap/>
            <w:vAlign w:val="bottom"/>
            <w:hideMark/>
          </w:tcPr>
          <w:p w14:paraId="71EC7FA6" w14:textId="77777777" w:rsidR="000E7C8F" w:rsidRPr="00E6476E" w:rsidRDefault="000E7C8F" w:rsidP="00891F91">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bottom w:val="nil"/>
              <w:right w:val="nil"/>
            </w:tcBorders>
            <w:shd w:val="clear" w:color="auto" w:fill="auto"/>
            <w:noWrap/>
            <w:vAlign w:val="bottom"/>
            <w:hideMark/>
          </w:tcPr>
          <w:p w14:paraId="18EA0801"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0.56</w:t>
            </w:r>
          </w:p>
        </w:tc>
        <w:tc>
          <w:tcPr>
            <w:tcW w:w="1771" w:type="dxa"/>
            <w:tcBorders>
              <w:top w:val="nil"/>
              <w:left w:val="nil"/>
              <w:bottom w:val="nil"/>
              <w:right w:val="nil"/>
            </w:tcBorders>
            <w:shd w:val="clear" w:color="auto" w:fill="auto"/>
            <w:noWrap/>
            <w:vAlign w:val="bottom"/>
            <w:hideMark/>
          </w:tcPr>
          <w:p w14:paraId="6541DC36" w14:textId="77777777" w:rsidR="000E7C8F" w:rsidRPr="00E6476E" w:rsidRDefault="000E7C8F" w:rsidP="000E7C8F">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0.49</w:t>
            </w:r>
          </w:p>
        </w:tc>
      </w:tr>
      <w:tr w:rsidR="006A6AFB" w:rsidRPr="00E6476E" w14:paraId="7EDD5A2C" w14:textId="77777777" w:rsidTr="006A6AFB">
        <w:trPr>
          <w:trHeight w:val="260"/>
        </w:trPr>
        <w:tc>
          <w:tcPr>
            <w:tcW w:w="1139" w:type="dxa"/>
            <w:tcBorders>
              <w:top w:val="nil"/>
              <w:left w:val="nil"/>
              <w:bottom w:val="nil"/>
              <w:right w:val="nil"/>
            </w:tcBorders>
            <w:shd w:val="clear" w:color="auto" w:fill="auto"/>
            <w:noWrap/>
            <w:vAlign w:val="bottom"/>
            <w:hideMark/>
          </w:tcPr>
          <w:p w14:paraId="55CC1332"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1109442D"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2B89321D"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49544C1D" w14:textId="77777777" w:rsidR="0055432C" w:rsidRPr="00E6476E" w:rsidRDefault="0055432C" w:rsidP="0055432C">
            <w:pPr>
              <w:spacing w:after="0" w:line="240" w:lineRule="auto"/>
              <w:jc w:val="right"/>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41F8DC9C" w14:textId="6E27A16B" w:rsidR="0055432C" w:rsidRPr="00E6476E" w:rsidRDefault="00AA2614" w:rsidP="0055432C">
            <w:pPr>
              <w:spacing w:after="0" w:line="240" w:lineRule="auto"/>
              <w:jc w:val="right"/>
              <w:rPr>
                <w:rFonts w:ascii="Times New Roman" w:eastAsia="Times New Roman" w:hAnsi="Times New Roman" w:cs="Times New Roman"/>
                <w:b/>
                <w:sz w:val="16"/>
                <w:szCs w:val="16"/>
              </w:rPr>
            </w:pPr>
            <w:r w:rsidRPr="00E6476E">
              <w:rPr>
                <w:rFonts w:ascii="Times New Roman" w:eastAsia="Times New Roman" w:hAnsi="Times New Roman" w:cs="Times New Roman"/>
                <w:b/>
                <w:sz w:val="16"/>
                <w:szCs w:val="16"/>
              </w:rPr>
              <w:t>N</w:t>
            </w:r>
          </w:p>
        </w:tc>
        <w:tc>
          <w:tcPr>
            <w:tcW w:w="1771" w:type="dxa"/>
            <w:tcBorders>
              <w:top w:val="nil"/>
              <w:left w:val="nil"/>
              <w:bottom w:val="nil"/>
              <w:right w:val="nil"/>
            </w:tcBorders>
            <w:shd w:val="clear" w:color="auto" w:fill="auto"/>
            <w:noWrap/>
            <w:vAlign w:val="bottom"/>
            <w:hideMark/>
          </w:tcPr>
          <w:p w14:paraId="033431FB" w14:textId="1F4B8C82"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219</w:t>
            </w:r>
          </w:p>
        </w:tc>
        <w:tc>
          <w:tcPr>
            <w:tcW w:w="1771" w:type="dxa"/>
            <w:tcBorders>
              <w:top w:val="nil"/>
              <w:left w:val="nil"/>
              <w:bottom w:val="nil"/>
              <w:right w:val="nil"/>
            </w:tcBorders>
            <w:shd w:val="clear" w:color="auto" w:fill="auto"/>
            <w:noWrap/>
            <w:vAlign w:val="bottom"/>
            <w:hideMark/>
          </w:tcPr>
          <w:p w14:paraId="046E0D7B" w14:textId="09DDA71E"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294</w:t>
            </w:r>
          </w:p>
        </w:tc>
        <w:tc>
          <w:tcPr>
            <w:tcW w:w="1771" w:type="dxa"/>
            <w:tcBorders>
              <w:top w:val="nil"/>
              <w:left w:val="nil"/>
              <w:bottom w:val="nil"/>
              <w:right w:val="nil"/>
            </w:tcBorders>
            <w:shd w:val="clear" w:color="auto" w:fill="auto"/>
            <w:noWrap/>
            <w:vAlign w:val="bottom"/>
            <w:hideMark/>
          </w:tcPr>
          <w:p w14:paraId="0D07CA02" w14:textId="7A5E7A71"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282</w:t>
            </w:r>
          </w:p>
        </w:tc>
      </w:tr>
      <w:tr w:rsidR="006A6AFB" w:rsidRPr="00E6476E" w14:paraId="17B754D4" w14:textId="77777777" w:rsidTr="006A6AFB">
        <w:trPr>
          <w:trHeight w:val="260"/>
        </w:trPr>
        <w:tc>
          <w:tcPr>
            <w:tcW w:w="1139" w:type="dxa"/>
            <w:tcBorders>
              <w:top w:val="nil"/>
              <w:left w:val="nil"/>
              <w:bottom w:val="nil"/>
              <w:right w:val="nil"/>
            </w:tcBorders>
            <w:shd w:val="clear" w:color="auto" w:fill="auto"/>
            <w:noWrap/>
            <w:vAlign w:val="bottom"/>
            <w:hideMark/>
          </w:tcPr>
          <w:p w14:paraId="0CD9486C" w14:textId="77777777" w:rsidR="0055432C" w:rsidRPr="00E6476E" w:rsidRDefault="0055432C" w:rsidP="0055432C">
            <w:pPr>
              <w:spacing w:after="0" w:line="240" w:lineRule="auto"/>
              <w:rPr>
                <w:rFonts w:ascii="Times New Roman" w:eastAsia="Times New Roman" w:hAnsi="Times New Roman" w:cs="Times New Roman"/>
                <w:b/>
                <w:bCs/>
                <w:color w:val="000000"/>
                <w:sz w:val="16"/>
                <w:szCs w:val="16"/>
              </w:rPr>
            </w:pPr>
          </w:p>
        </w:tc>
        <w:tc>
          <w:tcPr>
            <w:tcW w:w="1140" w:type="dxa"/>
            <w:tcBorders>
              <w:top w:val="nil"/>
              <w:left w:val="nil"/>
              <w:bottom w:val="nil"/>
              <w:right w:val="nil"/>
            </w:tcBorders>
            <w:shd w:val="clear" w:color="auto" w:fill="auto"/>
            <w:noWrap/>
            <w:vAlign w:val="bottom"/>
            <w:hideMark/>
          </w:tcPr>
          <w:p w14:paraId="06BBFC2E"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74C612E0"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6DCF14FB"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3C64D9E5"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0407F1A6" w14:textId="77777777" w:rsidR="0055432C" w:rsidRPr="00E6476E" w:rsidRDefault="0055432C" w:rsidP="008262DF">
            <w:pPr>
              <w:spacing w:after="0" w:line="240" w:lineRule="auto"/>
              <w:jc w:val="center"/>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3FCE1D69" w14:textId="77777777" w:rsidR="0055432C" w:rsidRPr="00E6476E" w:rsidRDefault="0055432C" w:rsidP="008262DF">
            <w:pPr>
              <w:spacing w:after="0" w:line="240" w:lineRule="auto"/>
              <w:jc w:val="center"/>
              <w:rPr>
                <w:rFonts w:ascii="Times New Roman" w:eastAsia="Times New Roman" w:hAnsi="Times New Roman" w:cs="Times New Roman"/>
                <w:sz w:val="16"/>
                <w:szCs w:val="16"/>
              </w:rPr>
            </w:pPr>
          </w:p>
        </w:tc>
        <w:tc>
          <w:tcPr>
            <w:tcW w:w="1771" w:type="dxa"/>
            <w:tcBorders>
              <w:top w:val="nil"/>
              <w:left w:val="nil"/>
              <w:bottom w:val="nil"/>
              <w:right w:val="nil"/>
            </w:tcBorders>
            <w:shd w:val="clear" w:color="auto" w:fill="auto"/>
            <w:noWrap/>
            <w:vAlign w:val="bottom"/>
            <w:hideMark/>
          </w:tcPr>
          <w:p w14:paraId="614B1025" w14:textId="77777777" w:rsidR="0055432C" w:rsidRPr="00E6476E" w:rsidRDefault="0055432C" w:rsidP="008262DF">
            <w:pPr>
              <w:spacing w:after="0" w:line="240" w:lineRule="auto"/>
              <w:jc w:val="center"/>
              <w:rPr>
                <w:rFonts w:ascii="Times New Roman" w:eastAsia="Times New Roman" w:hAnsi="Times New Roman" w:cs="Times New Roman"/>
                <w:sz w:val="16"/>
                <w:szCs w:val="16"/>
              </w:rPr>
            </w:pPr>
          </w:p>
        </w:tc>
      </w:tr>
      <w:tr w:rsidR="006A6AFB" w:rsidRPr="00E6476E" w14:paraId="40EEDD70" w14:textId="77777777" w:rsidTr="006A6AFB">
        <w:trPr>
          <w:trHeight w:val="260"/>
        </w:trPr>
        <w:tc>
          <w:tcPr>
            <w:tcW w:w="1139" w:type="dxa"/>
            <w:tcBorders>
              <w:top w:val="nil"/>
              <w:left w:val="nil"/>
              <w:bottom w:val="nil"/>
              <w:right w:val="nil"/>
            </w:tcBorders>
            <w:shd w:val="clear" w:color="auto" w:fill="auto"/>
            <w:noWrap/>
            <w:vAlign w:val="bottom"/>
            <w:hideMark/>
          </w:tcPr>
          <w:p w14:paraId="6F3E0661" w14:textId="77777777" w:rsidR="0055432C" w:rsidRPr="00E6476E" w:rsidRDefault="0055432C" w:rsidP="0055432C">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6</w:t>
            </w:r>
          </w:p>
        </w:tc>
        <w:tc>
          <w:tcPr>
            <w:tcW w:w="1140" w:type="dxa"/>
            <w:tcBorders>
              <w:top w:val="nil"/>
              <w:left w:val="nil"/>
              <w:bottom w:val="nil"/>
              <w:right w:val="nil"/>
            </w:tcBorders>
            <w:shd w:val="clear" w:color="auto" w:fill="auto"/>
            <w:noWrap/>
            <w:vAlign w:val="bottom"/>
            <w:hideMark/>
          </w:tcPr>
          <w:p w14:paraId="3987AE60" w14:textId="694BD669" w:rsidR="0055432C" w:rsidRPr="00E6476E" w:rsidRDefault="00C93054" w:rsidP="0055432C">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No</w:t>
            </w:r>
          </w:p>
        </w:tc>
        <w:tc>
          <w:tcPr>
            <w:tcW w:w="2006" w:type="dxa"/>
            <w:tcBorders>
              <w:top w:val="nil"/>
              <w:left w:val="nil"/>
              <w:bottom w:val="nil"/>
              <w:right w:val="nil"/>
            </w:tcBorders>
            <w:shd w:val="clear" w:color="auto" w:fill="auto"/>
            <w:noWrap/>
            <w:vAlign w:val="bottom"/>
            <w:hideMark/>
          </w:tcPr>
          <w:p w14:paraId="25396B86"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B60</w:t>
            </w:r>
          </w:p>
        </w:tc>
        <w:tc>
          <w:tcPr>
            <w:tcW w:w="1356" w:type="dxa"/>
            <w:tcBorders>
              <w:top w:val="nil"/>
              <w:left w:val="nil"/>
              <w:bottom w:val="nil"/>
              <w:right w:val="nil"/>
            </w:tcBorders>
            <w:shd w:val="clear" w:color="auto" w:fill="auto"/>
            <w:noWrap/>
            <w:vAlign w:val="bottom"/>
            <w:hideMark/>
          </w:tcPr>
          <w:p w14:paraId="26DEB492"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48C2040E"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771" w:type="dxa"/>
            <w:tcBorders>
              <w:top w:val="nil"/>
              <w:left w:val="nil"/>
              <w:bottom w:val="nil"/>
              <w:right w:val="nil"/>
            </w:tcBorders>
            <w:shd w:val="clear" w:color="auto" w:fill="auto"/>
            <w:noWrap/>
            <w:vAlign w:val="bottom"/>
            <w:hideMark/>
          </w:tcPr>
          <w:p w14:paraId="56225DB5"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0.84</w:t>
            </w:r>
          </w:p>
        </w:tc>
        <w:tc>
          <w:tcPr>
            <w:tcW w:w="1771" w:type="dxa"/>
            <w:tcBorders>
              <w:top w:val="nil"/>
              <w:left w:val="nil"/>
              <w:bottom w:val="nil"/>
              <w:right w:val="nil"/>
            </w:tcBorders>
            <w:shd w:val="clear" w:color="auto" w:fill="auto"/>
            <w:noWrap/>
            <w:vAlign w:val="bottom"/>
            <w:hideMark/>
          </w:tcPr>
          <w:p w14:paraId="7F71D3AC"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0.15</w:t>
            </w:r>
          </w:p>
        </w:tc>
        <w:tc>
          <w:tcPr>
            <w:tcW w:w="1771" w:type="dxa"/>
            <w:tcBorders>
              <w:top w:val="nil"/>
              <w:left w:val="nil"/>
              <w:bottom w:val="nil"/>
              <w:right w:val="nil"/>
            </w:tcBorders>
            <w:shd w:val="clear" w:color="auto" w:fill="auto"/>
            <w:noWrap/>
            <w:vAlign w:val="bottom"/>
            <w:hideMark/>
          </w:tcPr>
          <w:p w14:paraId="4CD27567"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0.14</w:t>
            </w:r>
          </w:p>
        </w:tc>
      </w:tr>
      <w:tr w:rsidR="006A6AFB" w:rsidRPr="00E6476E" w14:paraId="0FCFCAE8" w14:textId="77777777" w:rsidTr="00154843">
        <w:trPr>
          <w:trHeight w:val="260"/>
        </w:trPr>
        <w:tc>
          <w:tcPr>
            <w:tcW w:w="1139" w:type="dxa"/>
            <w:tcBorders>
              <w:top w:val="nil"/>
              <w:left w:val="nil"/>
              <w:bottom w:val="nil"/>
              <w:right w:val="nil"/>
            </w:tcBorders>
            <w:shd w:val="clear" w:color="auto" w:fill="auto"/>
            <w:noWrap/>
            <w:vAlign w:val="bottom"/>
            <w:hideMark/>
          </w:tcPr>
          <w:p w14:paraId="26B1F68B"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144BF8B5"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4190F2CC"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B65</w:t>
            </w:r>
          </w:p>
        </w:tc>
        <w:tc>
          <w:tcPr>
            <w:tcW w:w="1356" w:type="dxa"/>
            <w:tcBorders>
              <w:top w:val="nil"/>
              <w:left w:val="nil"/>
              <w:bottom w:val="nil"/>
              <w:right w:val="nil"/>
            </w:tcBorders>
            <w:shd w:val="clear" w:color="auto" w:fill="auto"/>
            <w:noWrap/>
            <w:vAlign w:val="bottom"/>
            <w:hideMark/>
          </w:tcPr>
          <w:p w14:paraId="70BF5B0A"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78149427"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B22</w:t>
            </w:r>
          </w:p>
        </w:tc>
        <w:tc>
          <w:tcPr>
            <w:tcW w:w="1771" w:type="dxa"/>
            <w:tcBorders>
              <w:top w:val="nil"/>
              <w:left w:val="nil"/>
              <w:bottom w:val="nil"/>
              <w:right w:val="nil"/>
            </w:tcBorders>
            <w:shd w:val="clear" w:color="auto" w:fill="auto"/>
            <w:noWrap/>
            <w:vAlign w:val="bottom"/>
            <w:hideMark/>
          </w:tcPr>
          <w:p w14:paraId="48849062"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w:t>
            </w:r>
          </w:p>
        </w:tc>
        <w:tc>
          <w:tcPr>
            <w:tcW w:w="1771" w:type="dxa"/>
            <w:tcBorders>
              <w:top w:val="nil"/>
              <w:left w:val="nil"/>
              <w:bottom w:val="nil"/>
              <w:right w:val="nil"/>
            </w:tcBorders>
            <w:shd w:val="clear" w:color="auto" w:fill="auto"/>
            <w:noWrap/>
            <w:vAlign w:val="bottom"/>
            <w:hideMark/>
          </w:tcPr>
          <w:p w14:paraId="20A3CEF4"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w:t>
            </w:r>
          </w:p>
        </w:tc>
        <w:tc>
          <w:tcPr>
            <w:tcW w:w="1771" w:type="dxa"/>
            <w:tcBorders>
              <w:top w:val="nil"/>
              <w:left w:val="nil"/>
              <w:bottom w:val="nil"/>
              <w:right w:val="nil"/>
            </w:tcBorders>
            <w:shd w:val="clear" w:color="auto" w:fill="auto"/>
            <w:noWrap/>
            <w:vAlign w:val="bottom"/>
            <w:hideMark/>
          </w:tcPr>
          <w:p w14:paraId="474727D4"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w:t>
            </w:r>
          </w:p>
        </w:tc>
      </w:tr>
      <w:tr w:rsidR="006A6AFB" w:rsidRPr="00E6476E" w14:paraId="101C1B45" w14:textId="77777777" w:rsidTr="00154843">
        <w:trPr>
          <w:trHeight w:val="260"/>
        </w:trPr>
        <w:tc>
          <w:tcPr>
            <w:tcW w:w="1139" w:type="dxa"/>
            <w:tcBorders>
              <w:top w:val="nil"/>
              <w:left w:val="nil"/>
              <w:bottom w:val="nil"/>
              <w:right w:val="nil"/>
            </w:tcBorders>
            <w:shd w:val="clear" w:color="auto" w:fill="auto"/>
            <w:noWrap/>
            <w:vAlign w:val="bottom"/>
            <w:hideMark/>
          </w:tcPr>
          <w:p w14:paraId="31A7E66C" w14:textId="77777777" w:rsidR="0055432C" w:rsidRPr="00E6476E" w:rsidRDefault="0055432C" w:rsidP="0055432C">
            <w:pPr>
              <w:spacing w:after="0" w:line="240" w:lineRule="auto"/>
              <w:jc w:val="center"/>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113F834C"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4C9CA7B7"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B65</w:t>
            </w:r>
          </w:p>
        </w:tc>
        <w:tc>
          <w:tcPr>
            <w:tcW w:w="1356" w:type="dxa"/>
            <w:tcBorders>
              <w:top w:val="nil"/>
              <w:left w:val="nil"/>
              <w:bottom w:val="nil"/>
              <w:right w:val="nil"/>
            </w:tcBorders>
            <w:shd w:val="clear" w:color="auto" w:fill="auto"/>
            <w:noWrap/>
            <w:vAlign w:val="bottom"/>
            <w:hideMark/>
          </w:tcPr>
          <w:p w14:paraId="30DAFEA8"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5C685171"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Psyc B5</w:t>
            </w:r>
          </w:p>
        </w:tc>
        <w:tc>
          <w:tcPr>
            <w:tcW w:w="1771" w:type="dxa"/>
            <w:tcBorders>
              <w:top w:val="nil"/>
              <w:left w:val="nil"/>
              <w:bottom w:val="nil"/>
              <w:right w:val="nil"/>
            </w:tcBorders>
            <w:shd w:val="clear" w:color="auto" w:fill="auto"/>
            <w:noWrap/>
            <w:vAlign w:val="bottom"/>
            <w:hideMark/>
          </w:tcPr>
          <w:p w14:paraId="290930CC"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bottom w:val="nil"/>
              <w:right w:val="nil"/>
            </w:tcBorders>
            <w:shd w:val="clear" w:color="auto" w:fill="auto"/>
            <w:noWrap/>
            <w:vAlign w:val="bottom"/>
            <w:hideMark/>
          </w:tcPr>
          <w:p w14:paraId="60A1C64B"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bottom w:val="nil"/>
              <w:right w:val="nil"/>
            </w:tcBorders>
            <w:shd w:val="clear" w:color="auto" w:fill="auto"/>
            <w:noWrap/>
            <w:vAlign w:val="bottom"/>
            <w:hideMark/>
          </w:tcPr>
          <w:p w14:paraId="39411053"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w:t>
            </w:r>
          </w:p>
        </w:tc>
      </w:tr>
      <w:tr w:rsidR="006F4859" w:rsidRPr="00E6476E" w14:paraId="474869C8" w14:textId="77777777" w:rsidTr="00AA2614">
        <w:trPr>
          <w:trHeight w:val="260"/>
        </w:trPr>
        <w:tc>
          <w:tcPr>
            <w:tcW w:w="1139" w:type="dxa"/>
            <w:tcBorders>
              <w:top w:val="nil"/>
              <w:left w:val="nil"/>
              <w:bottom w:val="nil"/>
              <w:right w:val="nil"/>
            </w:tcBorders>
            <w:shd w:val="clear" w:color="auto" w:fill="auto"/>
            <w:noWrap/>
            <w:vAlign w:val="bottom"/>
            <w:hideMark/>
          </w:tcPr>
          <w:p w14:paraId="214ED4C0" w14:textId="77777777" w:rsidR="0055432C" w:rsidRPr="00E6476E" w:rsidRDefault="0055432C" w:rsidP="0055432C">
            <w:pPr>
              <w:spacing w:after="0" w:line="240" w:lineRule="auto"/>
              <w:jc w:val="center"/>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68448371"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27738103"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LRNC B530 (Math B60)</w:t>
            </w:r>
          </w:p>
        </w:tc>
        <w:tc>
          <w:tcPr>
            <w:tcW w:w="1356" w:type="dxa"/>
            <w:tcBorders>
              <w:top w:val="nil"/>
              <w:left w:val="nil"/>
              <w:bottom w:val="nil"/>
              <w:right w:val="nil"/>
            </w:tcBorders>
            <w:shd w:val="clear" w:color="auto" w:fill="auto"/>
            <w:noWrap/>
            <w:vAlign w:val="bottom"/>
            <w:hideMark/>
          </w:tcPr>
          <w:p w14:paraId="15290657"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61E4FE90"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LRNC B530 (Math B70)</w:t>
            </w:r>
          </w:p>
        </w:tc>
        <w:tc>
          <w:tcPr>
            <w:tcW w:w="1771" w:type="dxa"/>
            <w:tcBorders>
              <w:top w:val="nil"/>
              <w:left w:val="nil"/>
              <w:bottom w:val="nil"/>
              <w:right w:val="nil"/>
            </w:tcBorders>
            <w:shd w:val="clear" w:color="auto" w:fill="auto"/>
            <w:noWrap/>
            <w:vAlign w:val="bottom"/>
            <w:hideMark/>
          </w:tcPr>
          <w:p w14:paraId="2906B4AE"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0.88</w:t>
            </w:r>
          </w:p>
        </w:tc>
        <w:tc>
          <w:tcPr>
            <w:tcW w:w="1771" w:type="dxa"/>
            <w:tcBorders>
              <w:top w:val="nil"/>
              <w:left w:val="nil"/>
              <w:bottom w:val="nil"/>
              <w:right w:val="nil"/>
            </w:tcBorders>
            <w:shd w:val="clear" w:color="auto" w:fill="auto"/>
            <w:noWrap/>
            <w:vAlign w:val="bottom"/>
            <w:hideMark/>
          </w:tcPr>
          <w:p w14:paraId="014E2CF0"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0.61</w:t>
            </w:r>
          </w:p>
        </w:tc>
        <w:tc>
          <w:tcPr>
            <w:tcW w:w="1771" w:type="dxa"/>
            <w:tcBorders>
              <w:top w:val="nil"/>
              <w:left w:val="nil"/>
              <w:bottom w:val="nil"/>
              <w:right w:val="nil"/>
            </w:tcBorders>
            <w:shd w:val="clear" w:color="auto" w:fill="auto"/>
            <w:noWrap/>
            <w:vAlign w:val="bottom"/>
            <w:hideMark/>
          </w:tcPr>
          <w:p w14:paraId="2F1EAFBB"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0.13</w:t>
            </w:r>
          </w:p>
        </w:tc>
      </w:tr>
      <w:tr w:rsidR="006A6AFB" w:rsidRPr="00E6476E" w14:paraId="00CA09D1" w14:textId="77777777" w:rsidTr="006A6AFB">
        <w:trPr>
          <w:trHeight w:val="260"/>
        </w:trPr>
        <w:tc>
          <w:tcPr>
            <w:tcW w:w="1139" w:type="dxa"/>
            <w:tcBorders>
              <w:top w:val="nil"/>
              <w:left w:val="nil"/>
              <w:bottom w:val="nil"/>
              <w:right w:val="nil"/>
            </w:tcBorders>
            <w:shd w:val="clear" w:color="auto" w:fill="auto"/>
            <w:noWrap/>
            <w:vAlign w:val="bottom"/>
            <w:hideMark/>
          </w:tcPr>
          <w:p w14:paraId="400F029F"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1AE47192"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48E59F6B"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356" w:type="dxa"/>
            <w:tcBorders>
              <w:top w:val="nil"/>
              <w:left w:val="nil"/>
              <w:bottom w:val="nil"/>
              <w:right w:val="nil"/>
            </w:tcBorders>
            <w:shd w:val="clear" w:color="auto" w:fill="auto"/>
            <w:noWrap/>
            <w:vAlign w:val="bottom"/>
            <w:hideMark/>
          </w:tcPr>
          <w:p w14:paraId="2C219A3F"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20273C94"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B1A</w:t>
            </w:r>
          </w:p>
        </w:tc>
        <w:tc>
          <w:tcPr>
            <w:tcW w:w="1771" w:type="dxa"/>
            <w:tcBorders>
              <w:top w:val="nil"/>
              <w:left w:val="nil"/>
              <w:bottom w:val="nil"/>
              <w:right w:val="nil"/>
            </w:tcBorders>
            <w:shd w:val="clear" w:color="auto" w:fill="auto"/>
            <w:noWrap/>
            <w:vAlign w:val="bottom"/>
            <w:hideMark/>
          </w:tcPr>
          <w:p w14:paraId="1C4BBD81"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bottom w:val="nil"/>
              <w:right w:val="nil"/>
            </w:tcBorders>
            <w:shd w:val="clear" w:color="auto" w:fill="auto"/>
            <w:noWrap/>
            <w:vAlign w:val="bottom"/>
            <w:hideMark/>
          </w:tcPr>
          <w:p w14:paraId="20B1B922"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0.81</w:t>
            </w:r>
          </w:p>
        </w:tc>
        <w:tc>
          <w:tcPr>
            <w:tcW w:w="1771" w:type="dxa"/>
            <w:tcBorders>
              <w:top w:val="nil"/>
              <w:left w:val="nil"/>
              <w:bottom w:val="nil"/>
              <w:right w:val="nil"/>
            </w:tcBorders>
            <w:shd w:val="clear" w:color="auto" w:fill="auto"/>
            <w:noWrap/>
            <w:vAlign w:val="bottom"/>
            <w:hideMark/>
          </w:tcPr>
          <w:p w14:paraId="5D181AD3"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0.89</w:t>
            </w:r>
          </w:p>
        </w:tc>
      </w:tr>
      <w:tr w:rsidR="006A6AFB" w:rsidRPr="00E6476E" w14:paraId="588B9D75" w14:textId="77777777" w:rsidTr="006A6AFB">
        <w:trPr>
          <w:trHeight w:val="260"/>
        </w:trPr>
        <w:tc>
          <w:tcPr>
            <w:tcW w:w="1139" w:type="dxa"/>
            <w:tcBorders>
              <w:top w:val="nil"/>
              <w:left w:val="nil"/>
              <w:bottom w:val="nil"/>
              <w:right w:val="nil"/>
            </w:tcBorders>
            <w:shd w:val="clear" w:color="auto" w:fill="auto"/>
            <w:noWrap/>
            <w:vAlign w:val="bottom"/>
            <w:hideMark/>
          </w:tcPr>
          <w:p w14:paraId="61E73F63"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7F779619"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29C64048"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356" w:type="dxa"/>
            <w:tcBorders>
              <w:top w:val="nil"/>
              <w:left w:val="nil"/>
              <w:bottom w:val="nil"/>
              <w:right w:val="nil"/>
            </w:tcBorders>
            <w:shd w:val="clear" w:color="auto" w:fill="auto"/>
            <w:noWrap/>
            <w:vAlign w:val="bottom"/>
            <w:hideMark/>
          </w:tcPr>
          <w:p w14:paraId="359CE618"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bottom w:val="nil"/>
              <w:right w:val="nil"/>
            </w:tcBorders>
            <w:shd w:val="clear" w:color="auto" w:fill="auto"/>
            <w:noWrap/>
            <w:vAlign w:val="bottom"/>
            <w:hideMark/>
          </w:tcPr>
          <w:p w14:paraId="5F33FBB0"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B22</w:t>
            </w:r>
          </w:p>
        </w:tc>
        <w:tc>
          <w:tcPr>
            <w:tcW w:w="1771" w:type="dxa"/>
            <w:tcBorders>
              <w:top w:val="nil"/>
              <w:left w:val="nil"/>
              <w:bottom w:val="nil"/>
              <w:right w:val="nil"/>
            </w:tcBorders>
            <w:shd w:val="clear" w:color="auto" w:fill="auto"/>
            <w:noWrap/>
            <w:vAlign w:val="bottom"/>
            <w:hideMark/>
          </w:tcPr>
          <w:p w14:paraId="684B6806"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bottom w:val="nil"/>
              <w:right w:val="nil"/>
            </w:tcBorders>
            <w:shd w:val="clear" w:color="auto" w:fill="auto"/>
            <w:noWrap/>
            <w:vAlign w:val="bottom"/>
            <w:hideMark/>
          </w:tcPr>
          <w:p w14:paraId="2FE2AD42"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0.58</w:t>
            </w:r>
          </w:p>
        </w:tc>
        <w:tc>
          <w:tcPr>
            <w:tcW w:w="1771" w:type="dxa"/>
            <w:tcBorders>
              <w:top w:val="nil"/>
              <w:left w:val="nil"/>
              <w:bottom w:val="nil"/>
              <w:right w:val="nil"/>
            </w:tcBorders>
            <w:shd w:val="clear" w:color="auto" w:fill="auto"/>
            <w:noWrap/>
            <w:vAlign w:val="bottom"/>
            <w:hideMark/>
          </w:tcPr>
          <w:p w14:paraId="261D9937" w14:textId="77777777" w:rsidR="0055432C" w:rsidRPr="00E6476E" w:rsidRDefault="0055432C" w:rsidP="006A6AFB">
            <w:pPr>
              <w:tabs>
                <w:tab w:val="decimal" w:pos="720"/>
              </w:tabs>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0.19</w:t>
            </w:r>
          </w:p>
        </w:tc>
      </w:tr>
      <w:tr w:rsidR="006A6AFB" w:rsidRPr="00E6476E" w14:paraId="5686F307" w14:textId="77777777" w:rsidTr="006A6AFB">
        <w:trPr>
          <w:trHeight w:val="260"/>
        </w:trPr>
        <w:tc>
          <w:tcPr>
            <w:tcW w:w="1139" w:type="dxa"/>
            <w:tcBorders>
              <w:top w:val="nil"/>
              <w:left w:val="nil"/>
              <w:right w:val="nil"/>
            </w:tcBorders>
            <w:shd w:val="clear" w:color="auto" w:fill="auto"/>
            <w:noWrap/>
            <w:vAlign w:val="bottom"/>
            <w:hideMark/>
          </w:tcPr>
          <w:p w14:paraId="7F248078"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p>
        </w:tc>
        <w:tc>
          <w:tcPr>
            <w:tcW w:w="1140" w:type="dxa"/>
            <w:tcBorders>
              <w:top w:val="nil"/>
              <w:left w:val="nil"/>
              <w:right w:val="nil"/>
            </w:tcBorders>
            <w:shd w:val="clear" w:color="auto" w:fill="auto"/>
            <w:noWrap/>
            <w:vAlign w:val="bottom"/>
            <w:hideMark/>
          </w:tcPr>
          <w:p w14:paraId="36617C2C"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right w:val="nil"/>
            </w:tcBorders>
            <w:shd w:val="clear" w:color="auto" w:fill="auto"/>
            <w:noWrap/>
            <w:vAlign w:val="bottom"/>
            <w:hideMark/>
          </w:tcPr>
          <w:p w14:paraId="54E57222"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Math B70</w:t>
            </w:r>
          </w:p>
        </w:tc>
        <w:tc>
          <w:tcPr>
            <w:tcW w:w="1356" w:type="dxa"/>
            <w:tcBorders>
              <w:top w:val="nil"/>
              <w:left w:val="nil"/>
              <w:right w:val="nil"/>
            </w:tcBorders>
            <w:shd w:val="clear" w:color="auto" w:fill="auto"/>
            <w:noWrap/>
            <w:vAlign w:val="bottom"/>
            <w:hideMark/>
          </w:tcPr>
          <w:p w14:paraId="01586D81"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 xml:space="preserve">Successful </w:t>
            </w:r>
          </w:p>
        </w:tc>
        <w:tc>
          <w:tcPr>
            <w:tcW w:w="2006" w:type="dxa"/>
            <w:tcBorders>
              <w:top w:val="nil"/>
              <w:left w:val="nil"/>
              <w:right w:val="nil"/>
            </w:tcBorders>
            <w:shd w:val="clear" w:color="auto" w:fill="auto"/>
            <w:noWrap/>
            <w:vAlign w:val="bottom"/>
            <w:hideMark/>
          </w:tcPr>
          <w:p w14:paraId="386D9799" w14:textId="77777777" w:rsidR="0055432C" w:rsidRPr="00E6476E" w:rsidRDefault="0055432C" w:rsidP="0055432C">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Psyc B5</w:t>
            </w:r>
          </w:p>
        </w:tc>
        <w:tc>
          <w:tcPr>
            <w:tcW w:w="1771" w:type="dxa"/>
            <w:tcBorders>
              <w:top w:val="nil"/>
              <w:left w:val="nil"/>
              <w:right w:val="nil"/>
            </w:tcBorders>
            <w:shd w:val="clear" w:color="auto" w:fill="auto"/>
            <w:noWrap/>
            <w:vAlign w:val="bottom"/>
            <w:hideMark/>
          </w:tcPr>
          <w:p w14:paraId="5F5DA917"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right w:val="nil"/>
            </w:tcBorders>
            <w:shd w:val="clear" w:color="auto" w:fill="auto"/>
            <w:noWrap/>
            <w:vAlign w:val="bottom"/>
            <w:hideMark/>
          </w:tcPr>
          <w:p w14:paraId="272CBADD"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H</w:t>
            </w:r>
          </w:p>
        </w:tc>
        <w:tc>
          <w:tcPr>
            <w:tcW w:w="1771" w:type="dxa"/>
            <w:tcBorders>
              <w:top w:val="nil"/>
              <w:left w:val="nil"/>
              <w:right w:val="nil"/>
            </w:tcBorders>
            <w:shd w:val="clear" w:color="auto" w:fill="auto"/>
            <w:noWrap/>
            <w:vAlign w:val="bottom"/>
            <w:hideMark/>
          </w:tcPr>
          <w:p w14:paraId="7A096C26" w14:textId="77777777" w:rsidR="0055432C" w:rsidRPr="00E6476E" w:rsidRDefault="0055432C" w:rsidP="00A8136D">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w:t>
            </w:r>
          </w:p>
        </w:tc>
      </w:tr>
      <w:tr w:rsidR="006A6AFB" w:rsidRPr="00E6476E" w14:paraId="4C280B1A" w14:textId="77777777" w:rsidTr="00D334A5">
        <w:trPr>
          <w:trHeight w:val="260"/>
        </w:trPr>
        <w:tc>
          <w:tcPr>
            <w:tcW w:w="1139" w:type="dxa"/>
            <w:tcBorders>
              <w:top w:val="nil"/>
              <w:left w:val="nil"/>
              <w:bottom w:val="nil"/>
              <w:right w:val="nil"/>
            </w:tcBorders>
            <w:shd w:val="clear" w:color="auto" w:fill="auto"/>
            <w:noWrap/>
            <w:vAlign w:val="bottom"/>
            <w:hideMark/>
          </w:tcPr>
          <w:p w14:paraId="12262BE3" w14:textId="77777777" w:rsidR="0055432C" w:rsidRPr="00E6476E" w:rsidRDefault="0055432C" w:rsidP="0055432C">
            <w:pPr>
              <w:spacing w:after="0" w:line="240" w:lineRule="auto"/>
              <w:jc w:val="center"/>
              <w:rPr>
                <w:rFonts w:ascii="Times New Roman" w:eastAsia="Times New Roman" w:hAnsi="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14:paraId="5D6E5CDC" w14:textId="77777777" w:rsidR="0055432C" w:rsidRPr="00E6476E" w:rsidRDefault="0055432C"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6DED4301"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1356" w:type="dxa"/>
            <w:tcBorders>
              <w:top w:val="nil"/>
              <w:left w:val="nil"/>
              <w:bottom w:val="nil"/>
              <w:right w:val="nil"/>
            </w:tcBorders>
            <w:shd w:val="clear" w:color="auto" w:fill="auto"/>
            <w:noWrap/>
            <w:vAlign w:val="bottom"/>
            <w:hideMark/>
          </w:tcPr>
          <w:p w14:paraId="42306A76" w14:textId="77777777" w:rsidR="0055432C" w:rsidRPr="00E6476E" w:rsidRDefault="0055432C" w:rsidP="0055432C">
            <w:pPr>
              <w:spacing w:after="0" w:line="240" w:lineRule="auto"/>
              <w:rPr>
                <w:rFonts w:ascii="Times New Roman" w:eastAsia="Times New Roman" w:hAnsi="Times New Roman" w:cs="Times New Roman"/>
                <w:sz w:val="16"/>
                <w:szCs w:val="16"/>
              </w:rPr>
            </w:pPr>
          </w:p>
        </w:tc>
        <w:tc>
          <w:tcPr>
            <w:tcW w:w="2006" w:type="dxa"/>
            <w:tcBorders>
              <w:top w:val="nil"/>
              <w:left w:val="nil"/>
              <w:bottom w:val="nil"/>
              <w:right w:val="nil"/>
            </w:tcBorders>
            <w:shd w:val="clear" w:color="auto" w:fill="auto"/>
            <w:noWrap/>
            <w:vAlign w:val="bottom"/>
            <w:hideMark/>
          </w:tcPr>
          <w:p w14:paraId="5670F653" w14:textId="773D54A6" w:rsidR="0055432C" w:rsidRPr="00E6476E" w:rsidRDefault="00AA2614" w:rsidP="00AA2614">
            <w:pPr>
              <w:spacing w:after="0" w:line="240" w:lineRule="auto"/>
              <w:jc w:val="right"/>
              <w:rPr>
                <w:rFonts w:ascii="Times New Roman" w:eastAsia="Times New Roman" w:hAnsi="Times New Roman" w:cs="Times New Roman"/>
                <w:sz w:val="16"/>
                <w:szCs w:val="16"/>
              </w:rPr>
            </w:pPr>
            <w:r w:rsidRPr="00E6476E">
              <w:rPr>
                <w:rFonts w:ascii="Times New Roman" w:eastAsia="Times New Roman" w:hAnsi="Times New Roman" w:cs="Times New Roman"/>
                <w:b/>
                <w:sz w:val="16"/>
                <w:szCs w:val="16"/>
              </w:rPr>
              <w:t>N</w:t>
            </w:r>
          </w:p>
        </w:tc>
        <w:tc>
          <w:tcPr>
            <w:tcW w:w="1771" w:type="dxa"/>
            <w:tcBorders>
              <w:top w:val="nil"/>
              <w:left w:val="nil"/>
              <w:bottom w:val="nil"/>
              <w:right w:val="nil"/>
            </w:tcBorders>
            <w:shd w:val="clear" w:color="auto" w:fill="auto"/>
            <w:noWrap/>
            <w:vAlign w:val="bottom"/>
            <w:hideMark/>
          </w:tcPr>
          <w:p w14:paraId="46A6B69A" w14:textId="77777777"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162</w:t>
            </w:r>
          </w:p>
        </w:tc>
        <w:tc>
          <w:tcPr>
            <w:tcW w:w="1771" w:type="dxa"/>
            <w:tcBorders>
              <w:top w:val="nil"/>
              <w:left w:val="nil"/>
              <w:bottom w:val="nil"/>
              <w:right w:val="nil"/>
            </w:tcBorders>
            <w:shd w:val="clear" w:color="auto" w:fill="auto"/>
            <w:noWrap/>
            <w:vAlign w:val="bottom"/>
            <w:hideMark/>
          </w:tcPr>
          <w:p w14:paraId="04B813BB" w14:textId="77777777"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202</w:t>
            </w:r>
          </w:p>
        </w:tc>
        <w:tc>
          <w:tcPr>
            <w:tcW w:w="1771" w:type="dxa"/>
            <w:tcBorders>
              <w:top w:val="nil"/>
              <w:left w:val="nil"/>
              <w:bottom w:val="nil"/>
              <w:right w:val="nil"/>
            </w:tcBorders>
            <w:shd w:val="clear" w:color="auto" w:fill="auto"/>
            <w:noWrap/>
            <w:vAlign w:val="bottom"/>
            <w:hideMark/>
          </w:tcPr>
          <w:p w14:paraId="24D9A1FC" w14:textId="77777777" w:rsidR="0055432C" w:rsidRPr="00E6476E" w:rsidRDefault="0055432C" w:rsidP="008262DF">
            <w:pPr>
              <w:spacing w:after="0" w:line="240" w:lineRule="auto"/>
              <w:jc w:val="center"/>
              <w:rPr>
                <w:rFonts w:ascii="Times New Roman" w:eastAsia="Times New Roman" w:hAnsi="Times New Roman" w:cs="Times New Roman"/>
                <w:b/>
                <w:bCs/>
                <w:color w:val="000000"/>
                <w:sz w:val="16"/>
                <w:szCs w:val="16"/>
              </w:rPr>
            </w:pPr>
            <w:r w:rsidRPr="00E6476E">
              <w:rPr>
                <w:rFonts w:ascii="Times New Roman" w:eastAsia="Times New Roman" w:hAnsi="Times New Roman" w:cs="Times New Roman"/>
                <w:b/>
                <w:bCs/>
                <w:color w:val="000000"/>
                <w:sz w:val="16"/>
                <w:szCs w:val="16"/>
              </w:rPr>
              <w:t>202</w:t>
            </w:r>
          </w:p>
        </w:tc>
      </w:tr>
      <w:tr w:rsidR="00D334A5" w:rsidRPr="00E6476E" w14:paraId="2EA74EDA" w14:textId="77777777" w:rsidTr="006A6AFB">
        <w:trPr>
          <w:trHeight w:val="260"/>
        </w:trPr>
        <w:tc>
          <w:tcPr>
            <w:tcW w:w="1139" w:type="dxa"/>
            <w:tcBorders>
              <w:top w:val="nil"/>
              <w:left w:val="nil"/>
              <w:bottom w:val="single" w:sz="4" w:space="0" w:color="auto"/>
              <w:right w:val="nil"/>
            </w:tcBorders>
            <w:shd w:val="clear" w:color="auto" w:fill="auto"/>
            <w:noWrap/>
            <w:vAlign w:val="bottom"/>
          </w:tcPr>
          <w:p w14:paraId="7E4789E5" w14:textId="77777777" w:rsidR="00D334A5" w:rsidRPr="00E6476E" w:rsidRDefault="00D334A5" w:rsidP="0055432C">
            <w:pPr>
              <w:spacing w:after="0" w:line="240" w:lineRule="auto"/>
              <w:jc w:val="center"/>
              <w:rPr>
                <w:rFonts w:ascii="Times New Roman" w:eastAsia="Times New Roman" w:hAnsi="Times New Roman" w:cs="Times New Roman"/>
                <w:color w:val="000000"/>
                <w:sz w:val="16"/>
                <w:szCs w:val="16"/>
              </w:rPr>
            </w:pPr>
          </w:p>
        </w:tc>
        <w:tc>
          <w:tcPr>
            <w:tcW w:w="1140" w:type="dxa"/>
            <w:tcBorders>
              <w:top w:val="nil"/>
              <w:left w:val="nil"/>
              <w:bottom w:val="single" w:sz="4" w:space="0" w:color="auto"/>
              <w:right w:val="nil"/>
            </w:tcBorders>
            <w:shd w:val="clear" w:color="auto" w:fill="auto"/>
            <w:noWrap/>
            <w:vAlign w:val="bottom"/>
          </w:tcPr>
          <w:p w14:paraId="19822216" w14:textId="77777777" w:rsidR="00D334A5" w:rsidRPr="00E6476E" w:rsidRDefault="00D334A5" w:rsidP="0055432C">
            <w:pPr>
              <w:spacing w:after="0" w:line="240" w:lineRule="auto"/>
              <w:jc w:val="center"/>
              <w:rPr>
                <w:rFonts w:ascii="Times New Roman" w:eastAsia="Times New Roman" w:hAnsi="Times New Roman" w:cs="Times New Roman"/>
                <w:sz w:val="16"/>
                <w:szCs w:val="16"/>
              </w:rPr>
            </w:pPr>
          </w:p>
        </w:tc>
        <w:tc>
          <w:tcPr>
            <w:tcW w:w="2006" w:type="dxa"/>
            <w:tcBorders>
              <w:top w:val="nil"/>
              <w:left w:val="nil"/>
              <w:bottom w:val="single" w:sz="4" w:space="0" w:color="auto"/>
              <w:right w:val="nil"/>
            </w:tcBorders>
            <w:shd w:val="clear" w:color="auto" w:fill="auto"/>
            <w:noWrap/>
            <w:vAlign w:val="bottom"/>
          </w:tcPr>
          <w:p w14:paraId="30625E44" w14:textId="77777777" w:rsidR="00D334A5" w:rsidRPr="00E6476E" w:rsidRDefault="00D334A5" w:rsidP="0055432C">
            <w:pPr>
              <w:spacing w:after="0" w:line="240" w:lineRule="auto"/>
              <w:rPr>
                <w:rFonts w:ascii="Times New Roman" w:eastAsia="Times New Roman" w:hAnsi="Times New Roman" w:cs="Times New Roman"/>
                <w:sz w:val="16"/>
                <w:szCs w:val="16"/>
              </w:rPr>
            </w:pPr>
          </w:p>
        </w:tc>
        <w:tc>
          <w:tcPr>
            <w:tcW w:w="1356" w:type="dxa"/>
            <w:tcBorders>
              <w:top w:val="nil"/>
              <w:left w:val="nil"/>
              <w:bottom w:val="single" w:sz="4" w:space="0" w:color="auto"/>
              <w:right w:val="nil"/>
            </w:tcBorders>
            <w:shd w:val="clear" w:color="auto" w:fill="auto"/>
            <w:noWrap/>
            <w:vAlign w:val="bottom"/>
          </w:tcPr>
          <w:p w14:paraId="48C719FD" w14:textId="77777777" w:rsidR="00D334A5" w:rsidRPr="00E6476E" w:rsidRDefault="00D334A5" w:rsidP="0055432C">
            <w:pPr>
              <w:spacing w:after="0" w:line="240" w:lineRule="auto"/>
              <w:rPr>
                <w:rFonts w:ascii="Times New Roman" w:eastAsia="Times New Roman" w:hAnsi="Times New Roman" w:cs="Times New Roman"/>
                <w:sz w:val="16"/>
                <w:szCs w:val="16"/>
              </w:rPr>
            </w:pPr>
          </w:p>
        </w:tc>
        <w:tc>
          <w:tcPr>
            <w:tcW w:w="2006" w:type="dxa"/>
            <w:tcBorders>
              <w:top w:val="nil"/>
              <w:left w:val="nil"/>
              <w:bottom w:val="single" w:sz="4" w:space="0" w:color="auto"/>
              <w:right w:val="nil"/>
            </w:tcBorders>
            <w:shd w:val="clear" w:color="auto" w:fill="auto"/>
            <w:noWrap/>
            <w:vAlign w:val="bottom"/>
          </w:tcPr>
          <w:p w14:paraId="193CDD19" w14:textId="77777777" w:rsidR="00D334A5" w:rsidRPr="00E6476E" w:rsidRDefault="00D334A5" w:rsidP="00AA2614">
            <w:pPr>
              <w:spacing w:after="0" w:line="240" w:lineRule="auto"/>
              <w:jc w:val="right"/>
              <w:rPr>
                <w:rFonts w:ascii="Times New Roman" w:eastAsia="Times New Roman" w:hAnsi="Times New Roman" w:cs="Times New Roman"/>
                <w:b/>
                <w:sz w:val="16"/>
                <w:szCs w:val="16"/>
              </w:rPr>
            </w:pPr>
          </w:p>
        </w:tc>
        <w:tc>
          <w:tcPr>
            <w:tcW w:w="1771" w:type="dxa"/>
            <w:tcBorders>
              <w:top w:val="nil"/>
              <w:left w:val="nil"/>
              <w:bottom w:val="single" w:sz="4" w:space="0" w:color="auto"/>
              <w:right w:val="nil"/>
            </w:tcBorders>
            <w:shd w:val="clear" w:color="auto" w:fill="auto"/>
            <w:noWrap/>
            <w:vAlign w:val="bottom"/>
          </w:tcPr>
          <w:p w14:paraId="4EFAC7EC" w14:textId="77777777" w:rsidR="00D334A5" w:rsidRPr="00E6476E" w:rsidRDefault="00D334A5" w:rsidP="008262DF">
            <w:pPr>
              <w:spacing w:after="0" w:line="240" w:lineRule="auto"/>
              <w:jc w:val="center"/>
              <w:rPr>
                <w:rFonts w:ascii="Times New Roman" w:eastAsia="Times New Roman" w:hAnsi="Times New Roman" w:cs="Times New Roman"/>
                <w:b/>
                <w:bCs/>
                <w:color w:val="000000"/>
                <w:sz w:val="16"/>
                <w:szCs w:val="16"/>
              </w:rPr>
            </w:pPr>
          </w:p>
        </w:tc>
        <w:tc>
          <w:tcPr>
            <w:tcW w:w="1771" w:type="dxa"/>
            <w:tcBorders>
              <w:top w:val="nil"/>
              <w:left w:val="nil"/>
              <w:bottom w:val="single" w:sz="4" w:space="0" w:color="auto"/>
              <w:right w:val="nil"/>
            </w:tcBorders>
            <w:shd w:val="clear" w:color="auto" w:fill="auto"/>
            <w:noWrap/>
            <w:vAlign w:val="bottom"/>
          </w:tcPr>
          <w:p w14:paraId="05D47949" w14:textId="77777777" w:rsidR="00D334A5" w:rsidRPr="00E6476E" w:rsidRDefault="00D334A5" w:rsidP="008262DF">
            <w:pPr>
              <w:spacing w:after="0" w:line="240" w:lineRule="auto"/>
              <w:jc w:val="center"/>
              <w:rPr>
                <w:rFonts w:ascii="Times New Roman" w:eastAsia="Times New Roman" w:hAnsi="Times New Roman" w:cs="Times New Roman"/>
                <w:b/>
                <w:bCs/>
                <w:color w:val="000000"/>
                <w:sz w:val="16"/>
                <w:szCs w:val="16"/>
              </w:rPr>
            </w:pPr>
          </w:p>
        </w:tc>
        <w:tc>
          <w:tcPr>
            <w:tcW w:w="1771" w:type="dxa"/>
            <w:tcBorders>
              <w:top w:val="nil"/>
              <w:left w:val="nil"/>
              <w:bottom w:val="single" w:sz="4" w:space="0" w:color="auto"/>
              <w:right w:val="nil"/>
            </w:tcBorders>
            <w:shd w:val="clear" w:color="auto" w:fill="auto"/>
            <w:noWrap/>
            <w:vAlign w:val="bottom"/>
          </w:tcPr>
          <w:p w14:paraId="433DA31C" w14:textId="77777777" w:rsidR="00D334A5" w:rsidRPr="00E6476E" w:rsidRDefault="00D334A5" w:rsidP="008262DF">
            <w:pPr>
              <w:spacing w:after="0" w:line="240" w:lineRule="auto"/>
              <w:jc w:val="center"/>
              <w:rPr>
                <w:rFonts w:ascii="Times New Roman" w:eastAsia="Times New Roman" w:hAnsi="Times New Roman" w:cs="Times New Roman"/>
                <w:b/>
                <w:bCs/>
                <w:color w:val="000000"/>
                <w:sz w:val="16"/>
                <w:szCs w:val="16"/>
              </w:rPr>
            </w:pPr>
          </w:p>
        </w:tc>
      </w:tr>
    </w:tbl>
    <w:p w14:paraId="608BF04D" w14:textId="114C3887" w:rsidR="0055432C" w:rsidRPr="00891F91" w:rsidRDefault="00A8136D">
      <w:pPr>
        <w:rPr>
          <w:rFonts w:ascii="Times New Roman" w:hAnsi="Times New Roman" w:cs="Times New Roman"/>
          <w:sz w:val="20"/>
          <w:szCs w:val="20"/>
        </w:rPr>
      </w:pPr>
      <w:r w:rsidRPr="00891F91">
        <w:rPr>
          <w:rFonts w:ascii="Times New Roman" w:hAnsi="Times New Roman" w:cs="Times New Roman"/>
          <w:sz w:val="20"/>
          <w:szCs w:val="20"/>
        </w:rPr>
        <w:t xml:space="preserve">Note:  </w:t>
      </w:r>
      <w:r w:rsidR="00891F91">
        <w:rPr>
          <w:rFonts w:ascii="Times New Roman" w:hAnsi="Times New Roman" w:cs="Times New Roman"/>
          <w:sz w:val="20"/>
          <w:szCs w:val="20"/>
        </w:rPr>
        <w:t xml:space="preserve">First math courses (or math pathways) marked “H” were excluded </w:t>
      </w:r>
      <w:r w:rsidR="00905417">
        <w:rPr>
          <w:rFonts w:ascii="Times New Roman" w:hAnsi="Times New Roman" w:cs="Times New Roman"/>
          <w:sz w:val="20"/>
          <w:szCs w:val="20"/>
        </w:rPr>
        <w:t xml:space="preserve">automatically </w:t>
      </w:r>
      <w:r w:rsidR="00891F91">
        <w:rPr>
          <w:rFonts w:ascii="Times New Roman" w:hAnsi="Times New Roman" w:cs="Times New Roman"/>
          <w:sz w:val="20"/>
          <w:szCs w:val="20"/>
        </w:rPr>
        <w:t xml:space="preserve">from the given regression because </w:t>
      </w:r>
      <w:r w:rsidR="00905417" w:rsidRPr="00905417">
        <w:rPr>
          <w:rFonts w:ascii="Times New Roman" w:hAnsi="Times New Roman" w:cs="Times New Roman"/>
          <w:i/>
          <w:sz w:val="20"/>
          <w:szCs w:val="20"/>
        </w:rPr>
        <w:t>all</w:t>
      </w:r>
      <w:r w:rsidR="00905417">
        <w:rPr>
          <w:rFonts w:ascii="Times New Roman" w:hAnsi="Times New Roman" w:cs="Times New Roman"/>
          <w:sz w:val="20"/>
          <w:szCs w:val="20"/>
        </w:rPr>
        <w:t xml:space="preserve"> of the </w:t>
      </w:r>
      <w:r w:rsidR="00891F91">
        <w:rPr>
          <w:rFonts w:ascii="Times New Roman" w:hAnsi="Times New Roman" w:cs="Times New Roman"/>
          <w:sz w:val="20"/>
          <w:szCs w:val="20"/>
        </w:rPr>
        <w:t xml:space="preserve">students </w:t>
      </w:r>
      <w:r w:rsidR="00905417">
        <w:rPr>
          <w:rFonts w:ascii="Times New Roman" w:hAnsi="Times New Roman" w:cs="Times New Roman"/>
          <w:sz w:val="20"/>
          <w:szCs w:val="20"/>
        </w:rPr>
        <w:t xml:space="preserve">in that course for that subsample achieved the specified outcome.  Conversely, first math courses (or math pathways) marked “L” were excluded automatically from the given regression because </w:t>
      </w:r>
      <w:r w:rsidR="00905417" w:rsidRPr="00905417">
        <w:rPr>
          <w:rFonts w:ascii="Times New Roman" w:hAnsi="Times New Roman" w:cs="Times New Roman"/>
          <w:i/>
          <w:sz w:val="20"/>
          <w:szCs w:val="20"/>
        </w:rPr>
        <w:t>none</w:t>
      </w:r>
      <w:r w:rsidR="00905417">
        <w:rPr>
          <w:rFonts w:ascii="Times New Roman" w:hAnsi="Times New Roman" w:cs="Times New Roman"/>
          <w:sz w:val="20"/>
          <w:szCs w:val="20"/>
        </w:rPr>
        <w:t xml:space="preserve"> of the students in that course for that subsample achieved the specified outcome.  </w:t>
      </w:r>
    </w:p>
    <w:p w14:paraId="3369E08F" w14:textId="77777777" w:rsidR="0055432C" w:rsidRDefault="0055432C">
      <w:pPr>
        <w:rPr>
          <w:rFonts w:ascii="Times New Roman" w:hAnsi="Times New Roman" w:cs="Times New Roman"/>
          <w:sz w:val="24"/>
          <w:szCs w:val="24"/>
        </w:rPr>
      </w:pPr>
    </w:p>
    <w:p w14:paraId="658EE67C" w14:textId="77777777" w:rsidR="00655DAE" w:rsidRDefault="00655DAE">
      <w:pPr>
        <w:rPr>
          <w:rFonts w:ascii="Times New Roman" w:hAnsi="Times New Roman" w:cs="Times New Roman"/>
          <w:sz w:val="24"/>
          <w:szCs w:val="24"/>
        </w:rPr>
      </w:pPr>
      <w:r>
        <w:rPr>
          <w:rFonts w:ascii="Times New Roman" w:hAnsi="Times New Roman" w:cs="Times New Roman"/>
          <w:sz w:val="24"/>
          <w:szCs w:val="24"/>
        </w:rPr>
        <w:br w:type="page"/>
      </w:r>
    </w:p>
    <w:p w14:paraId="5F14C2F4" w14:textId="486F38D4" w:rsidR="00D21031" w:rsidRPr="001334BF" w:rsidRDefault="00D21031" w:rsidP="00D21031">
      <w:pPr>
        <w:spacing w:after="0" w:line="240" w:lineRule="auto"/>
        <w:rPr>
          <w:rFonts w:ascii="Times New Roman" w:hAnsi="Times New Roman" w:cs="Times New Roman"/>
          <w:sz w:val="24"/>
          <w:szCs w:val="24"/>
        </w:rPr>
      </w:pPr>
      <w:r w:rsidRPr="001334BF">
        <w:rPr>
          <w:rFonts w:ascii="Times New Roman" w:hAnsi="Times New Roman" w:cs="Times New Roman"/>
          <w:sz w:val="24"/>
          <w:szCs w:val="24"/>
        </w:rPr>
        <w:lastRenderedPageBreak/>
        <w:t xml:space="preserve">Table </w:t>
      </w:r>
      <w:r w:rsidR="00191BF2">
        <w:rPr>
          <w:rFonts w:ascii="Times New Roman" w:hAnsi="Times New Roman" w:cs="Times New Roman"/>
          <w:sz w:val="24"/>
          <w:szCs w:val="24"/>
        </w:rPr>
        <w:t>9</w:t>
      </w:r>
      <w:r w:rsidRPr="001334BF">
        <w:rPr>
          <w:rFonts w:ascii="Times New Roman" w:hAnsi="Times New Roman" w:cs="Times New Roman"/>
          <w:sz w:val="24"/>
          <w:szCs w:val="24"/>
        </w:rPr>
        <w:t>:  Selected course-taking behaviors</w:t>
      </w:r>
      <w:r w:rsidR="001672FF">
        <w:rPr>
          <w:rFonts w:ascii="Times New Roman" w:hAnsi="Times New Roman" w:cs="Times New Roman"/>
          <w:sz w:val="24"/>
          <w:szCs w:val="24"/>
        </w:rPr>
        <w:t xml:space="preserve"> and outcomes</w:t>
      </w:r>
      <w:r w:rsidRPr="001334BF">
        <w:rPr>
          <w:rFonts w:ascii="Times New Roman" w:hAnsi="Times New Roman" w:cs="Times New Roman"/>
          <w:sz w:val="24"/>
          <w:szCs w:val="24"/>
        </w:rPr>
        <w:t xml:space="preserve"> by first </w:t>
      </w:r>
      <w:r>
        <w:rPr>
          <w:rFonts w:ascii="Times New Roman" w:hAnsi="Times New Roman" w:cs="Times New Roman"/>
          <w:sz w:val="24"/>
          <w:szCs w:val="24"/>
        </w:rPr>
        <w:t>English</w:t>
      </w:r>
      <w:r w:rsidRPr="001334BF">
        <w:rPr>
          <w:rFonts w:ascii="Times New Roman" w:hAnsi="Times New Roman" w:cs="Times New Roman"/>
          <w:sz w:val="24"/>
          <w:szCs w:val="24"/>
        </w:rPr>
        <w:t xml:space="preserve"> course attempted</w:t>
      </w:r>
    </w:p>
    <w:p w14:paraId="317BC5C9" w14:textId="77777777" w:rsidR="00D21031" w:rsidRDefault="00D21031" w:rsidP="00347697">
      <w:pPr>
        <w:spacing w:after="0" w:line="240" w:lineRule="auto"/>
        <w:rPr>
          <w:rFonts w:ascii="Times New Roman" w:hAnsi="Times New Roman" w:cs="Times New Roman"/>
          <w:sz w:val="24"/>
          <w:szCs w:val="24"/>
        </w:rPr>
      </w:pPr>
    </w:p>
    <w:tbl>
      <w:tblPr>
        <w:tblW w:w="12960" w:type="dxa"/>
        <w:tblCellMar>
          <w:left w:w="115" w:type="dxa"/>
          <w:right w:w="115" w:type="dxa"/>
        </w:tblCellMar>
        <w:tblLook w:val="04A0" w:firstRow="1" w:lastRow="0" w:firstColumn="1" w:lastColumn="0" w:noHBand="0" w:noVBand="1"/>
      </w:tblPr>
      <w:tblGrid>
        <w:gridCol w:w="2270"/>
        <w:gridCol w:w="2138"/>
        <w:gridCol w:w="2138"/>
        <w:gridCol w:w="2138"/>
        <w:gridCol w:w="2138"/>
        <w:gridCol w:w="2138"/>
      </w:tblGrid>
      <w:tr w:rsidR="00050B55" w:rsidRPr="00E6476E" w14:paraId="0432AEA4" w14:textId="77777777" w:rsidTr="00666F7F">
        <w:trPr>
          <w:trHeight w:val="255"/>
        </w:trPr>
        <w:tc>
          <w:tcPr>
            <w:tcW w:w="2448" w:type="dxa"/>
            <w:tcBorders>
              <w:top w:val="single" w:sz="4" w:space="0" w:color="auto"/>
              <w:left w:val="nil"/>
              <w:right w:val="nil"/>
            </w:tcBorders>
            <w:shd w:val="clear" w:color="auto" w:fill="auto"/>
            <w:noWrap/>
            <w:vAlign w:val="bottom"/>
          </w:tcPr>
          <w:p w14:paraId="1BF9FD05" w14:textId="77777777" w:rsidR="00050B55" w:rsidRPr="00E6476E" w:rsidRDefault="00050B55" w:rsidP="00050B55">
            <w:pPr>
              <w:spacing w:after="0" w:line="240" w:lineRule="auto"/>
              <w:jc w:val="right"/>
              <w:rPr>
                <w:rFonts w:ascii="Times New Roman" w:eastAsia="Times New Roman" w:hAnsi="Times New Roman" w:cs="Times New Roman"/>
                <w:color w:val="000000"/>
                <w:sz w:val="20"/>
                <w:szCs w:val="20"/>
              </w:rPr>
            </w:pPr>
          </w:p>
        </w:tc>
        <w:tc>
          <w:tcPr>
            <w:tcW w:w="2304" w:type="dxa"/>
            <w:tcBorders>
              <w:top w:val="single" w:sz="4" w:space="0" w:color="auto"/>
              <w:left w:val="nil"/>
              <w:bottom w:val="nil"/>
              <w:right w:val="nil"/>
            </w:tcBorders>
            <w:shd w:val="clear" w:color="auto" w:fill="auto"/>
            <w:noWrap/>
            <w:vAlign w:val="bottom"/>
          </w:tcPr>
          <w:p w14:paraId="606C60F0" w14:textId="6938B53F" w:rsidR="00050B55" w:rsidRPr="00E6476E" w:rsidRDefault="00050B55" w:rsidP="00347697">
            <w:pPr>
              <w:spacing w:after="0" w:line="240" w:lineRule="auto"/>
              <w:jc w:val="center"/>
              <w:rPr>
                <w:rFonts w:ascii="Times New Roman" w:eastAsia="Times New Roman" w:hAnsi="Times New Roman" w:cs="Times New Roman"/>
                <w:color w:val="000000"/>
                <w:sz w:val="20"/>
                <w:szCs w:val="20"/>
              </w:rPr>
            </w:pPr>
            <w:r w:rsidRPr="00E6476E">
              <w:rPr>
                <w:rFonts w:ascii="Times New Roman" w:eastAsia="Times New Roman" w:hAnsi="Times New Roman" w:cs="Times New Roman"/>
                <w:i/>
                <w:color w:val="000000"/>
                <w:sz w:val="20"/>
                <w:szCs w:val="20"/>
              </w:rPr>
              <w:t>N</w:t>
            </w:r>
          </w:p>
        </w:tc>
        <w:tc>
          <w:tcPr>
            <w:tcW w:w="2304" w:type="dxa"/>
            <w:tcBorders>
              <w:top w:val="single" w:sz="4" w:space="0" w:color="auto"/>
              <w:left w:val="nil"/>
              <w:bottom w:val="nil"/>
              <w:right w:val="nil"/>
            </w:tcBorders>
            <w:shd w:val="clear" w:color="auto" w:fill="auto"/>
            <w:noWrap/>
            <w:vAlign w:val="bottom"/>
          </w:tcPr>
          <w:p w14:paraId="38CFB2E7" w14:textId="63E80C23" w:rsidR="00050B55" w:rsidRPr="00E6476E" w:rsidRDefault="00050B55" w:rsidP="00347697">
            <w:pPr>
              <w:spacing w:after="0" w:line="240" w:lineRule="auto"/>
              <w:jc w:val="center"/>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 delayed first English</w:t>
            </w:r>
          </w:p>
        </w:tc>
        <w:tc>
          <w:tcPr>
            <w:tcW w:w="2304" w:type="dxa"/>
            <w:tcBorders>
              <w:top w:val="single" w:sz="4" w:space="0" w:color="auto"/>
              <w:left w:val="nil"/>
              <w:bottom w:val="nil"/>
              <w:right w:val="nil"/>
            </w:tcBorders>
            <w:shd w:val="clear" w:color="auto" w:fill="auto"/>
            <w:noWrap/>
            <w:vAlign w:val="bottom"/>
          </w:tcPr>
          <w:p w14:paraId="130F07FC" w14:textId="4BD0DB5D" w:rsidR="00050B55" w:rsidRPr="00E6476E" w:rsidRDefault="00050B55" w:rsidP="00347697">
            <w:pPr>
              <w:spacing w:after="0" w:line="240" w:lineRule="auto"/>
              <w:jc w:val="center"/>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average number of terms from college entry to first English</w:t>
            </w:r>
          </w:p>
        </w:tc>
        <w:tc>
          <w:tcPr>
            <w:tcW w:w="2304" w:type="dxa"/>
            <w:tcBorders>
              <w:top w:val="single" w:sz="4" w:space="0" w:color="auto"/>
              <w:left w:val="nil"/>
              <w:bottom w:val="nil"/>
              <w:right w:val="nil"/>
            </w:tcBorders>
            <w:shd w:val="clear" w:color="auto" w:fill="auto"/>
            <w:noWrap/>
            <w:vAlign w:val="bottom"/>
          </w:tcPr>
          <w:p w14:paraId="1E8E7F0E" w14:textId="77777777" w:rsidR="00050B55" w:rsidRPr="00E6476E" w:rsidRDefault="00050B55" w:rsidP="00347697">
            <w:pPr>
              <w:spacing w:after="0" w:line="240" w:lineRule="auto"/>
              <w:jc w:val="center"/>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 successful in first English</w:t>
            </w:r>
          </w:p>
          <w:p w14:paraId="42B20DA3" w14:textId="5BAD109B" w:rsidR="00050B55" w:rsidRPr="00E6476E" w:rsidRDefault="00050B55" w:rsidP="00347697">
            <w:pPr>
              <w:spacing w:after="0" w:line="240" w:lineRule="auto"/>
              <w:jc w:val="center"/>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(first attempt)</w:t>
            </w:r>
          </w:p>
        </w:tc>
        <w:tc>
          <w:tcPr>
            <w:tcW w:w="2304" w:type="dxa"/>
            <w:tcBorders>
              <w:top w:val="single" w:sz="4" w:space="0" w:color="auto"/>
              <w:left w:val="nil"/>
              <w:bottom w:val="nil"/>
              <w:right w:val="nil"/>
            </w:tcBorders>
            <w:shd w:val="clear" w:color="auto" w:fill="auto"/>
            <w:noWrap/>
            <w:vAlign w:val="bottom"/>
          </w:tcPr>
          <w:p w14:paraId="43C1FDCE" w14:textId="608FDE0D" w:rsidR="00050B55" w:rsidRPr="00E6476E" w:rsidRDefault="00050B55" w:rsidP="00BD7A29">
            <w:pPr>
              <w:spacing w:after="0" w:line="240" w:lineRule="auto"/>
              <w:jc w:val="center"/>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 xml:space="preserve">% </w:t>
            </w:r>
            <w:r w:rsidR="00BD7A29">
              <w:rPr>
                <w:rFonts w:ascii="Times New Roman" w:eastAsia="Times New Roman" w:hAnsi="Times New Roman" w:cs="Times New Roman"/>
                <w:color w:val="000000"/>
                <w:sz w:val="20"/>
                <w:szCs w:val="20"/>
              </w:rPr>
              <w:t>achieved</w:t>
            </w:r>
            <w:r w:rsidR="00BD7A29" w:rsidRPr="00E6476E">
              <w:rPr>
                <w:rFonts w:ascii="Times New Roman" w:eastAsia="Times New Roman" w:hAnsi="Times New Roman" w:cs="Times New Roman"/>
                <w:color w:val="000000"/>
                <w:sz w:val="20"/>
                <w:szCs w:val="20"/>
              </w:rPr>
              <w:t xml:space="preserve"> </w:t>
            </w:r>
            <w:r w:rsidRPr="00E6476E">
              <w:rPr>
                <w:rFonts w:ascii="Times New Roman" w:eastAsia="Times New Roman" w:hAnsi="Times New Roman" w:cs="Times New Roman"/>
                <w:color w:val="000000"/>
                <w:sz w:val="20"/>
                <w:szCs w:val="20"/>
              </w:rPr>
              <w:t xml:space="preserve">transfer-level English </w:t>
            </w:r>
            <w:r w:rsidR="00BD7A29">
              <w:rPr>
                <w:rFonts w:ascii="Times New Roman" w:eastAsia="Times New Roman" w:hAnsi="Times New Roman" w:cs="Times New Roman"/>
                <w:color w:val="000000"/>
                <w:sz w:val="20"/>
                <w:szCs w:val="20"/>
              </w:rPr>
              <w:t>competency</w:t>
            </w:r>
          </w:p>
        </w:tc>
      </w:tr>
      <w:tr w:rsidR="00666F7F" w:rsidRPr="00E6476E" w14:paraId="6438B964" w14:textId="77777777" w:rsidTr="00666F7F">
        <w:trPr>
          <w:trHeight w:val="255"/>
        </w:trPr>
        <w:tc>
          <w:tcPr>
            <w:tcW w:w="2448" w:type="dxa"/>
            <w:tcBorders>
              <w:left w:val="nil"/>
              <w:right w:val="nil"/>
            </w:tcBorders>
            <w:shd w:val="clear" w:color="auto" w:fill="auto"/>
            <w:noWrap/>
            <w:vAlign w:val="bottom"/>
          </w:tcPr>
          <w:p w14:paraId="0CE8DE0D" w14:textId="77777777" w:rsidR="00666F7F" w:rsidRPr="00E6476E" w:rsidRDefault="00666F7F" w:rsidP="00A743E0">
            <w:pPr>
              <w:spacing w:after="0" w:line="240" w:lineRule="auto"/>
              <w:jc w:val="right"/>
              <w:rPr>
                <w:rFonts w:ascii="Times New Roman" w:eastAsia="Times New Roman" w:hAnsi="Times New Roman" w:cs="Times New Roman"/>
                <w:color w:val="000000"/>
                <w:sz w:val="20"/>
                <w:szCs w:val="20"/>
              </w:rPr>
            </w:pPr>
          </w:p>
        </w:tc>
        <w:tc>
          <w:tcPr>
            <w:tcW w:w="2304" w:type="dxa"/>
            <w:tcBorders>
              <w:top w:val="single" w:sz="4" w:space="0" w:color="auto"/>
              <w:left w:val="nil"/>
              <w:right w:val="nil"/>
            </w:tcBorders>
            <w:shd w:val="clear" w:color="auto" w:fill="auto"/>
            <w:noWrap/>
            <w:vAlign w:val="bottom"/>
          </w:tcPr>
          <w:p w14:paraId="5C9B5E7B" w14:textId="77777777" w:rsidR="00666F7F" w:rsidRPr="00E6476E" w:rsidRDefault="00666F7F" w:rsidP="00A743E0">
            <w:pPr>
              <w:tabs>
                <w:tab w:val="decimal" w:pos="1235"/>
              </w:tabs>
              <w:spacing w:after="0" w:line="240" w:lineRule="auto"/>
              <w:rPr>
                <w:rFonts w:ascii="Times New Roman" w:hAnsi="Times New Roman" w:cs="Times New Roman"/>
                <w:color w:val="000000"/>
                <w:sz w:val="20"/>
                <w:szCs w:val="20"/>
              </w:rPr>
            </w:pPr>
          </w:p>
        </w:tc>
        <w:tc>
          <w:tcPr>
            <w:tcW w:w="2304" w:type="dxa"/>
            <w:tcBorders>
              <w:top w:val="single" w:sz="4" w:space="0" w:color="auto"/>
              <w:left w:val="nil"/>
              <w:right w:val="nil"/>
            </w:tcBorders>
            <w:shd w:val="clear" w:color="auto" w:fill="auto"/>
            <w:noWrap/>
            <w:vAlign w:val="bottom"/>
          </w:tcPr>
          <w:p w14:paraId="4F8472A5" w14:textId="77777777" w:rsidR="00666F7F" w:rsidRPr="00E6476E" w:rsidRDefault="00666F7F" w:rsidP="00A743E0">
            <w:pPr>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nil"/>
              <w:right w:val="nil"/>
            </w:tcBorders>
            <w:shd w:val="clear" w:color="auto" w:fill="auto"/>
            <w:noWrap/>
            <w:vAlign w:val="bottom"/>
          </w:tcPr>
          <w:p w14:paraId="272EF53E" w14:textId="77777777" w:rsidR="00666F7F" w:rsidRPr="00E6476E" w:rsidRDefault="00666F7F" w:rsidP="00A743E0">
            <w:pPr>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nil"/>
              <w:right w:val="nil"/>
            </w:tcBorders>
            <w:shd w:val="clear" w:color="auto" w:fill="auto"/>
            <w:noWrap/>
            <w:vAlign w:val="bottom"/>
          </w:tcPr>
          <w:p w14:paraId="4F830212" w14:textId="77777777" w:rsidR="00666F7F" w:rsidRPr="00E6476E" w:rsidRDefault="00666F7F" w:rsidP="00A743E0">
            <w:pPr>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nil"/>
              <w:right w:val="nil"/>
            </w:tcBorders>
            <w:shd w:val="clear" w:color="auto" w:fill="auto"/>
            <w:noWrap/>
            <w:vAlign w:val="bottom"/>
          </w:tcPr>
          <w:p w14:paraId="6FF34F5E" w14:textId="77777777" w:rsidR="00666F7F" w:rsidRPr="00E6476E" w:rsidRDefault="00666F7F" w:rsidP="00A743E0">
            <w:pPr>
              <w:spacing w:after="0" w:line="240" w:lineRule="auto"/>
              <w:jc w:val="center"/>
              <w:rPr>
                <w:rFonts w:ascii="Times New Roman" w:hAnsi="Times New Roman" w:cs="Times New Roman"/>
                <w:color w:val="000000"/>
                <w:sz w:val="20"/>
                <w:szCs w:val="20"/>
              </w:rPr>
            </w:pPr>
          </w:p>
        </w:tc>
      </w:tr>
      <w:tr w:rsidR="00A743E0" w:rsidRPr="00E6476E" w14:paraId="61DFB9EB" w14:textId="77777777" w:rsidTr="00666F7F">
        <w:trPr>
          <w:trHeight w:val="255"/>
        </w:trPr>
        <w:tc>
          <w:tcPr>
            <w:tcW w:w="2448" w:type="dxa"/>
            <w:tcBorders>
              <w:left w:val="nil"/>
              <w:bottom w:val="nil"/>
              <w:right w:val="nil"/>
            </w:tcBorders>
            <w:shd w:val="clear" w:color="auto" w:fill="auto"/>
            <w:noWrap/>
            <w:vAlign w:val="bottom"/>
            <w:hideMark/>
          </w:tcPr>
          <w:p w14:paraId="5BB9E3BB" w14:textId="1DB533E6" w:rsidR="00A743E0" w:rsidRPr="00E6476E" w:rsidRDefault="00A743E0" w:rsidP="00A743E0">
            <w:pPr>
              <w:spacing w:after="0" w:line="240" w:lineRule="auto"/>
              <w:jc w:val="right"/>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ACDV B80</w:t>
            </w:r>
          </w:p>
        </w:tc>
        <w:tc>
          <w:tcPr>
            <w:tcW w:w="2304" w:type="dxa"/>
            <w:tcBorders>
              <w:left w:val="nil"/>
              <w:bottom w:val="nil"/>
              <w:right w:val="nil"/>
            </w:tcBorders>
            <w:shd w:val="clear" w:color="auto" w:fill="auto"/>
            <w:noWrap/>
            <w:vAlign w:val="bottom"/>
            <w:hideMark/>
          </w:tcPr>
          <w:p w14:paraId="05627652" w14:textId="273401E0" w:rsidR="00A743E0" w:rsidRPr="00E6476E" w:rsidRDefault="00A743E0" w:rsidP="00A743E0">
            <w:pPr>
              <w:tabs>
                <w:tab w:val="decimal" w:pos="1235"/>
              </w:tabs>
              <w:spacing w:after="0" w:line="240" w:lineRule="auto"/>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147</w:t>
            </w:r>
          </w:p>
        </w:tc>
        <w:tc>
          <w:tcPr>
            <w:tcW w:w="2304" w:type="dxa"/>
            <w:tcBorders>
              <w:left w:val="nil"/>
              <w:bottom w:val="nil"/>
              <w:right w:val="nil"/>
            </w:tcBorders>
            <w:shd w:val="clear" w:color="auto" w:fill="auto"/>
            <w:noWrap/>
            <w:vAlign w:val="bottom"/>
            <w:hideMark/>
          </w:tcPr>
          <w:p w14:paraId="2D61E528" w14:textId="64A9DAF4"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36%</w:t>
            </w:r>
          </w:p>
        </w:tc>
        <w:tc>
          <w:tcPr>
            <w:tcW w:w="2304" w:type="dxa"/>
            <w:tcBorders>
              <w:left w:val="nil"/>
              <w:bottom w:val="nil"/>
              <w:right w:val="nil"/>
            </w:tcBorders>
            <w:shd w:val="clear" w:color="auto" w:fill="auto"/>
            <w:noWrap/>
            <w:vAlign w:val="bottom"/>
            <w:hideMark/>
          </w:tcPr>
          <w:p w14:paraId="1FA1004E" w14:textId="6AEB6083"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0.8</w:t>
            </w:r>
          </w:p>
        </w:tc>
        <w:tc>
          <w:tcPr>
            <w:tcW w:w="2304" w:type="dxa"/>
            <w:tcBorders>
              <w:left w:val="nil"/>
              <w:bottom w:val="nil"/>
              <w:right w:val="nil"/>
            </w:tcBorders>
            <w:shd w:val="clear" w:color="auto" w:fill="auto"/>
            <w:noWrap/>
            <w:vAlign w:val="bottom"/>
            <w:hideMark/>
          </w:tcPr>
          <w:p w14:paraId="7E9582D4" w14:textId="242496BE"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39%</w:t>
            </w:r>
          </w:p>
        </w:tc>
        <w:tc>
          <w:tcPr>
            <w:tcW w:w="2304" w:type="dxa"/>
            <w:tcBorders>
              <w:left w:val="nil"/>
              <w:bottom w:val="nil"/>
              <w:right w:val="nil"/>
            </w:tcBorders>
            <w:shd w:val="clear" w:color="auto" w:fill="auto"/>
            <w:noWrap/>
            <w:vAlign w:val="bottom"/>
            <w:hideMark/>
          </w:tcPr>
          <w:p w14:paraId="48C8FEB1" w14:textId="6608C028"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7%</w:t>
            </w:r>
          </w:p>
        </w:tc>
      </w:tr>
      <w:tr w:rsidR="00A743E0" w:rsidRPr="00E6476E" w14:paraId="11FEA81A" w14:textId="77777777" w:rsidTr="00666F7F">
        <w:trPr>
          <w:trHeight w:val="255"/>
        </w:trPr>
        <w:tc>
          <w:tcPr>
            <w:tcW w:w="2448" w:type="dxa"/>
            <w:tcBorders>
              <w:top w:val="nil"/>
              <w:left w:val="nil"/>
              <w:bottom w:val="nil"/>
              <w:right w:val="nil"/>
            </w:tcBorders>
            <w:shd w:val="clear" w:color="auto" w:fill="auto"/>
            <w:noWrap/>
            <w:vAlign w:val="bottom"/>
            <w:hideMark/>
          </w:tcPr>
          <w:p w14:paraId="5EEC629B" w14:textId="77777777" w:rsidR="00A743E0" w:rsidRPr="00E6476E" w:rsidRDefault="00A743E0" w:rsidP="00A743E0">
            <w:pPr>
              <w:spacing w:after="0" w:line="240" w:lineRule="auto"/>
              <w:jc w:val="right"/>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Engl B60</w:t>
            </w:r>
          </w:p>
        </w:tc>
        <w:tc>
          <w:tcPr>
            <w:tcW w:w="2304" w:type="dxa"/>
            <w:tcBorders>
              <w:top w:val="nil"/>
              <w:left w:val="nil"/>
              <w:bottom w:val="nil"/>
              <w:right w:val="nil"/>
            </w:tcBorders>
            <w:shd w:val="clear" w:color="auto" w:fill="auto"/>
            <w:noWrap/>
            <w:vAlign w:val="bottom"/>
            <w:hideMark/>
          </w:tcPr>
          <w:p w14:paraId="2D8FC647" w14:textId="4574F08E" w:rsidR="00A743E0" w:rsidRPr="00E6476E" w:rsidRDefault="00A743E0" w:rsidP="00A743E0">
            <w:pPr>
              <w:tabs>
                <w:tab w:val="decimal" w:pos="1235"/>
              </w:tabs>
              <w:spacing w:after="0" w:line="240" w:lineRule="auto"/>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641</w:t>
            </w:r>
          </w:p>
        </w:tc>
        <w:tc>
          <w:tcPr>
            <w:tcW w:w="2304" w:type="dxa"/>
            <w:tcBorders>
              <w:top w:val="nil"/>
              <w:left w:val="nil"/>
              <w:bottom w:val="nil"/>
              <w:right w:val="nil"/>
            </w:tcBorders>
            <w:shd w:val="clear" w:color="auto" w:fill="auto"/>
            <w:noWrap/>
            <w:vAlign w:val="bottom"/>
            <w:hideMark/>
          </w:tcPr>
          <w:p w14:paraId="7FB64FD4" w14:textId="13DDF56E"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28%</w:t>
            </w:r>
          </w:p>
        </w:tc>
        <w:tc>
          <w:tcPr>
            <w:tcW w:w="2304" w:type="dxa"/>
            <w:tcBorders>
              <w:top w:val="nil"/>
              <w:left w:val="nil"/>
              <w:bottom w:val="nil"/>
              <w:right w:val="nil"/>
            </w:tcBorders>
            <w:shd w:val="clear" w:color="auto" w:fill="auto"/>
            <w:noWrap/>
            <w:vAlign w:val="bottom"/>
            <w:hideMark/>
          </w:tcPr>
          <w:p w14:paraId="10218782" w14:textId="0EAC69C6"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0.4</w:t>
            </w:r>
          </w:p>
        </w:tc>
        <w:tc>
          <w:tcPr>
            <w:tcW w:w="2304" w:type="dxa"/>
            <w:tcBorders>
              <w:top w:val="nil"/>
              <w:left w:val="nil"/>
              <w:bottom w:val="nil"/>
              <w:right w:val="nil"/>
            </w:tcBorders>
            <w:shd w:val="clear" w:color="auto" w:fill="auto"/>
            <w:noWrap/>
            <w:vAlign w:val="bottom"/>
            <w:hideMark/>
          </w:tcPr>
          <w:p w14:paraId="715833B5" w14:textId="6905A0E2"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39%</w:t>
            </w:r>
          </w:p>
        </w:tc>
        <w:tc>
          <w:tcPr>
            <w:tcW w:w="2304" w:type="dxa"/>
            <w:tcBorders>
              <w:top w:val="nil"/>
              <w:left w:val="nil"/>
              <w:bottom w:val="nil"/>
              <w:right w:val="nil"/>
            </w:tcBorders>
            <w:shd w:val="clear" w:color="auto" w:fill="auto"/>
            <w:noWrap/>
            <w:vAlign w:val="bottom"/>
            <w:hideMark/>
          </w:tcPr>
          <w:p w14:paraId="5FC48A68" w14:textId="69BDE91D"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15%</w:t>
            </w:r>
          </w:p>
        </w:tc>
      </w:tr>
      <w:tr w:rsidR="00A743E0" w:rsidRPr="00E6476E" w14:paraId="26448C9F" w14:textId="77777777" w:rsidTr="00666F7F">
        <w:trPr>
          <w:trHeight w:val="255"/>
        </w:trPr>
        <w:tc>
          <w:tcPr>
            <w:tcW w:w="2448" w:type="dxa"/>
            <w:tcBorders>
              <w:top w:val="nil"/>
              <w:left w:val="nil"/>
              <w:bottom w:val="nil"/>
              <w:right w:val="nil"/>
            </w:tcBorders>
            <w:shd w:val="clear" w:color="auto" w:fill="auto"/>
            <w:noWrap/>
            <w:vAlign w:val="bottom"/>
            <w:hideMark/>
          </w:tcPr>
          <w:p w14:paraId="7183ABA2" w14:textId="4B94C044" w:rsidR="00A743E0" w:rsidRPr="00E6476E" w:rsidRDefault="00A743E0" w:rsidP="00A743E0">
            <w:pPr>
              <w:spacing w:after="0" w:line="240" w:lineRule="auto"/>
              <w:jc w:val="right"/>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Engl B53</w:t>
            </w:r>
          </w:p>
        </w:tc>
        <w:tc>
          <w:tcPr>
            <w:tcW w:w="2304" w:type="dxa"/>
            <w:tcBorders>
              <w:top w:val="nil"/>
              <w:left w:val="nil"/>
              <w:bottom w:val="nil"/>
              <w:right w:val="nil"/>
            </w:tcBorders>
            <w:shd w:val="clear" w:color="auto" w:fill="auto"/>
            <w:noWrap/>
            <w:vAlign w:val="bottom"/>
            <w:hideMark/>
          </w:tcPr>
          <w:p w14:paraId="635C5CE9" w14:textId="76DF4374" w:rsidR="00A743E0" w:rsidRPr="00E6476E" w:rsidRDefault="00A743E0" w:rsidP="00A743E0">
            <w:pPr>
              <w:tabs>
                <w:tab w:val="decimal" w:pos="1235"/>
              </w:tabs>
              <w:spacing w:after="0" w:line="240" w:lineRule="auto"/>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754</w:t>
            </w:r>
          </w:p>
        </w:tc>
        <w:tc>
          <w:tcPr>
            <w:tcW w:w="2304" w:type="dxa"/>
            <w:tcBorders>
              <w:top w:val="nil"/>
              <w:left w:val="nil"/>
              <w:bottom w:val="nil"/>
              <w:right w:val="nil"/>
            </w:tcBorders>
            <w:shd w:val="clear" w:color="auto" w:fill="auto"/>
            <w:noWrap/>
            <w:vAlign w:val="bottom"/>
            <w:hideMark/>
          </w:tcPr>
          <w:p w14:paraId="6965489C" w14:textId="12B5EF38"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42%</w:t>
            </w:r>
          </w:p>
        </w:tc>
        <w:tc>
          <w:tcPr>
            <w:tcW w:w="2304" w:type="dxa"/>
            <w:tcBorders>
              <w:top w:val="nil"/>
              <w:left w:val="nil"/>
              <w:bottom w:val="nil"/>
              <w:right w:val="nil"/>
            </w:tcBorders>
            <w:shd w:val="clear" w:color="auto" w:fill="auto"/>
            <w:noWrap/>
            <w:vAlign w:val="bottom"/>
            <w:hideMark/>
          </w:tcPr>
          <w:p w14:paraId="6D9F6D13" w14:textId="674EC32A"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0.7</w:t>
            </w:r>
          </w:p>
        </w:tc>
        <w:tc>
          <w:tcPr>
            <w:tcW w:w="2304" w:type="dxa"/>
            <w:tcBorders>
              <w:top w:val="nil"/>
              <w:left w:val="nil"/>
              <w:bottom w:val="nil"/>
              <w:right w:val="nil"/>
            </w:tcBorders>
            <w:shd w:val="clear" w:color="auto" w:fill="auto"/>
            <w:noWrap/>
            <w:vAlign w:val="bottom"/>
            <w:hideMark/>
          </w:tcPr>
          <w:p w14:paraId="18285B08" w14:textId="0C3F2F7E"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38%</w:t>
            </w:r>
          </w:p>
        </w:tc>
        <w:tc>
          <w:tcPr>
            <w:tcW w:w="2304" w:type="dxa"/>
            <w:tcBorders>
              <w:top w:val="nil"/>
              <w:left w:val="nil"/>
              <w:bottom w:val="nil"/>
              <w:right w:val="nil"/>
            </w:tcBorders>
            <w:shd w:val="clear" w:color="auto" w:fill="auto"/>
            <w:noWrap/>
            <w:vAlign w:val="bottom"/>
            <w:hideMark/>
          </w:tcPr>
          <w:p w14:paraId="5F38EF63" w14:textId="7C3B570E"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25%</w:t>
            </w:r>
          </w:p>
        </w:tc>
      </w:tr>
      <w:tr w:rsidR="00A743E0" w:rsidRPr="00E6476E" w14:paraId="2E62F3AA" w14:textId="77777777" w:rsidTr="00666F7F">
        <w:trPr>
          <w:trHeight w:val="255"/>
        </w:trPr>
        <w:tc>
          <w:tcPr>
            <w:tcW w:w="2448" w:type="dxa"/>
            <w:tcBorders>
              <w:top w:val="nil"/>
              <w:left w:val="nil"/>
              <w:right w:val="nil"/>
            </w:tcBorders>
            <w:shd w:val="clear" w:color="auto" w:fill="auto"/>
            <w:noWrap/>
            <w:vAlign w:val="bottom"/>
            <w:hideMark/>
          </w:tcPr>
          <w:p w14:paraId="2ED37991" w14:textId="77777777" w:rsidR="00A743E0" w:rsidRPr="00E6476E" w:rsidRDefault="00A743E0" w:rsidP="00A743E0">
            <w:pPr>
              <w:spacing w:after="0" w:line="240" w:lineRule="auto"/>
              <w:jc w:val="right"/>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Engl B50</w:t>
            </w:r>
          </w:p>
        </w:tc>
        <w:tc>
          <w:tcPr>
            <w:tcW w:w="2304" w:type="dxa"/>
            <w:tcBorders>
              <w:top w:val="nil"/>
              <w:left w:val="nil"/>
              <w:right w:val="nil"/>
            </w:tcBorders>
            <w:shd w:val="clear" w:color="auto" w:fill="auto"/>
            <w:noWrap/>
            <w:vAlign w:val="bottom"/>
            <w:hideMark/>
          </w:tcPr>
          <w:p w14:paraId="01EB864C" w14:textId="1E94B52A" w:rsidR="00A743E0" w:rsidRPr="00E6476E" w:rsidRDefault="00A743E0" w:rsidP="00A743E0">
            <w:pPr>
              <w:tabs>
                <w:tab w:val="decimal" w:pos="1235"/>
              </w:tabs>
              <w:spacing w:after="0" w:line="240" w:lineRule="auto"/>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1,703</w:t>
            </w:r>
          </w:p>
        </w:tc>
        <w:tc>
          <w:tcPr>
            <w:tcW w:w="2304" w:type="dxa"/>
            <w:tcBorders>
              <w:top w:val="nil"/>
              <w:left w:val="nil"/>
              <w:right w:val="nil"/>
            </w:tcBorders>
            <w:shd w:val="clear" w:color="auto" w:fill="auto"/>
            <w:noWrap/>
            <w:vAlign w:val="bottom"/>
            <w:hideMark/>
          </w:tcPr>
          <w:p w14:paraId="438BC430" w14:textId="6D47ED38"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47%</w:t>
            </w:r>
          </w:p>
        </w:tc>
        <w:tc>
          <w:tcPr>
            <w:tcW w:w="2304" w:type="dxa"/>
            <w:tcBorders>
              <w:top w:val="nil"/>
              <w:left w:val="nil"/>
              <w:right w:val="nil"/>
            </w:tcBorders>
            <w:shd w:val="clear" w:color="auto" w:fill="auto"/>
            <w:noWrap/>
            <w:vAlign w:val="bottom"/>
            <w:hideMark/>
          </w:tcPr>
          <w:p w14:paraId="63F23037" w14:textId="54D307FD"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0.7</w:t>
            </w:r>
          </w:p>
        </w:tc>
        <w:tc>
          <w:tcPr>
            <w:tcW w:w="2304" w:type="dxa"/>
            <w:tcBorders>
              <w:top w:val="nil"/>
              <w:left w:val="nil"/>
              <w:right w:val="nil"/>
            </w:tcBorders>
            <w:shd w:val="clear" w:color="auto" w:fill="auto"/>
            <w:noWrap/>
            <w:vAlign w:val="bottom"/>
            <w:hideMark/>
          </w:tcPr>
          <w:p w14:paraId="5D30A976" w14:textId="2536E41D"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44%</w:t>
            </w:r>
          </w:p>
        </w:tc>
        <w:tc>
          <w:tcPr>
            <w:tcW w:w="2304" w:type="dxa"/>
            <w:tcBorders>
              <w:top w:val="nil"/>
              <w:left w:val="nil"/>
              <w:right w:val="nil"/>
            </w:tcBorders>
            <w:shd w:val="clear" w:color="auto" w:fill="auto"/>
            <w:noWrap/>
            <w:vAlign w:val="bottom"/>
            <w:hideMark/>
          </w:tcPr>
          <w:p w14:paraId="2EE1FAE5" w14:textId="53E953F3"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33%</w:t>
            </w:r>
          </w:p>
        </w:tc>
      </w:tr>
      <w:tr w:rsidR="00A743E0" w:rsidRPr="00E6476E" w14:paraId="5CCF079E" w14:textId="77777777" w:rsidTr="00666F7F">
        <w:trPr>
          <w:trHeight w:val="255"/>
        </w:trPr>
        <w:tc>
          <w:tcPr>
            <w:tcW w:w="2448" w:type="dxa"/>
            <w:tcBorders>
              <w:top w:val="nil"/>
              <w:left w:val="nil"/>
              <w:bottom w:val="nil"/>
              <w:right w:val="nil"/>
            </w:tcBorders>
            <w:shd w:val="clear" w:color="auto" w:fill="auto"/>
            <w:noWrap/>
            <w:vAlign w:val="bottom"/>
            <w:hideMark/>
          </w:tcPr>
          <w:p w14:paraId="252A9DBF" w14:textId="3601EBC7" w:rsidR="00A743E0" w:rsidRPr="00E6476E" w:rsidRDefault="00A743E0" w:rsidP="00A743E0">
            <w:pPr>
              <w:spacing w:after="0" w:line="240" w:lineRule="auto"/>
              <w:jc w:val="right"/>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LRNC B510</w:t>
            </w:r>
            <w:r w:rsidR="00EB1B0F" w:rsidRPr="00E6476E">
              <w:rPr>
                <w:rFonts w:ascii="Times New Roman" w:eastAsia="Times New Roman" w:hAnsi="Times New Roman" w:cs="Times New Roman"/>
                <w:color w:val="000000"/>
                <w:sz w:val="20"/>
                <w:szCs w:val="20"/>
              </w:rPr>
              <w:t xml:space="preserve"> (Engl B50)</w:t>
            </w:r>
          </w:p>
        </w:tc>
        <w:tc>
          <w:tcPr>
            <w:tcW w:w="2304" w:type="dxa"/>
            <w:tcBorders>
              <w:top w:val="nil"/>
              <w:left w:val="nil"/>
              <w:bottom w:val="nil"/>
              <w:right w:val="nil"/>
            </w:tcBorders>
            <w:shd w:val="clear" w:color="auto" w:fill="auto"/>
            <w:noWrap/>
            <w:vAlign w:val="bottom"/>
            <w:hideMark/>
          </w:tcPr>
          <w:p w14:paraId="6EF26BD2" w14:textId="1F39A684" w:rsidR="00A743E0" w:rsidRPr="00E6476E" w:rsidRDefault="00A743E0" w:rsidP="00A743E0">
            <w:pPr>
              <w:tabs>
                <w:tab w:val="decimal" w:pos="1235"/>
              </w:tabs>
              <w:spacing w:after="0" w:line="240" w:lineRule="auto"/>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257</w:t>
            </w:r>
          </w:p>
        </w:tc>
        <w:tc>
          <w:tcPr>
            <w:tcW w:w="2304" w:type="dxa"/>
            <w:tcBorders>
              <w:top w:val="nil"/>
              <w:left w:val="nil"/>
              <w:bottom w:val="nil"/>
              <w:right w:val="nil"/>
            </w:tcBorders>
            <w:shd w:val="clear" w:color="auto" w:fill="auto"/>
            <w:noWrap/>
            <w:vAlign w:val="bottom"/>
            <w:hideMark/>
          </w:tcPr>
          <w:p w14:paraId="651F4369" w14:textId="5DAAAE04"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43%</w:t>
            </w:r>
          </w:p>
        </w:tc>
        <w:tc>
          <w:tcPr>
            <w:tcW w:w="2304" w:type="dxa"/>
            <w:tcBorders>
              <w:top w:val="nil"/>
              <w:left w:val="nil"/>
              <w:bottom w:val="nil"/>
              <w:right w:val="nil"/>
            </w:tcBorders>
            <w:shd w:val="clear" w:color="auto" w:fill="auto"/>
            <w:noWrap/>
            <w:vAlign w:val="bottom"/>
            <w:hideMark/>
          </w:tcPr>
          <w:p w14:paraId="7B69F12D" w14:textId="518A859E"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0.6</w:t>
            </w:r>
          </w:p>
        </w:tc>
        <w:tc>
          <w:tcPr>
            <w:tcW w:w="2304" w:type="dxa"/>
            <w:tcBorders>
              <w:top w:val="nil"/>
              <w:left w:val="nil"/>
              <w:bottom w:val="nil"/>
              <w:right w:val="nil"/>
            </w:tcBorders>
            <w:shd w:val="clear" w:color="auto" w:fill="auto"/>
            <w:noWrap/>
            <w:vAlign w:val="bottom"/>
            <w:hideMark/>
          </w:tcPr>
          <w:p w14:paraId="2A5649FA" w14:textId="6B664AA7"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59%</w:t>
            </w:r>
          </w:p>
        </w:tc>
        <w:tc>
          <w:tcPr>
            <w:tcW w:w="2304" w:type="dxa"/>
            <w:tcBorders>
              <w:top w:val="nil"/>
              <w:left w:val="nil"/>
              <w:bottom w:val="nil"/>
              <w:right w:val="nil"/>
            </w:tcBorders>
            <w:shd w:val="clear" w:color="auto" w:fill="auto"/>
            <w:noWrap/>
            <w:vAlign w:val="bottom"/>
            <w:hideMark/>
          </w:tcPr>
          <w:p w14:paraId="4B60D4C3" w14:textId="29815405"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48%</w:t>
            </w:r>
          </w:p>
        </w:tc>
      </w:tr>
      <w:tr w:rsidR="00666F7F" w:rsidRPr="00E6476E" w14:paraId="210CA4DA" w14:textId="77777777" w:rsidTr="00666F7F">
        <w:trPr>
          <w:trHeight w:val="255"/>
        </w:trPr>
        <w:tc>
          <w:tcPr>
            <w:tcW w:w="2448" w:type="dxa"/>
            <w:tcBorders>
              <w:top w:val="nil"/>
              <w:left w:val="nil"/>
              <w:bottom w:val="single" w:sz="4" w:space="0" w:color="auto"/>
              <w:right w:val="nil"/>
            </w:tcBorders>
            <w:shd w:val="clear" w:color="auto" w:fill="auto"/>
            <w:noWrap/>
            <w:vAlign w:val="bottom"/>
          </w:tcPr>
          <w:p w14:paraId="1BA89A00" w14:textId="77777777" w:rsidR="00666F7F" w:rsidRPr="00E6476E" w:rsidRDefault="00666F7F" w:rsidP="00A743E0">
            <w:pPr>
              <w:spacing w:after="0" w:line="240" w:lineRule="auto"/>
              <w:jc w:val="right"/>
              <w:rPr>
                <w:rFonts w:ascii="Times New Roman" w:eastAsia="Times New Roman" w:hAnsi="Times New Roman" w:cs="Times New Roman"/>
                <w:color w:val="000000"/>
                <w:sz w:val="20"/>
                <w:szCs w:val="20"/>
              </w:rPr>
            </w:pPr>
          </w:p>
        </w:tc>
        <w:tc>
          <w:tcPr>
            <w:tcW w:w="2304" w:type="dxa"/>
            <w:tcBorders>
              <w:top w:val="nil"/>
              <w:left w:val="nil"/>
              <w:bottom w:val="single" w:sz="4" w:space="0" w:color="auto"/>
              <w:right w:val="nil"/>
            </w:tcBorders>
            <w:shd w:val="clear" w:color="auto" w:fill="auto"/>
            <w:noWrap/>
            <w:vAlign w:val="bottom"/>
          </w:tcPr>
          <w:p w14:paraId="2E28A328" w14:textId="77777777" w:rsidR="00666F7F" w:rsidRPr="00E6476E" w:rsidRDefault="00666F7F" w:rsidP="00A743E0">
            <w:pPr>
              <w:tabs>
                <w:tab w:val="decimal" w:pos="1235"/>
              </w:tabs>
              <w:spacing w:after="0" w:line="240" w:lineRule="auto"/>
              <w:rPr>
                <w:rFonts w:ascii="Times New Roman" w:hAnsi="Times New Roman" w:cs="Times New Roman"/>
                <w:color w:val="000000"/>
                <w:sz w:val="20"/>
                <w:szCs w:val="20"/>
              </w:rPr>
            </w:pPr>
          </w:p>
        </w:tc>
        <w:tc>
          <w:tcPr>
            <w:tcW w:w="2304" w:type="dxa"/>
            <w:tcBorders>
              <w:top w:val="nil"/>
              <w:left w:val="nil"/>
              <w:bottom w:val="single" w:sz="4" w:space="0" w:color="auto"/>
              <w:right w:val="nil"/>
            </w:tcBorders>
            <w:shd w:val="clear" w:color="auto" w:fill="auto"/>
            <w:noWrap/>
            <w:vAlign w:val="bottom"/>
          </w:tcPr>
          <w:p w14:paraId="6807EF00" w14:textId="77777777" w:rsidR="00666F7F" w:rsidRPr="00E6476E" w:rsidRDefault="00666F7F" w:rsidP="00A743E0">
            <w:pPr>
              <w:spacing w:after="0" w:line="240" w:lineRule="auto"/>
              <w:jc w:val="center"/>
              <w:rPr>
                <w:rFonts w:ascii="Times New Roman" w:hAnsi="Times New Roman" w:cs="Times New Roman"/>
                <w:color w:val="000000"/>
                <w:sz w:val="20"/>
                <w:szCs w:val="20"/>
              </w:rPr>
            </w:pPr>
          </w:p>
        </w:tc>
        <w:tc>
          <w:tcPr>
            <w:tcW w:w="2304" w:type="dxa"/>
            <w:tcBorders>
              <w:top w:val="nil"/>
              <w:left w:val="nil"/>
              <w:bottom w:val="single" w:sz="4" w:space="0" w:color="auto"/>
              <w:right w:val="nil"/>
            </w:tcBorders>
            <w:shd w:val="clear" w:color="auto" w:fill="auto"/>
            <w:noWrap/>
            <w:vAlign w:val="bottom"/>
          </w:tcPr>
          <w:p w14:paraId="1368B90E" w14:textId="77777777" w:rsidR="00666F7F" w:rsidRPr="00E6476E" w:rsidRDefault="00666F7F" w:rsidP="00A743E0">
            <w:pPr>
              <w:spacing w:after="0" w:line="240" w:lineRule="auto"/>
              <w:jc w:val="center"/>
              <w:rPr>
                <w:rFonts w:ascii="Times New Roman" w:hAnsi="Times New Roman" w:cs="Times New Roman"/>
                <w:color w:val="000000"/>
                <w:sz w:val="20"/>
                <w:szCs w:val="20"/>
              </w:rPr>
            </w:pPr>
          </w:p>
        </w:tc>
        <w:tc>
          <w:tcPr>
            <w:tcW w:w="2304" w:type="dxa"/>
            <w:tcBorders>
              <w:top w:val="nil"/>
              <w:left w:val="nil"/>
              <w:bottom w:val="single" w:sz="4" w:space="0" w:color="auto"/>
              <w:right w:val="nil"/>
            </w:tcBorders>
            <w:shd w:val="clear" w:color="auto" w:fill="auto"/>
            <w:noWrap/>
            <w:vAlign w:val="bottom"/>
          </w:tcPr>
          <w:p w14:paraId="339010B3" w14:textId="77777777" w:rsidR="00666F7F" w:rsidRPr="00E6476E" w:rsidRDefault="00666F7F" w:rsidP="00A743E0">
            <w:pPr>
              <w:spacing w:after="0" w:line="240" w:lineRule="auto"/>
              <w:jc w:val="center"/>
              <w:rPr>
                <w:rFonts w:ascii="Times New Roman" w:hAnsi="Times New Roman" w:cs="Times New Roman"/>
                <w:color w:val="000000"/>
                <w:sz w:val="20"/>
                <w:szCs w:val="20"/>
              </w:rPr>
            </w:pPr>
          </w:p>
        </w:tc>
        <w:tc>
          <w:tcPr>
            <w:tcW w:w="2304" w:type="dxa"/>
            <w:tcBorders>
              <w:top w:val="nil"/>
              <w:left w:val="nil"/>
              <w:bottom w:val="single" w:sz="4" w:space="0" w:color="auto"/>
              <w:right w:val="nil"/>
            </w:tcBorders>
            <w:shd w:val="clear" w:color="auto" w:fill="auto"/>
            <w:noWrap/>
            <w:vAlign w:val="bottom"/>
          </w:tcPr>
          <w:p w14:paraId="38DD68DC" w14:textId="77777777" w:rsidR="00666F7F" w:rsidRPr="00E6476E" w:rsidRDefault="00666F7F" w:rsidP="00A743E0">
            <w:pPr>
              <w:spacing w:after="0" w:line="240" w:lineRule="auto"/>
              <w:jc w:val="center"/>
              <w:rPr>
                <w:rFonts w:ascii="Times New Roman" w:hAnsi="Times New Roman" w:cs="Times New Roman"/>
                <w:color w:val="000000"/>
                <w:sz w:val="20"/>
                <w:szCs w:val="20"/>
              </w:rPr>
            </w:pPr>
          </w:p>
        </w:tc>
      </w:tr>
    </w:tbl>
    <w:p w14:paraId="745F7D7E" w14:textId="77777777" w:rsidR="00D21031" w:rsidRDefault="00D21031" w:rsidP="00347697">
      <w:pPr>
        <w:spacing w:after="0" w:line="240" w:lineRule="auto"/>
        <w:rPr>
          <w:rFonts w:ascii="Times New Roman" w:hAnsi="Times New Roman" w:cs="Times New Roman"/>
          <w:sz w:val="24"/>
          <w:szCs w:val="24"/>
        </w:rPr>
      </w:pPr>
    </w:p>
    <w:p w14:paraId="7A583AD2" w14:textId="77777777" w:rsidR="00655DAE" w:rsidRDefault="00655DAE">
      <w:pPr>
        <w:rPr>
          <w:rFonts w:ascii="Times New Roman" w:hAnsi="Times New Roman" w:cs="Times New Roman"/>
          <w:sz w:val="24"/>
          <w:szCs w:val="24"/>
        </w:rPr>
      </w:pPr>
      <w:r>
        <w:rPr>
          <w:rFonts w:ascii="Times New Roman" w:hAnsi="Times New Roman" w:cs="Times New Roman"/>
          <w:sz w:val="24"/>
          <w:szCs w:val="24"/>
        </w:rPr>
        <w:br w:type="page"/>
      </w:r>
    </w:p>
    <w:p w14:paraId="73F02EBD" w14:textId="392F165A" w:rsidR="001672FF" w:rsidRDefault="001672FF" w:rsidP="001672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1</w:t>
      </w:r>
      <w:r w:rsidR="00D334A5">
        <w:rPr>
          <w:rFonts w:ascii="Times New Roman" w:hAnsi="Times New Roman" w:cs="Times New Roman"/>
          <w:sz w:val="24"/>
          <w:szCs w:val="24"/>
        </w:rPr>
        <w:t>0</w:t>
      </w:r>
      <w:r>
        <w:rPr>
          <w:rFonts w:ascii="Times New Roman" w:hAnsi="Times New Roman" w:cs="Times New Roman"/>
          <w:sz w:val="24"/>
          <w:szCs w:val="24"/>
        </w:rPr>
        <w:t>:  Average number of terms to achieve transfer-level English competency among students who did so, by first English course attempted</w:t>
      </w:r>
    </w:p>
    <w:p w14:paraId="0E5E43F0" w14:textId="77777777" w:rsidR="00D21031" w:rsidRDefault="00D21031" w:rsidP="00347697">
      <w:pPr>
        <w:spacing w:after="0" w:line="240" w:lineRule="auto"/>
        <w:rPr>
          <w:rFonts w:ascii="Times New Roman" w:hAnsi="Times New Roman" w:cs="Times New Roman"/>
          <w:sz w:val="24"/>
          <w:szCs w:val="24"/>
        </w:rPr>
      </w:pPr>
    </w:p>
    <w:tbl>
      <w:tblPr>
        <w:tblW w:w="10890" w:type="dxa"/>
        <w:tblLayout w:type="fixed"/>
        <w:tblCellMar>
          <w:left w:w="115" w:type="dxa"/>
          <w:right w:w="115" w:type="dxa"/>
        </w:tblCellMar>
        <w:tblLook w:val="04A0" w:firstRow="1" w:lastRow="0" w:firstColumn="1" w:lastColumn="0" w:noHBand="0" w:noVBand="1"/>
      </w:tblPr>
      <w:tblGrid>
        <w:gridCol w:w="2250"/>
        <w:gridCol w:w="2016"/>
        <w:gridCol w:w="3312"/>
        <w:gridCol w:w="3312"/>
      </w:tblGrid>
      <w:tr w:rsidR="009E6238" w:rsidRPr="00E6476E" w14:paraId="533E56E1" w14:textId="77777777" w:rsidTr="00EB1B0F">
        <w:trPr>
          <w:trHeight w:val="432"/>
        </w:trPr>
        <w:tc>
          <w:tcPr>
            <w:tcW w:w="2250" w:type="dxa"/>
            <w:tcBorders>
              <w:top w:val="single" w:sz="4" w:space="0" w:color="auto"/>
              <w:left w:val="nil"/>
              <w:right w:val="nil"/>
            </w:tcBorders>
            <w:shd w:val="clear" w:color="auto" w:fill="auto"/>
            <w:noWrap/>
            <w:vAlign w:val="bottom"/>
          </w:tcPr>
          <w:p w14:paraId="6B1F5F0C" w14:textId="77777777" w:rsidR="009E6238" w:rsidRPr="00E6476E" w:rsidRDefault="009E6238" w:rsidP="001672FF">
            <w:pPr>
              <w:spacing w:after="0" w:line="240" w:lineRule="auto"/>
              <w:rPr>
                <w:rFonts w:ascii="Times New Roman" w:eastAsia="Times New Roman" w:hAnsi="Times New Roman" w:cs="Times New Roman"/>
                <w:sz w:val="24"/>
                <w:szCs w:val="24"/>
              </w:rPr>
            </w:pPr>
          </w:p>
        </w:tc>
        <w:tc>
          <w:tcPr>
            <w:tcW w:w="2016" w:type="dxa"/>
            <w:tcBorders>
              <w:top w:val="single" w:sz="4" w:space="0" w:color="auto"/>
              <w:left w:val="nil"/>
              <w:right w:val="nil"/>
            </w:tcBorders>
            <w:shd w:val="clear" w:color="auto" w:fill="auto"/>
            <w:noWrap/>
            <w:vAlign w:val="bottom"/>
          </w:tcPr>
          <w:p w14:paraId="2D8E393C" w14:textId="77777777" w:rsidR="009E6238" w:rsidRPr="00E6476E" w:rsidRDefault="009E6238" w:rsidP="001672FF">
            <w:pPr>
              <w:spacing w:after="0" w:line="240" w:lineRule="auto"/>
              <w:jc w:val="center"/>
              <w:rPr>
                <w:rFonts w:ascii="Times New Roman" w:eastAsia="Times New Roman" w:hAnsi="Times New Roman" w:cs="Times New Roman"/>
                <w:i/>
                <w:color w:val="000000"/>
                <w:sz w:val="20"/>
                <w:szCs w:val="20"/>
              </w:rPr>
            </w:pPr>
          </w:p>
        </w:tc>
        <w:tc>
          <w:tcPr>
            <w:tcW w:w="6624" w:type="dxa"/>
            <w:gridSpan w:val="2"/>
            <w:tcBorders>
              <w:top w:val="single" w:sz="4" w:space="0" w:color="auto"/>
              <w:left w:val="nil"/>
              <w:bottom w:val="single" w:sz="4" w:space="0" w:color="auto"/>
              <w:right w:val="nil"/>
            </w:tcBorders>
            <w:shd w:val="clear" w:color="auto" w:fill="auto"/>
            <w:vAlign w:val="bottom"/>
          </w:tcPr>
          <w:p w14:paraId="5113B7EA" w14:textId="77777777" w:rsidR="009E6238" w:rsidRPr="00E6476E" w:rsidRDefault="009E6238" w:rsidP="007E11A5">
            <w:pPr>
              <w:spacing w:after="0" w:line="240" w:lineRule="auto"/>
              <w:jc w:val="center"/>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average number of terms to first successfully completed</w:t>
            </w:r>
          </w:p>
          <w:p w14:paraId="79C9F163" w14:textId="4F7EDDE7" w:rsidR="009E6238" w:rsidRPr="00E6476E" w:rsidRDefault="009E6238" w:rsidP="007E11A5">
            <w:pPr>
              <w:spacing w:after="0" w:line="240" w:lineRule="auto"/>
              <w:jc w:val="center"/>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transfer-level English course</w:t>
            </w:r>
          </w:p>
        </w:tc>
      </w:tr>
      <w:tr w:rsidR="007E11A5" w:rsidRPr="00E6476E" w14:paraId="698824F5" w14:textId="77777777" w:rsidTr="00EB1B0F">
        <w:trPr>
          <w:trHeight w:val="432"/>
        </w:trPr>
        <w:tc>
          <w:tcPr>
            <w:tcW w:w="2250" w:type="dxa"/>
            <w:tcBorders>
              <w:left w:val="nil"/>
              <w:bottom w:val="nil"/>
              <w:right w:val="nil"/>
            </w:tcBorders>
            <w:shd w:val="clear" w:color="auto" w:fill="auto"/>
            <w:noWrap/>
            <w:vAlign w:val="bottom"/>
            <w:hideMark/>
          </w:tcPr>
          <w:p w14:paraId="3D70E072" w14:textId="7C837368" w:rsidR="001672FF" w:rsidRPr="00E6476E" w:rsidRDefault="001672FF" w:rsidP="001672FF">
            <w:pPr>
              <w:spacing w:after="0" w:line="240" w:lineRule="auto"/>
              <w:rPr>
                <w:rFonts w:ascii="Times New Roman" w:eastAsia="Times New Roman" w:hAnsi="Times New Roman" w:cs="Times New Roman"/>
                <w:sz w:val="24"/>
                <w:szCs w:val="24"/>
              </w:rPr>
            </w:pPr>
          </w:p>
        </w:tc>
        <w:tc>
          <w:tcPr>
            <w:tcW w:w="2016" w:type="dxa"/>
            <w:tcBorders>
              <w:left w:val="nil"/>
              <w:bottom w:val="single" w:sz="4" w:space="0" w:color="auto"/>
              <w:right w:val="nil"/>
            </w:tcBorders>
            <w:shd w:val="clear" w:color="auto" w:fill="auto"/>
            <w:noWrap/>
            <w:vAlign w:val="bottom"/>
            <w:hideMark/>
          </w:tcPr>
          <w:p w14:paraId="2E5F570C" w14:textId="77777777" w:rsidR="001672FF" w:rsidRPr="00E6476E" w:rsidRDefault="001672FF" w:rsidP="001672FF">
            <w:pPr>
              <w:spacing w:after="0" w:line="240" w:lineRule="auto"/>
              <w:jc w:val="center"/>
              <w:rPr>
                <w:rFonts w:ascii="Times New Roman" w:eastAsia="Times New Roman" w:hAnsi="Times New Roman" w:cs="Times New Roman"/>
                <w:i/>
                <w:color w:val="000000"/>
                <w:sz w:val="20"/>
                <w:szCs w:val="20"/>
              </w:rPr>
            </w:pPr>
            <w:r w:rsidRPr="00E6476E">
              <w:rPr>
                <w:rFonts w:ascii="Times New Roman" w:eastAsia="Times New Roman" w:hAnsi="Times New Roman" w:cs="Times New Roman"/>
                <w:i/>
                <w:color w:val="000000"/>
                <w:sz w:val="20"/>
                <w:szCs w:val="20"/>
              </w:rPr>
              <w:t>N</w:t>
            </w:r>
          </w:p>
        </w:tc>
        <w:tc>
          <w:tcPr>
            <w:tcW w:w="3312" w:type="dxa"/>
            <w:tcBorders>
              <w:top w:val="single" w:sz="4" w:space="0" w:color="auto"/>
              <w:left w:val="nil"/>
              <w:bottom w:val="single" w:sz="4" w:space="0" w:color="auto"/>
              <w:right w:val="nil"/>
            </w:tcBorders>
            <w:shd w:val="clear" w:color="auto" w:fill="auto"/>
            <w:vAlign w:val="bottom"/>
            <w:hideMark/>
          </w:tcPr>
          <w:p w14:paraId="1A9B34D6" w14:textId="77777777" w:rsidR="001672FF" w:rsidRPr="00E6476E" w:rsidRDefault="001672FF" w:rsidP="001672FF">
            <w:pPr>
              <w:spacing w:after="0" w:line="240" w:lineRule="auto"/>
              <w:jc w:val="center"/>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from college entry</w:t>
            </w:r>
          </w:p>
        </w:tc>
        <w:tc>
          <w:tcPr>
            <w:tcW w:w="3312" w:type="dxa"/>
            <w:tcBorders>
              <w:top w:val="single" w:sz="4" w:space="0" w:color="auto"/>
              <w:left w:val="nil"/>
              <w:bottom w:val="single" w:sz="4" w:space="0" w:color="auto"/>
              <w:right w:val="nil"/>
            </w:tcBorders>
            <w:shd w:val="clear" w:color="auto" w:fill="auto"/>
            <w:vAlign w:val="bottom"/>
            <w:hideMark/>
          </w:tcPr>
          <w:p w14:paraId="4F46C88A" w14:textId="77777777" w:rsidR="001672FF" w:rsidRPr="00E6476E" w:rsidRDefault="001672FF" w:rsidP="001672FF">
            <w:pPr>
              <w:spacing w:after="0" w:line="240" w:lineRule="auto"/>
              <w:jc w:val="center"/>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from first attempted English course</w:t>
            </w:r>
          </w:p>
        </w:tc>
      </w:tr>
      <w:tr w:rsidR="00A743E0" w:rsidRPr="00E6476E" w14:paraId="5530CF47" w14:textId="77777777" w:rsidTr="00EB1B0F">
        <w:trPr>
          <w:trHeight w:val="255"/>
        </w:trPr>
        <w:tc>
          <w:tcPr>
            <w:tcW w:w="2250" w:type="dxa"/>
            <w:tcBorders>
              <w:top w:val="nil"/>
              <w:left w:val="nil"/>
              <w:bottom w:val="nil"/>
              <w:right w:val="nil"/>
            </w:tcBorders>
            <w:shd w:val="clear" w:color="auto" w:fill="auto"/>
            <w:noWrap/>
            <w:vAlign w:val="bottom"/>
            <w:hideMark/>
          </w:tcPr>
          <w:p w14:paraId="26FEA824" w14:textId="61E614FA" w:rsidR="00A743E0" w:rsidRPr="00E6476E" w:rsidRDefault="00A743E0" w:rsidP="00A743E0">
            <w:pPr>
              <w:spacing w:after="0" w:line="240" w:lineRule="auto"/>
              <w:jc w:val="right"/>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ACDV B80</w:t>
            </w:r>
          </w:p>
        </w:tc>
        <w:tc>
          <w:tcPr>
            <w:tcW w:w="2016" w:type="dxa"/>
            <w:tcBorders>
              <w:top w:val="single" w:sz="4" w:space="0" w:color="auto"/>
              <w:left w:val="nil"/>
              <w:bottom w:val="nil"/>
              <w:right w:val="nil"/>
            </w:tcBorders>
            <w:shd w:val="clear" w:color="auto" w:fill="auto"/>
            <w:noWrap/>
            <w:vAlign w:val="bottom"/>
            <w:hideMark/>
          </w:tcPr>
          <w:p w14:paraId="12853E74" w14:textId="47A7C84B" w:rsidR="00A743E0" w:rsidRPr="00E6476E" w:rsidRDefault="00A743E0" w:rsidP="00A743E0">
            <w:pPr>
              <w:tabs>
                <w:tab w:val="decimal" w:pos="1055"/>
              </w:tabs>
              <w:spacing w:after="0" w:line="240" w:lineRule="auto"/>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10</w:t>
            </w:r>
          </w:p>
        </w:tc>
        <w:tc>
          <w:tcPr>
            <w:tcW w:w="3312" w:type="dxa"/>
            <w:tcBorders>
              <w:top w:val="single" w:sz="4" w:space="0" w:color="auto"/>
              <w:left w:val="nil"/>
              <w:bottom w:val="nil"/>
              <w:right w:val="nil"/>
            </w:tcBorders>
            <w:shd w:val="clear" w:color="auto" w:fill="auto"/>
            <w:noWrap/>
            <w:vAlign w:val="bottom"/>
            <w:hideMark/>
          </w:tcPr>
          <w:p w14:paraId="1CB9A5A9" w14:textId="227BE467"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3.4</w:t>
            </w:r>
          </w:p>
        </w:tc>
        <w:tc>
          <w:tcPr>
            <w:tcW w:w="3312" w:type="dxa"/>
            <w:tcBorders>
              <w:top w:val="single" w:sz="4" w:space="0" w:color="auto"/>
              <w:left w:val="nil"/>
              <w:bottom w:val="nil"/>
              <w:right w:val="nil"/>
            </w:tcBorders>
            <w:shd w:val="clear" w:color="auto" w:fill="auto"/>
            <w:noWrap/>
            <w:vAlign w:val="bottom"/>
            <w:hideMark/>
          </w:tcPr>
          <w:p w14:paraId="1914FCBE" w14:textId="484CBE05"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2.6</w:t>
            </w:r>
          </w:p>
        </w:tc>
      </w:tr>
      <w:tr w:rsidR="00A743E0" w:rsidRPr="00E6476E" w14:paraId="63643710" w14:textId="77777777" w:rsidTr="00EB1B0F">
        <w:trPr>
          <w:trHeight w:val="255"/>
        </w:trPr>
        <w:tc>
          <w:tcPr>
            <w:tcW w:w="2250" w:type="dxa"/>
            <w:tcBorders>
              <w:top w:val="nil"/>
              <w:left w:val="nil"/>
              <w:bottom w:val="nil"/>
              <w:right w:val="nil"/>
            </w:tcBorders>
            <w:shd w:val="clear" w:color="auto" w:fill="auto"/>
            <w:noWrap/>
            <w:vAlign w:val="bottom"/>
            <w:hideMark/>
          </w:tcPr>
          <w:p w14:paraId="4C8CB0DB" w14:textId="1A6F0C4D" w:rsidR="00A743E0" w:rsidRPr="00E6476E" w:rsidRDefault="00A743E0" w:rsidP="00A743E0">
            <w:pPr>
              <w:spacing w:after="0" w:line="240" w:lineRule="auto"/>
              <w:jc w:val="right"/>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Engl B60</w:t>
            </w:r>
          </w:p>
        </w:tc>
        <w:tc>
          <w:tcPr>
            <w:tcW w:w="2016" w:type="dxa"/>
            <w:tcBorders>
              <w:top w:val="nil"/>
              <w:left w:val="nil"/>
              <w:bottom w:val="nil"/>
              <w:right w:val="nil"/>
            </w:tcBorders>
            <w:shd w:val="clear" w:color="auto" w:fill="auto"/>
            <w:noWrap/>
            <w:vAlign w:val="bottom"/>
            <w:hideMark/>
          </w:tcPr>
          <w:p w14:paraId="4C69A823" w14:textId="5F22E639" w:rsidR="00A743E0" w:rsidRPr="00E6476E" w:rsidRDefault="00A743E0" w:rsidP="00A743E0">
            <w:pPr>
              <w:tabs>
                <w:tab w:val="decimal" w:pos="1055"/>
              </w:tabs>
              <w:spacing w:after="0" w:line="240" w:lineRule="auto"/>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96</w:t>
            </w:r>
          </w:p>
        </w:tc>
        <w:tc>
          <w:tcPr>
            <w:tcW w:w="3312" w:type="dxa"/>
            <w:tcBorders>
              <w:top w:val="nil"/>
              <w:left w:val="nil"/>
              <w:bottom w:val="nil"/>
              <w:right w:val="nil"/>
            </w:tcBorders>
            <w:shd w:val="clear" w:color="auto" w:fill="auto"/>
            <w:noWrap/>
            <w:vAlign w:val="bottom"/>
            <w:hideMark/>
          </w:tcPr>
          <w:p w14:paraId="0C6413BF" w14:textId="202BDA89"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4.1</w:t>
            </w:r>
          </w:p>
        </w:tc>
        <w:tc>
          <w:tcPr>
            <w:tcW w:w="3312" w:type="dxa"/>
            <w:tcBorders>
              <w:top w:val="nil"/>
              <w:left w:val="nil"/>
              <w:bottom w:val="nil"/>
              <w:right w:val="nil"/>
            </w:tcBorders>
            <w:shd w:val="clear" w:color="auto" w:fill="auto"/>
            <w:noWrap/>
            <w:vAlign w:val="bottom"/>
            <w:hideMark/>
          </w:tcPr>
          <w:p w14:paraId="76562F5F" w14:textId="30D172F4"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3.6</w:t>
            </w:r>
          </w:p>
        </w:tc>
      </w:tr>
      <w:tr w:rsidR="00A743E0" w:rsidRPr="00E6476E" w14:paraId="32FBD7F1" w14:textId="77777777" w:rsidTr="00EB1B0F">
        <w:trPr>
          <w:trHeight w:val="255"/>
        </w:trPr>
        <w:tc>
          <w:tcPr>
            <w:tcW w:w="2250" w:type="dxa"/>
            <w:tcBorders>
              <w:top w:val="nil"/>
              <w:left w:val="nil"/>
              <w:bottom w:val="nil"/>
              <w:right w:val="nil"/>
            </w:tcBorders>
            <w:shd w:val="clear" w:color="auto" w:fill="auto"/>
            <w:noWrap/>
            <w:vAlign w:val="bottom"/>
            <w:hideMark/>
          </w:tcPr>
          <w:p w14:paraId="16A13BDA" w14:textId="40E655D5" w:rsidR="00A743E0" w:rsidRPr="00E6476E" w:rsidRDefault="00A743E0" w:rsidP="00A743E0">
            <w:pPr>
              <w:spacing w:after="0" w:line="240" w:lineRule="auto"/>
              <w:jc w:val="right"/>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Engl B53</w:t>
            </w:r>
          </w:p>
        </w:tc>
        <w:tc>
          <w:tcPr>
            <w:tcW w:w="2016" w:type="dxa"/>
            <w:tcBorders>
              <w:top w:val="nil"/>
              <w:left w:val="nil"/>
              <w:bottom w:val="nil"/>
              <w:right w:val="nil"/>
            </w:tcBorders>
            <w:shd w:val="clear" w:color="auto" w:fill="auto"/>
            <w:noWrap/>
            <w:vAlign w:val="bottom"/>
            <w:hideMark/>
          </w:tcPr>
          <w:p w14:paraId="4281E845" w14:textId="3271AE50" w:rsidR="00A743E0" w:rsidRPr="00E6476E" w:rsidRDefault="00A743E0" w:rsidP="00A743E0">
            <w:pPr>
              <w:tabs>
                <w:tab w:val="decimal" w:pos="1055"/>
              </w:tabs>
              <w:spacing w:after="0" w:line="240" w:lineRule="auto"/>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190</w:t>
            </w:r>
          </w:p>
        </w:tc>
        <w:tc>
          <w:tcPr>
            <w:tcW w:w="3312" w:type="dxa"/>
            <w:tcBorders>
              <w:top w:val="nil"/>
              <w:left w:val="nil"/>
              <w:bottom w:val="nil"/>
              <w:right w:val="nil"/>
            </w:tcBorders>
            <w:shd w:val="clear" w:color="auto" w:fill="auto"/>
            <w:noWrap/>
            <w:vAlign w:val="bottom"/>
            <w:hideMark/>
          </w:tcPr>
          <w:p w14:paraId="0CB88340" w14:textId="5126F580"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3.1</w:t>
            </w:r>
          </w:p>
        </w:tc>
        <w:tc>
          <w:tcPr>
            <w:tcW w:w="3312" w:type="dxa"/>
            <w:tcBorders>
              <w:top w:val="nil"/>
              <w:left w:val="nil"/>
              <w:bottom w:val="nil"/>
              <w:right w:val="nil"/>
            </w:tcBorders>
            <w:shd w:val="clear" w:color="auto" w:fill="auto"/>
            <w:noWrap/>
            <w:vAlign w:val="bottom"/>
            <w:hideMark/>
          </w:tcPr>
          <w:p w14:paraId="1D8FDC1C" w14:textId="7B502CB0"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2.4</w:t>
            </w:r>
          </w:p>
        </w:tc>
      </w:tr>
      <w:tr w:rsidR="00A743E0" w:rsidRPr="00E6476E" w14:paraId="6847601F" w14:textId="77777777" w:rsidTr="00EB1B0F">
        <w:trPr>
          <w:trHeight w:val="255"/>
        </w:trPr>
        <w:tc>
          <w:tcPr>
            <w:tcW w:w="2250" w:type="dxa"/>
            <w:tcBorders>
              <w:top w:val="nil"/>
              <w:left w:val="nil"/>
              <w:right w:val="nil"/>
            </w:tcBorders>
            <w:shd w:val="clear" w:color="auto" w:fill="auto"/>
            <w:noWrap/>
            <w:vAlign w:val="bottom"/>
            <w:hideMark/>
          </w:tcPr>
          <w:p w14:paraId="0298141E" w14:textId="0BC628CE" w:rsidR="00A743E0" w:rsidRPr="00E6476E" w:rsidRDefault="00A743E0" w:rsidP="00A743E0">
            <w:pPr>
              <w:spacing w:after="0" w:line="240" w:lineRule="auto"/>
              <w:jc w:val="right"/>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Engl B50</w:t>
            </w:r>
          </w:p>
        </w:tc>
        <w:tc>
          <w:tcPr>
            <w:tcW w:w="2016" w:type="dxa"/>
            <w:tcBorders>
              <w:top w:val="nil"/>
              <w:left w:val="nil"/>
              <w:right w:val="nil"/>
            </w:tcBorders>
            <w:shd w:val="clear" w:color="auto" w:fill="auto"/>
            <w:noWrap/>
            <w:vAlign w:val="bottom"/>
            <w:hideMark/>
          </w:tcPr>
          <w:p w14:paraId="1F487507" w14:textId="7B46C764" w:rsidR="00A743E0" w:rsidRPr="00E6476E" w:rsidRDefault="00A743E0" w:rsidP="00A743E0">
            <w:pPr>
              <w:tabs>
                <w:tab w:val="decimal" w:pos="1055"/>
              </w:tabs>
              <w:spacing w:after="0" w:line="240" w:lineRule="auto"/>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558</w:t>
            </w:r>
          </w:p>
        </w:tc>
        <w:tc>
          <w:tcPr>
            <w:tcW w:w="3312" w:type="dxa"/>
            <w:tcBorders>
              <w:top w:val="nil"/>
              <w:left w:val="nil"/>
              <w:right w:val="nil"/>
            </w:tcBorders>
            <w:shd w:val="clear" w:color="auto" w:fill="auto"/>
            <w:noWrap/>
            <w:vAlign w:val="bottom"/>
            <w:hideMark/>
          </w:tcPr>
          <w:p w14:paraId="39BE54E1" w14:textId="28C94EE9"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3.2</w:t>
            </w:r>
          </w:p>
        </w:tc>
        <w:tc>
          <w:tcPr>
            <w:tcW w:w="3312" w:type="dxa"/>
            <w:tcBorders>
              <w:top w:val="nil"/>
              <w:left w:val="nil"/>
              <w:right w:val="nil"/>
            </w:tcBorders>
            <w:shd w:val="clear" w:color="auto" w:fill="auto"/>
            <w:noWrap/>
            <w:vAlign w:val="bottom"/>
            <w:hideMark/>
          </w:tcPr>
          <w:p w14:paraId="55CB0338" w14:textId="6710D16B"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2.4</w:t>
            </w:r>
          </w:p>
        </w:tc>
      </w:tr>
      <w:tr w:rsidR="00A743E0" w:rsidRPr="00E6476E" w14:paraId="69387DDB" w14:textId="77777777" w:rsidTr="00EB1B0F">
        <w:trPr>
          <w:trHeight w:val="255"/>
        </w:trPr>
        <w:tc>
          <w:tcPr>
            <w:tcW w:w="2250" w:type="dxa"/>
            <w:tcBorders>
              <w:top w:val="nil"/>
              <w:left w:val="nil"/>
              <w:bottom w:val="single" w:sz="4" w:space="0" w:color="auto"/>
              <w:right w:val="nil"/>
            </w:tcBorders>
            <w:shd w:val="clear" w:color="auto" w:fill="auto"/>
            <w:noWrap/>
            <w:vAlign w:val="bottom"/>
            <w:hideMark/>
          </w:tcPr>
          <w:p w14:paraId="153F6ADE" w14:textId="4CD2E98C" w:rsidR="00A743E0" w:rsidRPr="00E6476E" w:rsidRDefault="00A743E0" w:rsidP="00A743E0">
            <w:pPr>
              <w:spacing w:after="0" w:line="240" w:lineRule="auto"/>
              <w:jc w:val="right"/>
              <w:rPr>
                <w:rFonts w:ascii="Times New Roman" w:eastAsia="Times New Roman" w:hAnsi="Times New Roman" w:cs="Times New Roman"/>
                <w:color w:val="000000"/>
                <w:sz w:val="20"/>
                <w:szCs w:val="20"/>
              </w:rPr>
            </w:pPr>
            <w:r w:rsidRPr="00E6476E">
              <w:rPr>
                <w:rFonts w:ascii="Times New Roman" w:eastAsia="Times New Roman" w:hAnsi="Times New Roman" w:cs="Times New Roman"/>
                <w:color w:val="000000"/>
                <w:sz w:val="20"/>
                <w:szCs w:val="20"/>
              </w:rPr>
              <w:t>LRNC B510</w:t>
            </w:r>
            <w:r w:rsidR="00EB1B0F" w:rsidRPr="00E6476E">
              <w:rPr>
                <w:rFonts w:ascii="Times New Roman" w:eastAsia="Times New Roman" w:hAnsi="Times New Roman" w:cs="Times New Roman"/>
                <w:color w:val="000000"/>
                <w:sz w:val="20"/>
                <w:szCs w:val="20"/>
              </w:rPr>
              <w:t xml:space="preserve"> (Engl B50)</w:t>
            </w:r>
          </w:p>
        </w:tc>
        <w:tc>
          <w:tcPr>
            <w:tcW w:w="2016" w:type="dxa"/>
            <w:tcBorders>
              <w:top w:val="nil"/>
              <w:left w:val="nil"/>
              <w:bottom w:val="single" w:sz="4" w:space="0" w:color="auto"/>
              <w:right w:val="nil"/>
            </w:tcBorders>
            <w:shd w:val="clear" w:color="auto" w:fill="auto"/>
            <w:noWrap/>
            <w:vAlign w:val="bottom"/>
            <w:hideMark/>
          </w:tcPr>
          <w:p w14:paraId="3CF385D0" w14:textId="20AC98AB" w:rsidR="00A743E0" w:rsidRPr="00E6476E" w:rsidRDefault="00A743E0" w:rsidP="00A743E0">
            <w:pPr>
              <w:tabs>
                <w:tab w:val="decimal" w:pos="1055"/>
              </w:tabs>
              <w:spacing w:after="0" w:line="240" w:lineRule="auto"/>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124</w:t>
            </w:r>
          </w:p>
        </w:tc>
        <w:tc>
          <w:tcPr>
            <w:tcW w:w="3312" w:type="dxa"/>
            <w:tcBorders>
              <w:top w:val="nil"/>
              <w:left w:val="nil"/>
              <w:bottom w:val="single" w:sz="4" w:space="0" w:color="auto"/>
              <w:right w:val="nil"/>
            </w:tcBorders>
            <w:shd w:val="clear" w:color="auto" w:fill="auto"/>
            <w:noWrap/>
            <w:vAlign w:val="bottom"/>
            <w:hideMark/>
          </w:tcPr>
          <w:p w14:paraId="65615B1F" w14:textId="069BC94C"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1.3</w:t>
            </w:r>
          </w:p>
        </w:tc>
        <w:tc>
          <w:tcPr>
            <w:tcW w:w="3312" w:type="dxa"/>
            <w:tcBorders>
              <w:top w:val="nil"/>
              <w:left w:val="nil"/>
              <w:bottom w:val="single" w:sz="4" w:space="0" w:color="auto"/>
              <w:right w:val="nil"/>
            </w:tcBorders>
            <w:shd w:val="clear" w:color="auto" w:fill="auto"/>
            <w:noWrap/>
            <w:vAlign w:val="bottom"/>
            <w:hideMark/>
          </w:tcPr>
          <w:p w14:paraId="62F196F1" w14:textId="31E49EAC" w:rsidR="00A743E0" w:rsidRPr="00E6476E" w:rsidRDefault="00A743E0" w:rsidP="00A743E0">
            <w:pPr>
              <w:spacing w:after="0" w:line="240" w:lineRule="auto"/>
              <w:jc w:val="center"/>
              <w:rPr>
                <w:rFonts w:ascii="Times New Roman" w:eastAsia="Times New Roman" w:hAnsi="Times New Roman" w:cs="Times New Roman"/>
                <w:color w:val="000000"/>
                <w:sz w:val="20"/>
                <w:szCs w:val="20"/>
              </w:rPr>
            </w:pPr>
            <w:r w:rsidRPr="00E6476E">
              <w:rPr>
                <w:rFonts w:ascii="Times New Roman" w:hAnsi="Times New Roman" w:cs="Times New Roman"/>
                <w:color w:val="000000"/>
                <w:sz w:val="20"/>
                <w:szCs w:val="20"/>
              </w:rPr>
              <w:t>0.7</w:t>
            </w:r>
          </w:p>
        </w:tc>
      </w:tr>
    </w:tbl>
    <w:p w14:paraId="5160F6B9" w14:textId="77777777" w:rsidR="00D21031" w:rsidRDefault="00D21031" w:rsidP="00347697">
      <w:pPr>
        <w:spacing w:after="0" w:line="240" w:lineRule="auto"/>
        <w:rPr>
          <w:rFonts w:ascii="Times New Roman" w:hAnsi="Times New Roman" w:cs="Times New Roman"/>
          <w:sz w:val="24"/>
          <w:szCs w:val="24"/>
        </w:rPr>
      </w:pPr>
    </w:p>
    <w:p w14:paraId="0857C1C1" w14:textId="77777777" w:rsidR="00655DAE" w:rsidRDefault="00655DAE">
      <w:pPr>
        <w:rPr>
          <w:rFonts w:ascii="Times New Roman" w:hAnsi="Times New Roman" w:cs="Times New Roman"/>
          <w:sz w:val="24"/>
          <w:szCs w:val="24"/>
        </w:rPr>
      </w:pPr>
      <w:r>
        <w:rPr>
          <w:rFonts w:ascii="Times New Roman" w:hAnsi="Times New Roman" w:cs="Times New Roman"/>
          <w:sz w:val="24"/>
          <w:szCs w:val="24"/>
        </w:rPr>
        <w:br w:type="page"/>
      </w:r>
    </w:p>
    <w:p w14:paraId="1ACAC1E5" w14:textId="1FFE731F" w:rsidR="00282C3C" w:rsidRDefault="00282C3C" w:rsidP="00282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1</w:t>
      </w:r>
      <w:r w:rsidR="00D334A5">
        <w:rPr>
          <w:rFonts w:ascii="Times New Roman" w:hAnsi="Times New Roman" w:cs="Times New Roman"/>
          <w:sz w:val="24"/>
          <w:szCs w:val="24"/>
        </w:rPr>
        <w:t>1</w:t>
      </w:r>
      <w:r>
        <w:rPr>
          <w:rFonts w:ascii="Times New Roman" w:hAnsi="Times New Roman" w:cs="Times New Roman"/>
          <w:sz w:val="24"/>
          <w:szCs w:val="24"/>
        </w:rPr>
        <w:t xml:space="preserve">:  </w:t>
      </w:r>
      <w:r w:rsidRPr="00B47E3F">
        <w:rPr>
          <w:rFonts w:ascii="Times New Roman" w:hAnsi="Times New Roman" w:cs="Times New Roman"/>
          <w:sz w:val="24"/>
          <w:szCs w:val="24"/>
        </w:rPr>
        <w:t xml:space="preserve">Distribution of second </w:t>
      </w:r>
      <w:r>
        <w:rPr>
          <w:rFonts w:ascii="Times New Roman" w:hAnsi="Times New Roman" w:cs="Times New Roman"/>
          <w:sz w:val="24"/>
          <w:szCs w:val="24"/>
        </w:rPr>
        <w:t>English</w:t>
      </w:r>
      <w:r w:rsidRPr="00B47E3F">
        <w:rPr>
          <w:rFonts w:ascii="Times New Roman" w:hAnsi="Times New Roman" w:cs="Times New Roman"/>
          <w:sz w:val="24"/>
          <w:szCs w:val="24"/>
        </w:rPr>
        <w:t xml:space="preserve"> course attempted by first </w:t>
      </w:r>
      <w:r>
        <w:rPr>
          <w:rFonts w:ascii="Times New Roman" w:hAnsi="Times New Roman" w:cs="Times New Roman"/>
          <w:sz w:val="24"/>
          <w:szCs w:val="24"/>
        </w:rPr>
        <w:t>English</w:t>
      </w:r>
      <w:r w:rsidRPr="00B47E3F">
        <w:rPr>
          <w:rFonts w:ascii="Times New Roman" w:hAnsi="Times New Roman" w:cs="Times New Roman"/>
          <w:sz w:val="24"/>
          <w:szCs w:val="24"/>
        </w:rPr>
        <w:t xml:space="preserve"> course attempted </w:t>
      </w:r>
      <w:r w:rsidR="00567CED">
        <w:rPr>
          <w:rFonts w:ascii="Times New Roman" w:hAnsi="Times New Roman" w:cs="Times New Roman"/>
          <w:sz w:val="24"/>
          <w:szCs w:val="24"/>
        </w:rPr>
        <w:t>and outcome in first attempt of first English course</w:t>
      </w:r>
      <w:r w:rsidR="00E93D2D">
        <w:rPr>
          <w:rFonts w:ascii="Times New Roman" w:hAnsi="Times New Roman" w:cs="Times New Roman"/>
          <w:sz w:val="24"/>
          <w:szCs w:val="24"/>
        </w:rPr>
        <w:t>, either successful or unsuccessful</w:t>
      </w:r>
      <w:r w:rsidR="00567CED">
        <w:rPr>
          <w:rFonts w:ascii="Times New Roman" w:hAnsi="Times New Roman" w:cs="Times New Roman"/>
          <w:sz w:val="24"/>
          <w:szCs w:val="24"/>
        </w:rPr>
        <w:t xml:space="preserve"> </w:t>
      </w:r>
    </w:p>
    <w:p w14:paraId="6F7D39DE" w14:textId="77777777" w:rsidR="00282C3C" w:rsidRDefault="00282C3C" w:rsidP="00282C3C">
      <w:pPr>
        <w:spacing w:after="0" w:line="240" w:lineRule="auto"/>
        <w:rPr>
          <w:rFonts w:ascii="Times New Roman" w:hAnsi="Times New Roman" w:cs="Times New Roman"/>
          <w:sz w:val="24"/>
          <w:szCs w:val="24"/>
        </w:rPr>
      </w:pPr>
    </w:p>
    <w:tbl>
      <w:tblPr>
        <w:tblW w:w="12960" w:type="dxa"/>
        <w:tblLayout w:type="fixed"/>
        <w:tblCellMar>
          <w:left w:w="115" w:type="dxa"/>
          <w:right w:w="115" w:type="dxa"/>
        </w:tblCellMar>
        <w:tblLook w:val="04A0" w:firstRow="1" w:lastRow="0" w:firstColumn="1" w:lastColumn="0" w:noHBand="0" w:noVBand="1"/>
      </w:tblPr>
      <w:tblGrid>
        <w:gridCol w:w="2308"/>
        <w:gridCol w:w="1065"/>
        <w:gridCol w:w="1065"/>
        <w:gridCol w:w="1065"/>
        <w:gridCol w:w="1065"/>
        <w:gridCol w:w="1066"/>
        <w:gridCol w:w="1065"/>
        <w:gridCol w:w="1065"/>
        <w:gridCol w:w="1065"/>
        <w:gridCol w:w="1065"/>
        <w:gridCol w:w="1066"/>
      </w:tblGrid>
      <w:tr w:rsidR="007C162A" w:rsidRPr="00E6476E" w14:paraId="5583A977" w14:textId="77777777" w:rsidTr="007554E7">
        <w:trPr>
          <w:trHeight w:val="288"/>
        </w:trPr>
        <w:tc>
          <w:tcPr>
            <w:tcW w:w="2308" w:type="dxa"/>
            <w:tcBorders>
              <w:top w:val="single" w:sz="4" w:space="0" w:color="auto"/>
              <w:left w:val="nil"/>
              <w:right w:val="nil"/>
            </w:tcBorders>
            <w:shd w:val="clear" w:color="auto" w:fill="auto"/>
            <w:noWrap/>
            <w:vAlign w:val="bottom"/>
          </w:tcPr>
          <w:p w14:paraId="7A528DFF" w14:textId="77777777" w:rsidR="007C162A" w:rsidRPr="00E6476E" w:rsidRDefault="007C162A" w:rsidP="005F14AA">
            <w:pPr>
              <w:spacing w:after="0" w:line="240" w:lineRule="auto"/>
              <w:jc w:val="center"/>
              <w:rPr>
                <w:rFonts w:ascii="Times New Roman" w:eastAsia="Times New Roman" w:hAnsi="Times New Roman" w:cs="Times New Roman"/>
                <w:color w:val="000000"/>
                <w:sz w:val="16"/>
                <w:szCs w:val="16"/>
              </w:rPr>
            </w:pPr>
          </w:p>
        </w:tc>
        <w:tc>
          <w:tcPr>
            <w:tcW w:w="1065" w:type="dxa"/>
            <w:tcBorders>
              <w:top w:val="single" w:sz="4" w:space="0" w:color="auto"/>
              <w:left w:val="nil"/>
              <w:right w:val="nil"/>
            </w:tcBorders>
            <w:shd w:val="clear" w:color="auto" w:fill="auto"/>
            <w:vAlign w:val="bottom"/>
          </w:tcPr>
          <w:p w14:paraId="4C1E5D7B" w14:textId="78FB1ED7" w:rsidR="007C162A" w:rsidRPr="00E6476E" w:rsidRDefault="007C162A" w:rsidP="005F14AA">
            <w:pPr>
              <w:spacing w:after="0" w:line="240" w:lineRule="auto"/>
              <w:jc w:val="center"/>
              <w:rPr>
                <w:rFonts w:ascii="Times New Roman" w:eastAsia="Times New Roman" w:hAnsi="Times New Roman" w:cs="Times New Roman"/>
                <w:color w:val="000000"/>
                <w:sz w:val="16"/>
                <w:szCs w:val="16"/>
              </w:rPr>
            </w:pPr>
          </w:p>
        </w:tc>
        <w:tc>
          <w:tcPr>
            <w:tcW w:w="9587" w:type="dxa"/>
            <w:gridSpan w:val="9"/>
            <w:tcBorders>
              <w:top w:val="single" w:sz="4" w:space="0" w:color="auto"/>
              <w:left w:val="nil"/>
              <w:bottom w:val="single" w:sz="4" w:space="0" w:color="auto"/>
              <w:right w:val="nil"/>
            </w:tcBorders>
            <w:shd w:val="clear" w:color="auto" w:fill="auto"/>
            <w:vAlign w:val="bottom"/>
          </w:tcPr>
          <w:p w14:paraId="593EB3C6" w14:textId="5055EAED" w:rsidR="007C162A" w:rsidRPr="00E6476E" w:rsidRDefault="007C162A" w:rsidP="007C162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Second English Course</w:t>
            </w:r>
          </w:p>
        </w:tc>
      </w:tr>
      <w:tr w:rsidR="005F14AA" w:rsidRPr="00E6476E" w14:paraId="087D08AB" w14:textId="77777777" w:rsidTr="005F14AA">
        <w:trPr>
          <w:trHeight w:val="510"/>
        </w:trPr>
        <w:tc>
          <w:tcPr>
            <w:tcW w:w="2308" w:type="dxa"/>
            <w:tcBorders>
              <w:left w:val="nil"/>
              <w:right w:val="nil"/>
            </w:tcBorders>
            <w:shd w:val="clear" w:color="auto" w:fill="auto"/>
            <w:noWrap/>
            <w:vAlign w:val="bottom"/>
          </w:tcPr>
          <w:p w14:paraId="3221E506"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p>
        </w:tc>
        <w:tc>
          <w:tcPr>
            <w:tcW w:w="1065" w:type="dxa"/>
            <w:tcBorders>
              <w:left w:val="nil"/>
              <w:bottom w:val="single" w:sz="4" w:space="0" w:color="auto"/>
              <w:right w:val="nil"/>
            </w:tcBorders>
            <w:shd w:val="clear" w:color="auto" w:fill="auto"/>
            <w:vAlign w:val="bottom"/>
            <w:hideMark/>
          </w:tcPr>
          <w:p w14:paraId="595BD5E5" w14:textId="77777777" w:rsidR="005F14AA" w:rsidRPr="00E6476E" w:rsidRDefault="005F14AA" w:rsidP="005F14AA">
            <w:pPr>
              <w:spacing w:after="0" w:line="240" w:lineRule="auto"/>
              <w:jc w:val="center"/>
              <w:rPr>
                <w:rFonts w:ascii="Times New Roman" w:eastAsia="Times New Roman" w:hAnsi="Times New Roman" w:cs="Times New Roman"/>
                <w:i/>
                <w:color w:val="000000"/>
                <w:sz w:val="16"/>
                <w:szCs w:val="16"/>
              </w:rPr>
            </w:pPr>
            <w:r w:rsidRPr="00E6476E">
              <w:rPr>
                <w:rFonts w:ascii="Times New Roman" w:eastAsia="Times New Roman" w:hAnsi="Times New Roman" w:cs="Times New Roman"/>
                <w:i/>
                <w:color w:val="000000"/>
                <w:sz w:val="16"/>
                <w:szCs w:val="16"/>
              </w:rPr>
              <w:t>N</w:t>
            </w:r>
          </w:p>
        </w:tc>
        <w:tc>
          <w:tcPr>
            <w:tcW w:w="1065" w:type="dxa"/>
            <w:tcBorders>
              <w:top w:val="single" w:sz="4" w:space="0" w:color="auto"/>
              <w:left w:val="nil"/>
              <w:bottom w:val="single" w:sz="4" w:space="0" w:color="auto"/>
              <w:right w:val="nil"/>
            </w:tcBorders>
            <w:shd w:val="clear" w:color="auto" w:fill="auto"/>
            <w:vAlign w:val="bottom"/>
            <w:hideMark/>
          </w:tcPr>
          <w:p w14:paraId="33298D4E"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No Second English</w:t>
            </w:r>
          </w:p>
        </w:tc>
        <w:tc>
          <w:tcPr>
            <w:tcW w:w="1065" w:type="dxa"/>
            <w:tcBorders>
              <w:top w:val="single" w:sz="4" w:space="0" w:color="auto"/>
              <w:left w:val="nil"/>
              <w:bottom w:val="single" w:sz="4" w:space="0" w:color="auto"/>
              <w:right w:val="nil"/>
            </w:tcBorders>
            <w:shd w:val="clear" w:color="auto" w:fill="auto"/>
            <w:vAlign w:val="bottom"/>
            <w:hideMark/>
          </w:tcPr>
          <w:p w14:paraId="5C1EBE61" w14:textId="68F4A82D"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Repeat</w:t>
            </w:r>
          </w:p>
        </w:tc>
        <w:tc>
          <w:tcPr>
            <w:tcW w:w="1065" w:type="dxa"/>
            <w:tcBorders>
              <w:top w:val="single" w:sz="4" w:space="0" w:color="auto"/>
              <w:left w:val="nil"/>
              <w:bottom w:val="single" w:sz="4" w:space="0" w:color="auto"/>
              <w:right w:val="nil"/>
            </w:tcBorders>
            <w:shd w:val="clear" w:color="auto" w:fill="auto"/>
            <w:vAlign w:val="bottom"/>
            <w:hideMark/>
          </w:tcPr>
          <w:p w14:paraId="227A6F4C"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Engl B60</w:t>
            </w:r>
          </w:p>
        </w:tc>
        <w:tc>
          <w:tcPr>
            <w:tcW w:w="1066" w:type="dxa"/>
            <w:tcBorders>
              <w:top w:val="single" w:sz="4" w:space="0" w:color="auto"/>
              <w:left w:val="nil"/>
              <w:bottom w:val="single" w:sz="4" w:space="0" w:color="auto"/>
              <w:right w:val="nil"/>
            </w:tcBorders>
            <w:shd w:val="clear" w:color="auto" w:fill="auto"/>
            <w:vAlign w:val="bottom"/>
            <w:hideMark/>
          </w:tcPr>
          <w:p w14:paraId="4E0C8B34"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 xml:space="preserve">Engl B53 </w:t>
            </w:r>
          </w:p>
        </w:tc>
        <w:tc>
          <w:tcPr>
            <w:tcW w:w="1065" w:type="dxa"/>
            <w:tcBorders>
              <w:top w:val="single" w:sz="4" w:space="0" w:color="auto"/>
              <w:left w:val="nil"/>
              <w:bottom w:val="single" w:sz="4" w:space="0" w:color="auto"/>
              <w:right w:val="nil"/>
            </w:tcBorders>
            <w:shd w:val="clear" w:color="auto" w:fill="auto"/>
            <w:vAlign w:val="bottom"/>
            <w:hideMark/>
          </w:tcPr>
          <w:p w14:paraId="52452680"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Engl B50</w:t>
            </w:r>
          </w:p>
        </w:tc>
        <w:tc>
          <w:tcPr>
            <w:tcW w:w="1065" w:type="dxa"/>
            <w:tcBorders>
              <w:top w:val="single" w:sz="4" w:space="0" w:color="auto"/>
              <w:left w:val="nil"/>
              <w:bottom w:val="single" w:sz="4" w:space="0" w:color="auto"/>
              <w:right w:val="nil"/>
            </w:tcBorders>
            <w:shd w:val="clear" w:color="auto" w:fill="auto"/>
            <w:vAlign w:val="bottom"/>
            <w:hideMark/>
          </w:tcPr>
          <w:p w14:paraId="15AC3EE8" w14:textId="77777777" w:rsidR="005F14AA" w:rsidRPr="00E6476E" w:rsidRDefault="005F14AA" w:rsidP="005F14AA">
            <w:pPr>
              <w:spacing w:after="0" w:line="240" w:lineRule="auto"/>
              <w:jc w:val="center"/>
              <w:rPr>
                <w:rFonts w:ascii="Times New Roman" w:hAnsi="Times New Roman" w:cs="Times New Roman"/>
                <w:color w:val="000000"/>
                <w:sz w:val="16"/>
                <w:szCs w:val="16"/>
              </w:rPr>
            </w:pPr>
            <w:r w:rsidRPr="00E6476E">
              <w:rPr>
                <w:rFonts w:ascii="Times New Roman" w:hAnsi="Times New Roman" w:cs="Times New Roman"/>
                <w:color w:val="000000"/>
                <w:sz w:val="16"/>
                <w:szCs w:val="16"/>
              </w:rPr>
              <w:t>LRNC B510</w:t>
            </w:r>
          </w:p>
          <w:p w14:paraId="41E2E9D2" w14:textId="0BF5FF8F"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(Engl B1A)</w:t>
            </w:r>
          </w:p>
        </w:tc>
        <w:tc>
          <w:tcPr>
            <w:tcW w:w="1065" w:type="dxa"/>
            <w:tcBorders>
              <w:top w:val="single" w:sz="4" w:space="0" w:color="auto"/>
              <w:left w:val="nil"/>
              <w:bottom w:val="single" w:sz="4" w:space="0" w:color="auto"/>
              <w:right w:val="nil"/>
            </w:tcBorders>
            <w:shd w:val="clear" w:color="auto" w:fill="auto"/>
            <w:vAlign w:val="bottom"/>
            <w:hideMark/>
          </w:tcPr>
          <w:p w14:paraId="3930F7A7" w14:textId="30A25019"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Engl B1A</w:t>
            </w:r>
          </w:p>
        </w:tc>
        <w:tc>
          <w:tcPr>
            <w:tcW w:w="1065" w:type="dxa"/>
            <w:tcBorders>
              <w:top w:val="single" w:sz="4" w:space="0" w:color="auto"/>
              <w:left w:val="nil"/>
              <w:bottom w:val="single" w:sz="4" w:space="0" w:color="auto"/>
              <w:right w:val="nil"/>
            </w:tcBorders>
            <w:shd w:val="clear" w:color="auto" w:fill="auto"/>
            <w:vAlign w:val="bottom"/>
            <w:hideMark/>
          </w:tcPr>
          <w:p w14:paraId="26999DC2" w14:textId="26BCD1B9"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Other</w:t>
            </w:r>
          </w:p>
        </w:tc>
        <w:tc>
          <w:tcPr>
            <w:tcW w:w="1066" w:type="dxa"/>
            <w:tcBorders>
              <w:top w:val="single" w:sz="4" w:space="0" w:color="auto"/>
              <w:left w:val="nil"/>
              <w:bottom w:val="single" w:sz="4" w:space="0" w:color="auto"/>
              <w:right w:val="nil"/>
            </w:tcBorders>
            <w:shd w:val="clear" w:color="auto" w:fill="auto"/>
            <w:vAlign w:val="bottom"/>
            <w:hideMark/>
          </w:tcPr>
          <w:p w14:paraId="6E45D804"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Total</w:t>
            </w:r>
          </w:p>
        </w:tc>
      </w:tr>
      <w:tr w:rsidR="005F14AA" w:rsidRPr="00E6476E" w14:paraId="4D14ECA7" w14:textId="77777777" w:rsidTr="005F14AA">
        <w:trPr>
          <w:trHeight w:val="255"/>
        </w:trPr>
        <w:tc>
          <w:tcPr>
            <w:tcW w:w="2308" w:type="dxa"/>
            <w:tcBorders>
              <w:left w:val="nil"/>
              <w:right w:val="nil"/>
            </w:tcBorders>
            <w:shd w:val="clear" w:color="auto" w:fill="auto"/>
            <w:noWrap/>
            <w:vAlign w:val="bottom"/>
          </w:tcPr>
          <w:p w14:paraId="2A48E662"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p>
        </w:tc>
        <w:tc>
          <w:tcPr>
            <w:tcW w:w="1065" w:type="dxa"/>
            <w:tcBorders>
              <w:top w:val="single" w:sz="4" w:space="0" w:color="auto"/>
              <w:left w:val="nil"/>
              <w:right w:val="nil"/>
            </w:tcBorders>
            <w:shd w:val="clear" w:color="auto" w:fill="auto"/>
            <w:noWrap/>
            <w:vAlign w:val="bottom"/>
          </w:tcPr>
          <w:p w14:paraId="49BAF892" w14:textId="77777777" w:rsidR="005F14AA" w:rsidRPr="00E6476E" w:rsidRDefault="005F14AA" w:rsidP="005F14AA">
            <w:pPr>
              <w:tabs>
                <w:tab w:val="decimal" w:pos="561"/>
              </w:tabs>
              <w:spacing w:after="0" w:line="240" w:lineRule="auto"/>
              <w:rPr>
                <w:rFonts w:ascii="Times New Roman" w:hAnsi="Times New Roman" w:cs="Times New Roman"/>
                <w:color w:val="000000"/>
                <w:sz w:val="16"/>
                <w:szCs w:val="16"/>
              </w:rPr>
            </w:pPr>
          </w:p>
        </w:tc>
        <w:tc>
          <w:tcPr>
            <w:tcW w:w="1065" w:type="dxa"/>
            <w:tcBorders>
              <w:top w:val="single" w:sz="4" w:space="0" w:color="auto"/>
              <w:left w:val="nil"/>
              <w:right w:val="nil"/>
            </w:tcBorders>
            <w:shd w:val="clear" w:color="auto" w:fill="auto"/>
            <w:noWrap/>
            <w:vAlign w:val="bottom"/>
          </w:tcPr>
          <w:p w14:paraId="24DED102"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single" w:sz="4" w:space="0" w:color="auto"/>
              <w:left w:val="nil"/>
              <w:right w:val="nil"/>
            </w:tcBorders>
            <w:shd w:val="clear" w:color="auto" w:fill="auto"/>
            <w:noWrap/>
            <w:vAlign w:val="bottom"/>
          </w:tcPr>
          <w:p w14:paraId="1304F6A5"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single" w:sz="4" w:space="0" w:color="auto"/>
              <w:left w:val="nil"/>
              <w:right w:val="nil"/>
            </w:tcBorders>
            <w:shd w:val="clear" w:color="auto" w:fill="auto"/>
            <w:noWrap/>
            <w:vAlign w:val="bottom"/>
          </w:tcPr>
          <w:p w14:paraId="4076E545"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6" w:type="dxa"/>
            <w:tcBorders>
              <w:top w:val="single" w:sz="4" w:space="0" w:color="auto"/>
              <w:left w:val="nil"/>
              <w:right w:val="nil"/>
            </w:tcBorders>
            <w:shd w:val="clear" w:color="auto" w:fill="auto"/>
            <w:noWrap/>
            <w:vAlign w:val="bottom"/>
          </w:tcPr>
          <w:p w14:paraId="2C464CED"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single" w:sz="4" w:space="0" w:color="auto"/>
              <w:left w:val="nil"/>
              <w:right w:val="nil"/>
            </w:tcBorders>
            <w:shd w:val="clear" w:color="auto" w:fill="auto"/>
            <w:noWrap/>
            <w:vAlign w:val="bottom"/>
          </w:tcPr>
          <w:p w14:paraId="2001F72B"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single" w:sz="4" w:space="0" w:color="auto"/>
              <w:left w:val="nil"/>
              <w:right w:val="nil"/>
            </w:tcBorders>
            <w:shd w:val="clear" w:color="auto" w:fill="auto"/>
            <w:noWrap/>
            <w:vAlign w:val="bottom"/>
          </w:tcPr>
          <w:p w14:paraId="0673E2A6"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single" w:sz="4" w:space="0" w:color="auto"/>
              <w:left w:val="nil"/>
              <w:right w:val="nil"/>
            </w:tcBorders>
            <w:shd w:val="clear" w:color="auto" w:fill="auto"/>
            <w:noWrap/>
            <w:vAlign w:val="bottom"/>
          </w:tcPr>
          <w:p w14:paraId="26CAAC5C"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single" w:sz="4" w:space="0" w:color="auto"/>
              <w:left w:val="nil"/>
              <w:right w:val="nil"/>
            </w:tcBorders>
            <w:shd w:val="clear" w:color="auto" w:fill="auto"/>
            <w:noWrap/>
            <w:vAlign w:val="bottom"/>
          </w:tcPr>
          <w:p w14:paraId="484305C9"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6" w:type="dxa"/>
            <w:tcBorders>
              <w:top w:val="single" w:sz="4" w:space="0" w:color="auto"/>
              <w:left w:val="nil"/>
              <w:right w:val="nil"/>
            </w:tcBorders>
            <w:shd w:val="clear" w:color="auto" w:fill="auto"/>
            <w:noWrap/>
            <w:vAlign w:val="bottom"/>
          </w:tcPr>
          <w:p w14:paraId="4E41CAFB"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p>
        </w:tc>
      </w:tr>
      <w:tr w:rsidR="005F14AA" w:rsidRPr="00E6476E" w14:paraId="0C055B15" w14:textId="77777777" w:rsidTr="00567CED">
        <w:trPr>
          <w:trHeight w:val="255"/>
        </w:trPr>
        <w:tc>
          <w:tcPr>
            <w:tcW w:w="2308" w:type="dxa"/>
            <w:tcBorders>
              <w:left w:val="nil"/>
              <w:right w:val="nil"/>
            </w:tcBorders>
            <w:shd w:val="clear" w:color="auto" w:fill="auto"/>
            <w:noWrap/>
            <w:vAlign w:val="bottom"/>
          </w:tcPr>
          <w:p w14:paraId="1B58DF7E" w14:textId="0BD52BEF" w:rsidR="005F14AA" w:rsidRPr="00E6476E" w:rsidRDefault="005F14AA" w:rsidP="005F14AA">
            <w:pPr>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Successful in First Attempt of First English Course</w:t>
            </w:r>
          </w:p>
        </w:tc>
        <w:tc>
          <w:tcPr>
            <w:tcW w:w="1065" w:type="dxa"/>
            <w:tcBorders>
              <w:left w:val="nil"/>
              <w:right w:val="nil"/>
            </w:tcBorders>
            <w:shd w:val="clear" w:color="auto" w:fill="auto"/>
            <w:noWrap/>
            <w:vAlign w:val="bottom"/>
          </w:tcPr>
          <w:p w14:paraId="3B82A417" w14:textId="77777777" w:rsidR="005F14AA" w:rsidRPr="00E6476E" w:rsidRDefault="005F14AA" w:rsidP="005F14AA">
            <w:pPr>
              <w:tabs>
                <w:tab w:val="decimal" w:pos="561"/>
              </w:tabs>
              <w:spacing w:after="0" w:line="240" w:lineRule="auto"/>
              <w:rPr>
                <w:rFonts w:ascii="Times New Roman" w:hAnsi="Times New Roman" w:cs="Times New Roman"/>
                <w:color w:val="000000"/>
                <w:sz w:val="16"/>
                <w:szCs w:val="16"/>
              </w:rPr>
            </w:pPr>
          </w:p>
        </w:tc>
        <w:tc>
          <w:tcPr>
            <w:tcW w:w="1065" w:type="dxa"/>
            <w:tcBorders>
              <w:left w:val="nil"/>
              <w:right w:val="nil"/>
            </w:tcBorders>
            <w:shd w:val="clear" w:color="auto" w:fill="auto"/>
            <w:noWrap/>
            <w:vAlign w:val="bottom"/>
          </w:tcPr>
          <w:p w14:paraId="1DDDCC7E"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left w:val="nil"/>
              <w:right w:val="nil"/>
            </w:tcBorders>
            <w:shd w:val="clear" w:color="auto" w:fill="auto"/>
            <w:noWrap/>
            <w:vAlign w:val="bottom"/>
          </w:tcPr>
          <w:p w14:paraId="60FAB1D9"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left w:val="nil"/>
              <w:right w:val="nil"/>
            </w:tcBorders>
            <w:shd w:val="clear" w:color="auto" w:fill="auto"/>
            <w:noWrap/>
            <w:vAlign w:val="bottom"/>
          </w:tcPr>
          <w:p w14:paraId="0C85B4E4"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6" w:type="dxa"/>
            <w:tcBorders>
              <w:left w:val="nil"/>
              <w:right w:val="nil"/>
            </w:tcBorders>
            <w:shd w:val="clear" w:color="auto" w:fill="auto"/>
            <w:noWrap/>
            <w:vAlign w:val="bottom"/>
          </w:tcPr>
          <w:p w14:paraId="00794741"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left w:val="nil"/>
              <w:right w:val="nil"/>
            </w:tcBorders>
            <w:shd w:val="clear" w:color="auto" w:fill="auto"/>
            <w:noWrap/>
            <w:vAlign w:val="bottom"/>
          </w:tcPr>
          <w:p w14:paraId="47AF3379"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left w:val="nil"/>
              <w:right w:val="nil"/>
            </w:tcBorders>
            <w:shd w:val="clear" w:color="auto" w:fill="auto"/>
            <w:noWrap/>
            <w:vAlign w:val="bottom"/>
          </w:tcPr>
          <w:p w14:paraId="27567EE7"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left w:val="nil"/>
              <w:right w:val="nil"/>
            </w:tcBorders>
            <w:shd w:val="clear" w:color="auto" w:fill="auto"/>
            <w:noWrap/>
            <w:vAlign w:val="bottom"/>
          </w:tcPr>
          <w:p w14:paraId="3C4F2FF9"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left w:val="nil"/>
              <w:right w:val="nil"/>
            </w:tcBorders>
            <w:shd w:val="clear" w:color="auto" w:fill="auto"/>
            <w:noWrap/>
            <w:vAlign w:val="bottom"/>
          </w:tcPr>
          <w:p w14:paraId="44F024F2"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6" w:type="dxa"/>
            <w:tcBorders>
              <w:left w:val="nil"/>
              <w:right w:val="nil"/>
            </w:tcBorders>
            <w:shd w:val="clear" w:color="auto" w:fill="auto"/>
            <w:noWrap/>
            <w:vAlign w:val="bottom"/>
          </w:tcPr>
          <w:p w14:paraId="4BC62850"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p>
        </w:tc>
      </w:tr>
      <w:tr w:rsidR="005F14AA" w:rsidRPr="00E6476E" w14:paraId="702BF631" w14:textId="77777777" w:rsidTr="00F51AB3">
        <w:trPr>
          <w:trHeight w:val="255"/>
        </w:trPr>
        <w:tc>
          <w:tcPr>
            <w:tcW w:w="2308" w:type="dxa"/>
            <w:tcBorders>
              <w:left w:val="nil"/>
              <w:bottom w:val="nil"/>
              <w:right w:val="nil"/>
            </w:tcBorders>
            <w:shd w:val="clear" w:color="auto" w:fill="auto"/>
            <w:noWrap/>
            <w:vAlign w:val="bottom"/>
            <w:hideMark/>
          </w:tcPr>
          <w:p w14:paraId="3FC23B4C"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ACDV B80</w:t>
            </w:r>
          </w:p>
        </w:tc>
        <w:tc>
          <w:tcPr>
            <w:tcW w:w="1065" w:type="dxa"/>
            <w:tcBorders>
              <w:left w:val="nil"/>
              <w:bottom w:val="nil"/>
              <w:right w:val="nil"/>
            </w:tcBorders>
            <w:shd w:val="clear" w:color="auto" w:fill="auto"/>
            <w:noWrap/>
            <w:vAlign w:val="bottom"/>
            <w:hideMark/>
          </w:tcPr>
          <w:p w14:paraId="1969AEC6" w14:textId="187C6897" w:rsidR="005F14AA" w:rsidRPr="00E6476E" w:rsidRDefault="005F14AA" w:rsidP="005F14AA">
            <w:pPr>
              <w:tabs>
                <w:tab w:val="decimal" w:pos="561"/>
              </w:tabs>
              <w:spacing w:after="0" w:line="240" w:lineRule="auto"/>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58</w:t>
            </w:r>
          </w:p>
        </w:tc>
        <w:tc>
          <w:tcPr>
            <w:tcW w:w="1065" w:type="dxa"/>
            <w:tcBorders>
              <w:left w:val="nil"/>
              <w:bottom w:val="nil"/>
              <w:right w:val="nil"/>
            </w:tcBorders>
            <w:shd w:val="clear" w:color="auto" w:fill="auto"/>
            <w:noWrap/>
            <w:vAlign w:val="bottom"/>
            <w:hideMark/>
          </w:tcPr>
          <w:p w14:paraId="0662A572" w14:textId="5443E52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31%</w:t>
            </w:r>
          </w:p>
        </w:tc>
        <w:tc>
          <w:tcPr>
            <w:tcW w:w="1065" w:type="dxa"/>
            <w:tcBorders>
              <w:left w:val="nil"/>
              <w:bottom w:val="nil"/>
              <w:right w:val="nil"/>
            </w:tcBorders>
            <w:shd w:val="clear" w:color="auto" w:fill="auto"/>
            <w:noWrap/>
            <w:vAlign w:val="bottom"/>
            <w:hideMark/>
          </w:tcPr>
          <w:p w14:paraId="1171ACC8" w14:textId="1EC048D1"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left w:val="nil"/>
              <w:bottom w:val="nil"/>
              <w:right w:val="nil"/>
            </w:tcBorders>
            <w:shd w:val="clear" w:color="auto" w:fill="auto"/>
            <w:noWrap/>
            <w:vAlign w:val="bottom"/>
            <w:hideMark/>
          </w:tcPr>
          <w:p w14:paraId="50FE2822" w14:textId="26EC90B3"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26%</w:t>
            </w:r>
          </w:p>
        </w:tc>
        <w:tc>
          <w:tcPr>
            <w:tcW w:w="1066" w:type="dxa"/>
            <w:tcBorders>
              <w:left w:val="nil"/>
              <w:bottom w:val="nil"/>
              <w:right w:val="nil"/>
            </w:tcBorders>
            <w:shd w:val="clear" w:color="auto" w:fill="auto"/>
            <w:noWrap/>
            <w:vAlign w:val="bottom"/>
            <w:hideMark/>
          </w:tcPr>
          <w:p w14:paraId="41567206" w14:textId="44DB49E1"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26%</w:t>
            </w:r>
          </w:p>
        </w:tc>
        <w:tc>
          <w:tcPr>
            <w:tcW w:w="1065" w:type="dxa"/>
            <w:tcBorders>
              <w:left w:val="nil"/>
              <w:bottom w:val="nil"/>
              <w:right w:val="nil"/>
            </w:tcBorders>
            <w:shd w:val="clear" w:color="auto" w:fill="auto"/>
            <w:noWrap/>
            <w:vAlign w:val="bottom"/>
            <w:hideMark/>
          </w:tcPr>
          <w:p w14:paraId="2C612992" w14:textId="76E9E065"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left w:val="nil"/>
              <w:bottom w:val="nil"/>
              <w:right w:val="nil"/>
            </w:tcBorders>
            <w:shd w:val="clear" w:color="auto" w:fill="auto"/>
            <w:noWrap/>
            <w:vAlign w:val="bottom"/>
            <w:hideMark/>
          </w:tcPr>
          <w:p w14:paraId="26849444" w14:textId="3E0D5815"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left w:val="nil"/>
              <w:bottom w:val="nil"/>
              <w:right w:val="nil"/>
            </w:tcBorders>
            <w:shd w:val="clear" w:color="auto" w:fill="auto"/>
            <w:noWrap/>
            <w:vAlign w:val="bottom"/>
            <w:hideMark/>
          </w:tcPr>
          <w:p w14:paraId="4738C075" w14:textId="1477268F"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left w:val="nil"/>
              <w:bottom w:val="nil"/>
              <w:right w:val="nil"/>
            </w:tcBorders>
            <w:shd w:val="clear" w:color="auto" w:fill="auto"/>
            <w:noWrap/>
            <w:vAlign w:val="bottom"/>
            <w:hideMark/>
          </w:tcPr>
          <w:p w14:paraId="673C147B" w14:textId="1D9EBFEE"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17%</w:t>
            </w:r>
          </w:p>
        </w:tc>
        <w:tc>
          <w:tcPr>
            <w:tcW w:w="1066" w:type="dxa"/>
            <w:tcBorders>
              <w:left w:val="nil"/>
              <w:bottom w:val="nil"/>
              <w:right w:val="nil"/>
            </w:tcBorders>
            <w:shd w:val="clear" w:color="auto" w:fill="auto"/>
            <w:noWrap/>
            <w:vAlign w:val="bottom"/>
            <w:hideMark/>
          </w:tcPr>
          <w:p w14:paraId="06EA9392"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100%</w:t>
            </w:r>
          </w:p>
        </w:tc>
      </w:tr>
      <w:tr w:rsidR="005F14AA" w:rsidRPr="00E6476E" w14:paraId="669D0110" w14:textId="77777777" w:rsidTr="00F51AB3">
        <w:trPr>
          <w:trHeight w:val="255"/>
        </w:trPr>
        <w:tc>
          <w:tcPr>
            <w:tcW w:w="2308" w:type="dxa"/>
            <w:tcBorders>
              <w:top w:val="nil"/>
              <w:left w:val="nil"/>
              <w:bottom w:val="nil"/>
              <w:right w:val="nil"/>
            </w:tcBorders>
            <w:shd w:val="clear" w:color="auto" w:fill="auto"/>
            <w:noWrap/>
            <w:vAlign w:val="bottom"/>
            <w:hideMark/>
          </w:tcPr>
          <w:p w14:paraId="6190B1CE"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Engl B60</w:t>
            </w:r>
          </w:p>
        </w:tc>
        <w:tc>
          <w:tcPr>
            <w:tcW w:w="1065" w:type="dxa"/>
            <w:tcBorders>
              <w:top w:val="nil"/>
              <w:left w:val="nil"/>
              <w:bottom w:val="nil"/>
              <w:right w:val="nil"/>
            </w:tcBorders>
            <w:shd w:val="clear" w:color="auto" w:fill="auto"/>
            <w:noWrap/>
            <w:vAlign w:val="bottom"/>
            <w:hideMark/>
          </w:tcPr>
          <w:p w14:paraId="07021D5B" w14:textId="62779C8C" w:rsidR="005F14AA" w:rsidRPr="00E6476E" w:rsidRDefault="005F14AA" w:rsidP="005F14AA">
            <w:pPr>
              <w:tabs>
                <w:tab w:val="decimal" w:pos="561"/>
              </w:tabs>
              <w:spacing w:after="0" w:line="240" w:lineRule="auto"/>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247</w:t>
            </w:r>
          </w:p>
        </w:tc>
        <w:tc>
          <w:tcPr>
            <w:tcW w:w="1065" w:type="dxa"/>
            <w:tcBorders>
              <w:top w:val="nil"/>
              <w:left w:val="nil"/>
              <w:bottom w:val="nil"/>
              <w:right w:val="nil"/>
            </w:tcBorders>
            <w:shd w:val="clear" w:color="auto" w:fill="auto"/>
            <w:noWrap/>
            <w:vAlign w:val="bottom"/>
            <w:hideMark/>
          </w:tcPr>
          <w:p w14:paraId="772CE6A6" w14:textId="5BCE5772"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23%</w:t>
            </w:r>
          </w:p>
        </w:tc>
        <w:tc>
          <w:tcPr>
            <w:tcW w:w="1065" w:type="dxa"/>
            <w:tcBorders>
              <w:top w:val="nil"/>
              <w:left w:val="nil"/>
              <w:bottom w:val="nil"/>
              <w:right w:val="nil"/>
            </w:tcBorders>
            <w:shd w:val="clear" w:color="auto" w:fill="auto"/>
            <w:noWrap/>
            <w:vAlign w:val="bottom"/>
            <w:hideMark/>
          </w:tcPr>
          <w:p w14:paraId="10997029" w14:textId="577F5CFE"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69708020" w14:textId="7FDC7CF5"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6" w:type="dxa"/>
            <w:tcBorders>
              <w:top w:val="nil"/>
              <w:left w:val="nil"/>
              <w:bottom w:val="nil"/>
              <w:right w:val="nil"/>
            </w:tcBorders>
            <w:shd w:val="clear" w:color="auto" w:fill="auto"/>
            <w:noWrap/>
            <w:vAlign w:val="bottom"/>
            <w:hideMark/>
          </w:tcPr>
          <w:p w14:paraId="1BF04469" w14:textId="4F26AEA3"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6B7D427D" w14:textId="47551575"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60%</w:t>
            </w:r>
          </w:p>
        </w:tc>
        <w:tc>
          <w:tcPr>
            <w:tcW w:w="1065" w:type="dxa"/>
            <w:tcBorders>
              <w:top w:val="nil"/>
              <w:left w:val="nil"/>
              <w:bottom w:val="nil"/>
              <w:right w:val="nil"/>
            </w:tcBorders>
            <w:shd w:val="clear" w:color="auto" w:fill="auto"/>
            <w:noWrap/>
            <w:vAlign w:val="bottom"/>
            <w:hideMark/>
          </w:tcPr>
          <w:p w14:paraId="3F6CA727" w14:textId="08E477A9"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465552D1" w14:textId="6A827494"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5256F8FC" w14:textId="22F1DDED"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17%</w:t>
            </w:r>
          </w:p>
        </w:tc>
        <w:tc>
          <w:tcPr>
            <w:tcW w:w="1066" w:type="dxa"/>
            <w:tcBorders>
              <w:top w:val="nil"/>
              <w:left w:val="nil"/>
              <w:bottom w:val="nil"/>
              <w:right w:val="nil"/>
            </w:tcBorders>
            <w:shd w:val="clear" w:color="auto" w:fill="auto"/>
            <w:noWrap/>
            <w:vAlign w:val="bottom"/>
            <w:hideMark/>
          </w:tcPr>
          <w:p w14:paraId="6D9ACC50"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100%</w:t>
            </w:r>
          </w:p>
        </w:tc>
      </w:tr>
      <w:tr w:rsidR="005F14AA" w:rsidRPr="00E6476E" w14:paraId="10470AD5" w14:textId="77777777" w:rsidTr="00F51AB3">
        <w:trPr>
          <w:trHeight w:val="255"/>
        </w:trPr>
        <w:tc>
          <w:tcPr>
            <w:tcW w:w="2308" w:type="dxa"/>
            <w:tcBorders>
              <w:top w:val="nil"/>
              <w:left w:val="nil"/>
              <w:bottom w:val="nil"/>
              <w:right w:val="nil"/>
            </w:tcBorders>
            <w:shd w:val="clear" w:color="auto" w:fill="auto"/>
            <w:noWrap/>
            <w:vAlign w:val="bottom"/>
            <w:hideMark/>
          </w:tcPr>
          <w:p w14:paraId="303EA126"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Engl B53</w:t>
            </w:r>
          </w:p>
        </w:tc>
        <w:tc>
          <w:tcPr>
            <w:tcW w:w="1065" w:type="dxa"/>
            <w:tcBorders>
              <w:top w:val="nil"/>
              <w:left w:val="nil"/>
              <w:bottom w:val="nil"/>
              <w:right w:val="nil"/>
            </w:tcBorders>
            <w:shd w:val="clear" w:color="auto" w:fill="auto"/>
            <w:noWrap/>
            <w:vAlign w:val="bottom"/>
            <w:hideMark/>
          </w:tcPr>
          <w:p w14:paraId="6DB8FC94" w14:textId="7E66A00A" w:rsidR="005F14AA" w:rsidRPr="00E6476E" w:rsidRDefault="005F14AA" w:rsidP="005F14AA">
            <w:pPr>
              <w:tabs>
                <w:tab w:val="decimal" w:pos="561"/>
              </w:tabs>
              <w:spacing w:after="0" w:line="240" w:lineRule="auto"/>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288</w:t>
            </w:r>
          </w:p>
        </w:tc>
        <w:tc>
          <w:tcPr>
            <w:tcW w:w="1065" w:type="dxa"/>
            <w:tcBorders>
              <w:top w:val="nil"/>
              <w:left w:val="nil"/>
              <w:bottom w:val="nil"/>
              <w:right w:val="nil"/>
            </w:tcBorders>
            <w:shd w:val="clear" w:color="auto" w:fill="auto"/>
            <w:noWrap/>
            <w:vAlign w:val="bottom"/>
            <w:hideMark/>
          </w:tcPr>
          <w:p w14:paraId="6CBEA86F" w14:textId="3C87FBF2"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15%</w:t>
            </w:r>
          </w:p>
        </w:tc>
        <w:tc>
          <w:tcPr>
            <w:tcW w:w="1065" w:type="dxa"/>
            <w:tcBorders>
              <w:top w:val="nil"/>
              <w:left w:val="nil"/>
              <w:bottom w:val="nil"/>
              <w:right w:val="nil"/>
            </w:tcBorders>
            <w:shd w:val="clear" w:color="auto" w:fill="auto"/>
            <w:noWrap/>
            <w:vAlign w:val="bottom"/>
            <w:hideMark/>
          </w:tcPr>
          <w:p w14:paraId="69508F1A" w14:textId="682C143B"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528EBE1F" w14:textId="0DA4123F"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6" w:type="dxa"/>
            <w:tcBorders>
              <w:top w:val="nil"/>
              <w:left w:val="nil"/>
              <w:bottom w:val="nil"/>
              <w:right w:val="nil"/>
            </w:tcBorders>
            <w:shd w:val="clear" w:color="auto" w:fill="auto"/>
            <w:noWrap/>
            <w:vAlign w:val="bottom"/>
            <w:hideMark/>
          </w:tcPr>
          <w:p w14:paraId="492097C2" w14:textId="078DA18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026AC7EB" w14:textId="73014F8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55843F10" w14:textId="0BCE88D1"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4D742799" w14:textId="2779D9A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84%</w:t>
            </w:r>
          </w:p>
        </w:tc>
        <w:tc>
          <w:tcPr>
            <w:tcW w:w="1065" w:type="dxa"/>
            <w:tcBorders>
              <w:top w:val="nil"/>
              <w:left w:val="nil"/>
              <w:bottom w:val="nil"/>
              <w:right w:val="nil"/>
            </w:tcBorders>
            <w:shd w:val="clear" w:color="auto" w:fill="auto"/>
            <w:noWrap/>
            <w:vAlign w:val="bottom"/>
            <w:hideMark/>
          </w:tcPr>
          <w:p w14:paraId="7C2000CE" w14:textId="08C3435A"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1%</w:t>
            </w:r>
          </w:p>
        </w:tc>
        <w:tc>
          <w:tcPr>
            <w:tcW w:w="1066" w:type="dxa"/>
            <w:tcBorders>
              <w:top w:val="nil"/>
              <w:left w:val="nil"/>
              <w:bottom w:val="nil"/>
              <w:right w:val="nil"/>
            </w:tcBorders>
            <w:shd w:val="clear" w:color="auto" w:fill="auto"/>
            <w:noWrap/>
            <w:vAlign w:val="bottom"/>
            <w:hideMark/>
          </w:tcPr>
          <w:p w14:paraId="72CBD213"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100%</w:t>
            </w:r>
          </w:p>
        </w:tc>
      </w:tr>
      <w:tr w:rsidR="005F14AA" w:rsidRPr="00E6476E" w14:paraId="05135999" w14:textId="77777777" w:rsidTr="00F51AB3">
        <w:trPr>
          <w:trHeight w:val="255"/>
        </w:trPr>
        <w:tc>
          <w:tcPr>
            <w:tcW w:w="2308" w:type="dxa"/>
            <w:tcBorders>
              <w:top w:val="nil"/>
              <w:left w:val="nil"/>
              <w:right w:val="nil"/>
            </w:tcBorders>
            <w:shd w:val="clear" w:color="auto" w:fill="auto"/>
            <w:noWrap/>
            <w:vAlign w:val="bottom"/>
            <w:hideMark/>
          </w:tcPr>
          <w:p w14:paraId="10773E76"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Engl B50</w:t>
            </w:r>
          </w:p>
        </w:tc>
        <w:tc>
          <w:tcPr>
            <w:tcW w:w="1065" w:type="dxa"/>
            <w:tcBorders>
              <w:top w:val="nil"/>
              <w:left w:val="nil"/>
              <w:right w:val="nil"/>
            </w:tcBorders>
            <w:shd w:val="clear" w:color="auto" w:fill="auto"/>
            <w:noWrap/>
            <w:vAlign w:val="bottom"/>
            <w:hideMark/>
          </w:tcPr>
          <w:p w14:paraId="49A3E75E" w14:textId="79B0DE78" w:rsidR="005F14AA" w:rsidRPr="00E6476E" w:rsidRDefault="005F14AA" w:rsidP="005F14AA">
            <w:pPr>
              <w:tabs>
                <w:tab w:val="decimal" w:pos="561"/>
              </w:tabs>
              <w:spacing w:after="0" w:line="240" w:lineRule="auto"/>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742</w:t>
            </w:r>
          </w:p>
        </w:tc>
        <w:tc>
          <w:tcPr>
            <w:tcW w:w="1065" w:type="dxa"/>
            <w:tcBorders>
              <w:top w:val="nil"/>
              <w:left w:val="nil"/>
              <w:right w:val="nil"/>
            </w:tcBorders>
            <w:shd w:val="clear" w:color="auto" w:fill="auto"/>
            <w:noWrap/>
            <w:vAlign w:val="bottom"/>
            <w:hideMark/>
          </w:tcPr>
          <w:p w14:paraId="2FEFEB53" w14:textId="77E66853"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16%</w:t>
            </w:r>
          </w:p>
        </w:tc>
        <w:tc>
          <w:tcPr>
            <w:tcW w:w="1065" w:type="dxa"/>
            <w:tcBorders>
              <w:top w:val="nil"/>
              <w:left w:val="nil"/>
              <w:right w:val="nil"/>
            </w:tcBorders>
            <w:shd w:val="clear" w:color="auto" w:fill="auto"/>
            <w:noWrap/>
            <w:vAlign w:val="bottom"/>
            <w:hideMark/>
          </w:tcPr>
          <w:p w14:paraId="22239164" w14:textId="713E6F4E"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right w:val="nil"/>
            </w:tcBorders>
            <w:shd w:val="clear" w:color="auto" w:fill="auto"/>
            <w:noWrap/>
            <w:vAlign w:val="bottom"/>
            <w:hideMark/>
          </w:tcPr>
          <w:p w14:paraId="498D72AF" w14:textId="7F04A9B0"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6" w:type="dxa"/>
            <w:tcBorders>
              <w:top w:val="nil"/>
              <w:left w:val="nil"/>
              <w:right w:val="nil"/>
            </w:tcBorders>
            <w:shd w:val="clear" w:color="auto" w:fill="auto"/>
            <w:noWrap/>
            <w:vAlign w:val="bottom"/>
            <w:hideMark/>
          </w:tcPr>
          <w:p w14:paraId="527576BE" w14:textId="7592C976"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right w:val="nil"/>
            </w:tcBorders>
            <w:shd w:val="clear" w:color="auto" w:fill="auto"/>
            <w:noWrap/>
            <w:vAlign w:val="bottom"/>
            <w:hideMark/>
          </w:tcPr>
          <w:p w14:paraId="7F5948B0" w14:textId="1947986F"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right w:val="nil"/>
            </w:tcBorders>
            <w:shd w:val="clear" w:color="auto" w:fill="auto"/>
            <w:noWrap/>
            <w:vAlign w:val="bottom"/>
            <w:hideMark/>
          </w:tcPr>
          <w:p w14:paraId="1F4676D5" w14:textId="3D9C153B"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right w:val="nil"/>
            </w:tcBorders>
            <w:shd w:val="clear" w:color="auto" w:fill="auto"/>
            <w:noWrap/>
            <w:vAlign w:val="bottom"/>
            <w:hideMark/>
          </w:tcPr>
          <w:p w14:paraId="6D499C9F" w14:textId="6FAD28CC"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83%</w:t>
            </w:r>
          </w:p>
        </w:tc>
        <w:tc>
          <w:tcPr>
            <w:tcW w:w="1065" w:type="dxa"/>
            <w:tcBorders>
              <w:top w:val="nil"/>
              <w:left w:val="nil"/>
              <w:right w:val="nil"/>
            </w:tcBorders>
            <w:shd w:val="clear" w:color="auto" w:fill="auto"/>
            <w:noWrap/>
            <w:vAlign w:val="bottom"/>
            <w:hideMark/>
          </w:tcPr>
          <w:p w14:paraId="3C0A7866" w14:textId="5D273889"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0%</w:t>
            </w:r>
          </w:p>
        </w:tc>
        <w:tc>
          <w:tcPr>
            <w:tcW w:w="1066" w:type="dxa"/>
            <w:tcBorders>
              <w:top w:val="nil"/>
              <w:left w:val="nil"/>
              <w:right w:val="nil"/>
            </w:tcBorders>
            <w:shd w:val="clear" w:color="auto" w:fill="auto"/>
            <w:noWrap/>
            <w:vAlign w:val="bottom"/>
            <w:hideMark/>
          </w:tcPr>
          <w:p w14:paraId="78B9A59C"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100%</w:t>
            </w:r>
          </w:p>
        </w:tc>
      </w:tr>
      <w:tr w:rsidR="005F14AA" w:rsidRPr="00E6476E" w14:paraId="54AA9C7B" w14:textId="77777777" w:rsidTr="00F51AB3">
        <w:trPr>
          <w:trHeight w:val="255"/>
        </w:trPr>
        <w:tc>
          <w:tcPr>
            <w:tcW w:w="2308" w:type="dxa"/>
            <w:tcBorders>
              <w:top w:val="nil"/>
              <w:left w:val="nil"/>
              <w:bottom w:val="nil"/>
              <w:right w:val="nil"/>
            </w:tcBorders>
            <w:shd w:val="clear" w:color="auto" w:fill="auto"/>
            <w:noWrap/>
            <w:vAlign w:val="bottom"/>
            <w:hideMark/>
          </w:tcPr>
          <w:p w14:paraId="5260E2E0" w14:textId="32293B70"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LRNC B510</w:t>
            </w:r>
            <w:r w:rsidR="00EB1B0F" w:rsidRPr="00E6476E">
              <w:rPr>
                <w:rFonts w:ascii="Times New Roman" w:eastAsia="Times New Roman" w:hAnsi="Times New Roman" w:cs="Times New Roman"/>
                <w:color w:val="000000"/>
                <w:sz w:val="16"/>
                <w:szCs w:val="16"/>
              </w:rPr>
              <w:t xml:space="preserve"> (Engl B50)</w:t>
            </w:r>
          </w:p>
        </w:tc>
        <w:tc>
          <w:tcPr>
            <w:tcW w:w="1065" w:type="dxa"/>
            <w:tcBorders>
              <w:top w:val="nil"/>
              <w:left w:val="nil"/>
              <w:bottom w:val="nil"/>
              <w:right w:val="nil"/>
            </w:tcBorders>
            <w:shd w:val="clear" w:color="auto" w:fill="auto"/>
            <w:noWrap/>
            <w:vAlign w:val="bottom"/>
            <w:hideMark/>
          </w:tcPr>
          <w:p w14:paraId="69EC903A" w14:textId="4DA1613E" w:rsidR="005F14AA" w:rsidRPr="00E6476E" w:rsidRDefault="005F14AA" w:rsidP="005F14AA">
            <w:pPr>
              <w:tabs>
                <w:tab w:val="decimal" w:pos="561"/>
              </w:tabs>
              <w:spacing w:after="0" w:line="240" w:lineRule="auto"/>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151</w:t>
            </w:r>
          </w:p>
        </w:tc>
        <w:tc>
          <w:tcPr>
            <w:tcW w:w="1065" w:type="dxa"/>
            <w:tcBorders>
              <w:top w:val="nil"/>
              <w:left w:val="nil"/>
              <w:bottom w:val="nil"/>
              <w:right w:val="nil"/>
            </w:tcBorders>
            <w:shd w:val="clear" w:color="auto" w:fill="auto"/>
            <w:noWrap/>
            <w:vAlign w:val="bottom"/>
            <w:hideMark/>
          </w:tcPr>
          <w:p w14:paraId="3365EDA4" w14:textId="0DB3CEBF"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2%</w:t>
            </w:r>
          </w:p>
        </w:tc>
        <w:tc>
          <w:tcPr>
            <w:tcW w:w="1065" w:type="dxa"/>
            <w:tcBorders>
              <w:top w:val="nil"/>
              <w:left w:val="nil"/>
              <w:bottom w:val="nil"/>
              <w:right w:val="nil"/>
            </w:tcBorders>
            <w:shd w:val="clear" w:color="auto" w:fill="auto"/>
            <w:noWrap/>
            <w:vAlign w:val="bottom"/>
            <w:hideMark/>
          </w:tcPr>
          <w:p w14:paraId="685A8DFC" w14:textId="712E8B7F"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7505DB7A" w14:textId="13D41ED4"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6" w:type="dxa"/>
            <w:tcBorders>
              <w:top w:val="nil"/>
              <w:left w:val="nil"/>
              <w:bottom w:val="nil"/>
              <w:right w:val="nil"/>
            </w:tcBorders>
            <w:shd w:val="clear" w:color="auto" w:fill="auto"/>
            <w:noWrap/>
            <w:vAlign w:val="bottom"/>
            <w:hideMark/>
          </w:tcPr>
          <w:p w14:paraId="7CC1DCD7" w14:textId="270ADCC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34421852" w14:textId="6B306B08"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66ABD123" w14:textId="72712066"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95%</w:t>
            </w:r>
          </w:p>
        </w:tc>
        <w:tc>
          <w:tcPr>
            <w:tcW w:w="1065" w:type="dxa"/>
            <w:tcBorders>
              <w:top w:val="nil"/>
              <w:left w:val="nil"/>
              <w:bottom w:val="nil"/>
              <w:right w:val="nil"/>
            </w:tcBorders>
            <w:shd w:val="clear" w:color="auto" w:fill="auto"/>
            <w:noWrap/>
            <w:vAlign w:val="bottom"/>
            <w:hideMark/>
          </w:tcPr>
          <w:p w14:paraId="68831343" w14:textId="4B3E2D0A"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0786F298" w14:textId="4C03D960"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3%</w:t>
            </w:r>
          </w:p>
        </w:tc>
        <w:tc>
          <w:tcPr>
            <w:tcW w:w="1066" w:type="dxa"/>
            <w:tcBorders>
              <w:top w:val="nil"/>
              <w:left w:val="nil"/>
              <w:bottom w:val="nil"/>
              <w:right w:val="nil"/>
            </w:tcBorders>
            <w:shd w:val="clear" w:color="auto" w:fill="auto"/>
            <w:noWrap/>
            <w:vAlign w:val="bottom"/>
            <w:hideMark/>
          </w:tcPr>
          <w:p w14:paraId="5F15715B"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100%</w:t>
            </w:r>
          </w:p>
        </w:tc>
      </w:tr>
      <w:tr w:rsidR="005F14AA" w:rsidRPr="00E6476E" w14:paraId="1056BF9A" w14:textId="77777777" w:rsidTr="00F51AB3">
        <w:trPr>
          <w:trHeight w:val="255"/>
        </w:trPr>
        <w:tc>
          <w:tcPr>
            <w:tcW w:w="2308" w:type="dxa"/>
            <w:tcBorders>
              <w:top w:val="nil"/>
              <w:left w:val="nil"/>
              <w:bottom w:val="nil"/>
              <w:right w:val="nil"/>
            </w:tcBorders>
            <w:shd w:val="clear" w:color="auto" w:fill="auto"/>
            <w:noWrap/>
            <w:vAlign w:val="bottom"/>
          </w:tcPr>
          <w:p w14:paraId="06C61C2E"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7933D3C5" w14:textId="77777777" w:rsidR="005F14AA" w:rsidRPr="00E6476E" w:rsidRDefault="005F14AA" w:rsidP="005F14AA">
            <w:pPr>
              <w:tabs>
                <w:tab w:val="decimal" w:pos="561"/>
              </w:tabs>
              <w:spacing w:after="0" w:line="240" w:lineRule="auto"/>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54501C35"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20570FF9"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470C7A74"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6" w:type="dxa"/>
            <w:tcBorders>
              <w:top w:val="nil"/>
              <w:left w:val="nil"/>
              <w:bottom w:val="nil"/>
              <w:right w:val="nil"/>
            </w:tcBorders>
            <w:shd w:val="clear" w:color="auto" w:fill="auto"/>
            <w:noWrap/>
            <w:vAlign w:val="bottom"/>
          </w:tcPr>
          <w:p w14:paraId="44C29A6B"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78AAD262"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4C55FFCC"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1A431B3D"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1B78BCBE"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6" w:type="dxa"/>
            <w:tcBorders>
              <w:top w:val="nil"/>
              <w:left w:val="nil"/>
              <w:bottom w:val="nil"/>
              <w:right w:val="nil"/>
            </w:tcBorders>
            <w:shd w:val="clear" w:color="auto" w:fill="auto"/>
            <w:noWrap/>
            <w:vAlign w:val="bottom"/>
          </w:tcPr>
          <w:p w14:paraId="01ED86BD"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p>
        </w:tc>
      </w:tr>
      <w:tr w:rsidR="005F14AA" w:rsidRPr="00E6476E" w14:paraId="4A8526ED" w14:textId="77777777" w:rsidTr="00F51AB3">
        <w:trPr>
          <w:trHeight w:val="255"/>
        </w:trPr>
        <w:tc>
          <w:tcPr>
            <w:tcW w:w="2308" w:type="dxa"/>
            <w:tcBorders>
              <w:top w:val="nil"/>
              <w:left w:val="nil"/>
              <w:bottom w:val="nil"/>
              <w:right w:val="nil"/>
            </w:tcBorders>
            <w:shd w:val="clear" w:color="auto" w:fill="auto"/>
            <w:noWrap/>
            <w:vAlign w:val="bottom"/>
          </w:tcPr>
          <w:p w14:paraId="02F18864" w14:textId="0C032BB2" w:rsidR="005F14AA" w:rsidRPr="00E6476E" w:rsidRDefault="005F14AA" w:rsidP="005F14AA">
            <w:pPr>
              <w:spacing w:after="0" w:line="240" w:lineRule="auto"/>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Unsuccessful in First Attempt of First English Course</w:t>
            </w:r>
          </w:p>
        </w:tc>
        <w:tc>
          <w:tcPr>
            <w:tcW w:w="1065" w:type="dxa"/>
            <w:tcBorders>
              <w:top w:val="nil"/>
              <w:left w:val="nil"/>
              <w:bottom w:val="nil"/>
              <w:right w:val="nil"/>
            </w:tcBorders>
            <w:shd w:val="clear" w:color="auto" w:fill="auto"/>
            <w:noWrap/>
            <w:vAlign w:val="bottom"/>
          </w:tcPr>
          <w:p w14:paraId="070A1928" w14:textId="77777777" w:rsidR="005F14AA" w:rsidRPr="00E6476E" w:rsidRDefault="005F14AA" w:rsidP="005F14AA">
            <w:pPr>
              <w:tabs>
                <w:tab w:val="decimal" w:pos="561"/>
              </w:tabs>
              <w:spacing w:after="0" w:line="240" w:lineRule="auto"/>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2973C92F"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59F9DCA4"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61926298"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6" w:type="dxa"/>
            <w:tcBorders>
              <w:top w:val="nil"/>
              <w:left w:val="nil"/>
              <w:bottom w:val="nil"/>
              <w:right w:val="nil"/>
            </w:tcBorders>
            <w:shd w:val="clear" w:color="auto" w:fill="auto"/>
            <w:noWrap/>
            <w:vAlign w:val="bottom"/>
          </w:tcPr>
          <w:p w14:paraId="47DD4FAA"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1045FC8F"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67F6BE95"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7FFA42A6"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noWrap/>
            <w:vAlign w:val="bottom"/>
          </w:tcPr>
          <w:p w14:paraId="3EDBE96B"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6" w:type="dxa"/>
            <w:tcBorders>
              <w:top w:val="nil"/>
              <w:left w:val="nil"/>
              <w:bottom w:val="nil"/>
              <w:right w:val="nil"/>
            </w:tcBorders>
            <w:shd w:val="clear" w:color="auto" w:fill="auto"/>
            <w:noWrap/>
            <w:vAlign w:val="bottom"/>
          </w:tcPr>
          <w:p w14:paraId="15968551"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p>
        </w:tc>
      </w:tr>
      <w:tr w:rsidR="005F14AA" w:rsidRPr="00E6476E" w14:paraId="7A1F40E5" w14:textId="77777777" w:rsidTr="00F51AB3">
        <w:trPr>
          <w:trHeight w:val="255"/>
        </w:trPr>
        <w:tc>
          <w:tcPr>
            <w:tcW w:w="2308" w:type="dxa"/>
            <w:tcBorders>
              <w:left w:val="nil"/>
              <w:bottom w:val="nil"/>
              <w:right w:val="nil"/>
            </w:tcBorders>
            <w:shd w:val="clear" w:color="auto" w:fill="auto"/>
            <w:noWrap/>
            <w:vAlign w:val="bottom"/>
            <w:hideMark/>
          </w:tcPr>
          <w:p w14:paraId="64B824D2"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ACDV B80</w:t>
            </w:r>
          </w:p>
        </w:tc>
        <w:tc>
          <w:tcPr>
            <w:tcW w:w="1065" w:type="dxa"/>
            <w:tcBorders>
              <w:left w:val="nil"/>
              <w:bottom w:val="nil"/>
              <w:right w:val="nil"/>
            </w:tcBorders>
            <w:shd w:val="clear" w:color="auto" w:fill="auto"/>
            <w:noWrap/>
            <w:vAlign w:val="bottom"/>
            <w:hideMark/>
          </w:tcPr>
          <w:p w14:paraId="07696D7A" w14:textId="7A553054" w:rsidR="005F14AA" w:rsidRPr="00E6476E" w:rsidRDefault="005F14AA" w:rsidP="005F14AA">
            <w:pPr>
              <w:tabs>
                <w:tab w:val="decimal" w:pos="561"/>
              </w:tabs>
              <w:spacing w:after="0" w:line="240" w:lineRule="auto"/>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89</w:t>
            </w:r>
          </w:p>
        </w:tc>
        <w:tc>
          <w:tcPr>
            <w:tcW w:w="1065" w:type="dxa"/>
            <w:tcBorders>
              <w:left w:val="nil"/>
              <w:bottom w:val="nil"/>
              <w:right w:val="nil"/>
            </w:tcBorders>
            <w:shd w:val="clear" w:color="auto" w:fill="auto"/>
            <w:noWrap/>
            <w:vAlign w:val="bottom"/>
            <w:hideMark/>
          </w:tcPr>
          <w:p w14:paraId="729984FC" w14:textId="552BEE38"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73%</w:t>
            </w:r>
          </w:p>
        </w:tc>
        <w:tc>
          <w:tcPr>
            <w:tcW w:w="1065" w:type="dxa"/>
            <w:tcBorders>
              <w:left w:val="nil"/>
              <w:bottom w:val="nil"/>
              <w:right w:val="nil"/>
            </w:tcBorders>
            <w:shd w:val="clear" w:color="auto" w:fill="auto"/>
            <w:noWrap/>
            <w:vAlign w:val="bottom"/>
            <w:hideMark/>
          </w:tcPr>
          <w:p w14:paraId="068FA313" w14:textId="2FEE3466"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left w:val="nil"/>
              <w:bottom w:val="nil"/>
              <w:right w:val="nil"/>
            </w:tcBorders>
            <w:shd w:val="clear" w:color="auto" w:fill="auto"/>
            <w:noWrap/>
            <w:vAlign w:val="bottom"/>
            <w:hideMark/>
          </w:tcPr>
          <w:p w14:paraId="4F6FB631" w14:textId="4D05FE53"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6" w:type="dxa"/>
            <w:tcBorders>
              <w:left w:val="nil"/>
              <w:bottom w:val="nil"/>
              <w:right w:val="nil"/>
            </w:tcBorders>
            <w:shd w:val="clear" w:color="auto" w:fill="auto"/>
            <w:noWrap/>
            <w:vAlign w:val="bottom"/>
            <w:hideMark/>
          </w:tcPr>
          <w:p w14:paraId="0BAD48AD" w14:textId="001E370D"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left w:val="nil"/>
              <w:bottom w:val="nil"/>
              <w:right w:val="nil"/>
            </w:tcBorders>
            <w:shd w:val="clear" w:color="auto" w:fill="auto"/>
            <w:noWrap/>
            <w:vAlign w:val="bottom"/>
            <w:hideMark/>
          </w:tcPr>
          <w:p w14:paraId="11C9C448" w14:textId="6303D598"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left w:val="nil"/>
              <w:bottom w:val="nil"/>
              <w:right w:val="nil"/>
            </w:tcBorders>
            <w:shd w:val="clear" w:color="auto" w:fill="auto"/>
            <w:noWrap/>
            <w:vAlign w:val="bottom"/>
            <w:hideMark/>
          </w:tcPr>
          <w:p w14:paraId="047BB0D0"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left w:val="nil"/>
              <w:bottom w:val="nil"/>
              <w:right w:val="nil"/>
            </w:tcBorders>
            <w:shd w:val="clear" w:color="auto" w:fill="auto"/>
            <w:noWrap/>
            <w:vAlign w:val="bottom"/>
            <w:hideMark/>
          </w:tcPr>
          <w:p w14:paraId="183AC6F3"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left w:val="nil"/>
              <w:bottom w:val="nil"/>
              <w:right w:val="nil"/>
            </w:tcBorders>
            <w:shd w:val="clear" w:color="auto" w:fill="auto"/>
            <w:noWrap/>
            <w:vAlign w:val="bottom"/>
            <w:hideMark/>
          </w:tcPr>
          <w:p w14:paraId="21EF1246" w14:textId="2A34AA4F"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27%</w:t>
            </w:r>
          </w:p>
        </w:tc>
        <w:tc>
          <w:tcPr>
            <w:tcW w:w="1066" w:type="dxa"/>
            <w:tcBorders>
              <w:left w:val="nil"/>
              <w:bottom w:val="nil"/>
              <w:right w:val="nil"/>
            </w:tcBorders>
            <w:shd w:val="clear" w:color="auto" w:fill="auto"/>
            <w:noWrap/>
            <w:vAlign w:val="bottom"/>
            <w:hideMark/>
          </w:tcPr>
          <w:p w14:paraId="6B9CD188"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100%</w:t>
            </w:r>
          </w:p>
        </w:tc>
      </w:tr>
      <w:tr w:rsidR="005F14AA" w:rsidRPr="00E6476E" w14:paraId="3788C42A" w14:textId="77777777" w:rsidTr="00F51AB3">
        <w:trPr>
          <w:trHeight w:val="255"/>
        </w:trPr>
        <w:tc>
          <w:tcPr>
            <w:tcW w:w="2308" w:type="dxa"/>
            <w:tcBorders>
              <w:top w:val="nil"/>
              <w:left w:val="nil"/>
              <w:bottom w:val="nil"/>
              <w:right w:val="nil"/>
            </w:tcBorders>
            <w:shd w:val="clear" w:color="auto" w:fill="auto"/>
            <w:noWrap/>
            <w:vAlign w:val="bottom"/>
            <w:hideMark/>
          </w:tcPr>
          <w:p w14:paraId="1C098003"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Engl B60</w:t>
            </w:r>
          </w:p>
        </w:tc>
        <w:tc>
          <w:tcPr>
            <w:tcW w:w="1065" w:type="dxa"/>
            <w:tcBorders>
              <w:top w:val="nil"/>
              <w:left w:val="nil"/>
              <w:bottom w:val="nil"/>
              <w:right w:val="nil"/>
            </w:tcBorders>
            <w:shd w:val="clear" w:color="auto" w:fill="auto"/>
            <w:noWrap/>
            <w:vAlign w:val="bottom"/>
            <w:hideMark/>
          </w:tcPr>
          <w:p w14:paraId="3380BF71" w14:textId="7DEB768A" w:rsidR="005F14AA" w:rsidRPr="00E6476E" w:rsidRDefault="005F14AA" w:rsidP="005F14AA">
            <w:pPr>
              <w:tabs>
                <w:tab w:val="decimal" w:pos="561"/>
              </w:tabs>
              <w:spacing w:after="0" w:line="240" w:lineRule="auto"/>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394</w:t>
            </w:r>
          </w:p>
        </w:tc>
        <w:tc>
          <w:tcPr>
            <w:tcW w:w="1065" w:type="dxa"/>
            <w:tcBorders>
              <w:top w:val="nil"/>
              <w:left w:val="nil"/>
              <w:bottom w:val="nil"/>
              <w:right w:val="nil"/>
            </w:tcBorders>
            <w:shd w:val="clear" w:color="auto" w:fill="auto"/>
            <w:noWrap/>
            <w:vAlign w:val="bottom"/>
            <w:hideMark/>
          </w:tcPr>
          <w:p w14:paraId="6D3D2F69" w14:textId="7D2CD2F6"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62%</w:t>
            </w:r>
          </w:p>
        </w:tc>
        <w:tc>
          <w:tcPr>
            <w:tcW w:w="1065" w:type="dxa"/>
            <w:tcBorders>
              <w:top w:val="nil"/>
              <w:left w:val="nil"/>
              <w:bottom w:val="nil"/>
              <w:right w:val="nil"/>
            </w:tcBorders>
            <w:shd w:val="clear" w:color="auto" w:fill="auto"/>
            <w:noWrap/>
            <w:vAlign w:val="bottom"/>
            <w:hideMark/>
          </w:tcPr>
          <w:p w14:paraId="5F50B56C" w14:textId="692C6FE6"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23%</w:t>
            </w:r>
          </w:p>
        </w:tc>
        <w:tc>
          <w:tcPr>
            <w:tcW w:w="1065" w:type="dxa"/>
            <w:tcBorders>
              <w:top w:val="nil"/>
              <w:left w:val="nil"/>
              <w:bottom w:val="nil"/>
              <w:right w:val="nil"/>
            </w:tcBorders>
            <w:shd w:val="clear" w:color="auto" w:fill="auto"/>
            <w:noWrap/>
            <w:vAlign w:val="bottom"/>
            <w:hideMark/>
          </w:tcPr>
          <w:p w14:paraId="364CC7D4" w14:textId="1B5C017E"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6" w:type="dxa"/>
            <w:tcBorders>
              <w:top w:val="nil"/>
              <w:left w:val="nil"/>
              <w:bottom w:val="nil"/>
              <w:right w:val="nil"/>
            </w:tcBorders>
            <w:shd w:val="clear" w:color="auto" w:fill="auto"/>
            <w:noWrap/>
            <w:vAlign w:val="bottom"/>
            <w:hideMark/>
          </w:tcPr>
          <w:p w14:paraId="3A9AD074" w14:textId="0C226A69"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9%</w:t>
            </w:r>
          </w:p>
        </w:tc>
        <w:tc>
          <w:tcPr>
            <w:tcW w:w="1065" w:type="dxa"/>
            <w:tcBorders>
              <w:top w:val="nil"/>
              <w:left w:val="nil"/>
              <w:bottom w:val="nil"/>
              <w:right w:val="nil"/>
            </w:tcBorders>
            <w:shd w:val="clear" w:color="auto" w:fill="auto"/>
            <w:noWrap/>
            <w:vAlign w:val="bottom"/>
            <w:hideMark/>
          </w:tcPr>
          <w:p w14:paraId="603BD412" w14:textId="43962CA8"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72439FE3" w14:textId="6B90A406"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2759B024" w14:textId="78593E8A"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36C7257A" w14:textId="77687190"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7%</w:t>
            </w:r>
          </w:p>
        </w:tc>
        <w:tc>
          <w:tcPr>
            <w:tcW w:w="1066" w:type="dxa"/>
            <w:tcBorders>
              <w:top w:val="nil"/>
              <w:left w:val="nil"/>
              <w:bottom w:val="nil"/>
              <w:right w:val="nil"/>
            </w:tcBorders>
            <w:shd w:val="clear" w:color="auto" w:fill="auto"/>
            <w:noWrap/>
            <w:vAlign w:val="bottom"/>
            <w:hideMark/>
          </w:tcPr>
          <w:p w14:paraId="10F58F57"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100%</w:t>
            </w:r>
          </w:p>
        </w:tc>
      </w:tr>
      <w:tr w:rsidR="005F14AA" w:rsidRPr="00E6476E" w14:paraId="31BECA91" w14:textId="77777777" w:rsidTr="00F51AB3">
        <w:trPr>
          <w:trHeight w:val="255"/>
        </w:trPr>
        <w:tc>
          <w:tcPr>
            <w:tcW w:w="2308" w:type="dxa"/>
            <w:tcBorders>
              <w:top w:val="nil"/>
              <w:left w:val="nil"/>
              <w:bottom w:val="nil"/>
              <w:right w:val="nil"/>
            </w:tcBorders>
            <w:shd w:val="clear" w:color="auto" w:fill="auto"/>
            <w:noWrap/>
            <w:vAlign w:val="bottom"/>
            <w:hideMark/>
          </w:tcPr>
          <w:p w14:paraId="14DA44A5"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Engl B53</w:t>
            </w:r>
          </w:p>
        </w:tc>
        <w:tc>
          <w:tcPr>
            <w:tcW w:w="1065" w:type="dxa"/>
            <w:tcBorders>
              <w:top w:val="nil"/>
              <w:left w:val="nil"/>
              <w:bottom w:val="nil"/>
              <w:right w:val="nil"/>
            </w:tcBorders>
            <w:shd w:val="clear" w:color="auto" w:fill="auto"/>
            <w:noWrap/>
            <w:vAlign w:val="bottom"/>
            <w:hideMark/>
          </w:tcPr>
          <w:p w14:paraId="14882910" w14:textId="34586EB7" w:rsidR="005F14AA" w:rsidRPr="00E6476E" w:rsidRDefault="005F14AA" w:rsidP="005F14AA">
            <w:pPr>
              <w:tabs>
                <w:tab w:val="decimal" w:pos="561"/>
              </w:tabs>
              <w:spacing w:after="0" w:line="240" w:lineRule="auto"/>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466</w:t>
            </w:r>
          </w:p>
        </w:tc>
        <w:tc>
          <w:tcPr>
            <w:tcW w:w="1065" w:type="dxa"/>
            <w:tcBorders>
              <w:top w:val="nil"/>
              <w:left w:val="nil"/>
              <w:bottom w:val="nil"/>
              <w:right w:val="nil"/>
            </w:tcBorders>
            <w:shd w:val="clear" w:color="auto" w:fill="auto"/>
            <w:noWrap/>
            <w:vAlign w:val="bottom"/>
            <w:hideMark/>
          </w:tcPr>
          <w:p w14:paraId="469C0A5A" w14:textId="700F605F"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58%</w:t>
            </w:r>
          </w:p>
        </w:tc>
        <w:tc>
          <w:tcPr>
            <w:tcW w:w="1065" w:type="dxa"/>
            <w:tcBorders>
              <w:top w:val="nil"/>
              <w:left w:val="nil"/>
              <w:bottom w:val="nil"/>
              <w:right w:val="nil"/>
            </w:tcBorders>
            <w:shd w:val="clear" w:color="auto" w:fill="auto"/>
            <w:noWrap/>
            <w:vAlign w:val="bottom"/>
            <w:hideMark/>
          </w:tcPr>
          <w:p w14:paraId="6B45F9BB" w14:textId="38951569"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30%</w:t>
            </w:r>
          </w:p>
        </w:tc>
        <w:tc>
          <w:tcPr>
            <w:tcW w:w="1065" w:type="dxa"/>
            <w:tcBorders>
              <w:top w:val="nil"/>
              <w:left w:val="nil"/>
              <w:bottom w:val="nil"/>
              <w:right w:val="nil"/>
            </w:tcBorders>
            <w:shd w:val="clear" w:color="auto" w:fill="auto"/>
            <w:noWrap/>
            <w:vAlign w:val="bottom"/>
            <w:hideMark/>
          </w:tcPr>
          <w:p w14:paraId="768A6F5F" w14:textId="4F02F7C3"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6" w:type="dxa"/>
            <w:tcBorders>
              <w:top w:val="nil"/>
              <w:left w:val="nil"/>
              <w:bottom w:val="nil"/>
              <w:right w:val="nil"/>
            </w:tcBorders>
            <w:shd w:val="clear" w:color="auto" w:fill="auto"/>
            <w:noWrap/>
            <w:vAlign w:val="bottom"/>
            <w:hideMark/>
          </w:tcPr>
          <w:p w14:paraId="37DF73D7" w14:textId="32906E8E"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126BE157" w14:textId="60DF4FD4"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4FB07F1A" w14:textId="153F1DF9"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4108E0A3" w14:textId="167AD62A"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0C9E9F0A" w14:textId="40D47C34"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12%</w:t>
            </w:r>
          </w:p>
        </w:tc>
        <w:tc>
          <w:tcPr>
            <w:tcW w:w="1066" w:type="dxa"/>
            <w:tcBorders>
              <w:top w:val="nil"/>
              <w:left w:val="nil"/>
              <w:bottom w:val="nil"/>
              <w:right w:val="nil"/>
            </w:tcBorders>
            <w:shd w:val="clear" w:color="auto" w:fill="auto"/>
            <w:noWrap/>
            <w:vAlign w:val="bottom"/>
            <w:hideMark/>
          </w:tcPr>
          <w:p w14:paraId="3C480399"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100%</w:t>
            </w:r>
          </w:p>
        </w:tc>
      </w:tr>
      <w:tr w:rsidR="005F14AA" w:rsidRPr="00E6476E" w14:paraId="10425FD9" w14:textId="77777777" w:rsidTr="00F51AB3">
        <w:trPr>
          <w:trHeight w:val="255"/>
        </w:trPr>
        <w:tc>
          <w:tcPr>
            <w:tcW w:w="2308" w:type="dxa"/>
            <w:tcBorders>
              <w:top w:val="nil"/>
              <w:left w:val="nil"/>
              <w:right w:val="nil"/>
            </w:tcBorders>
            <w:shd w:val="clear" w:color="auto" w:fill="auto"/>
            <w:noWrap/>
            <w:vAlign w:val="bottom"/>
            <w:hideMark/>
          </w:tcPr>
          <w:p w14:paraId="7F6DE92D"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Engl B50</w:t>
            </w:r>
          </w:p>
        </w:tc>
        <w:tc>
          <w:tcPr>
            <w:tcW w:w="1065" w:type="dxa"/>
            <w:tcBorders>
              <w:top w:val="nil"/>
              <w:left w:val="nil"/>
              <w:right w:val="nil"/>
            </w:tcBorders>
            <w:shd w:val="clear" w:color="auto" w:fill="auto"/>
            <w:noWrap/>
            <w:vAlign w:val="bottom"/>
            <w:hideMark/>
          </w:tcPr>
          <w:p w14:paraId="36974EA5" w14:textId="68B17CBA" w:rsidR="005F14AA" w:rsidRPr="00E6476E" w:rsidRDefault="005F14AA" w:rsidP="005F14AA">
            <w:pPr>
              <w:tabs>
                <w:tab w:val="decimal" w:pos="561"/>
              </w:tabs>
              <w:spacing w:after="0" w:line="240" w:lineRule="auto"/>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961</w:t>
            </w:r>
          </w:p>
        </w:tc>
        <w:tc>
          <w:tcPr>
            <w:tcW w:w="1065" w:type="dxa"/>
            <w:tcBorders>
              <w:top w:val="nil"/>
              <w:left w:val="nil"/>
              <w:right w:val="nil"/>
            </w:tcBorders>
            <w:shd w:val="clear" w:color="auto" w:fill="auto"/>
            <w:noWrap/>
            <w:vAlign w:val="bottom"/>
            <w:hideMark/>
          </w:tcPr>
          <w:p w14:paraId="65B0EDF9" w14:textId="70FC376F"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57%</w:t>
            </w:r>
          </w:p>
        </w:tc>
        <w:tc>
          <w:tcPr>
            <w:tcW w:w="1065" w:type="dxa"/>
            <w:tcBorders>
              <w:top w:val="nil"/>
              <w:left w:val="nil"/>
              <w:right w:val="nil"/>
            </w:tcBorders>
            <w:shd w:val="clear" w:color="auto" w:fill="auto"/>
            <w:noWrap/>
            <w:vAlign w:val="bottom"/>
            <w:hideMark/>
          </w:tcPr>
          <w:p w14:paraId="4FA66816" w14:textId="5952C976"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32%</w:t>
            </w:r>
          </w:p>
        </w:tc>
        <w:tc>
          <w:tcPr>
            <w:tcW w:w="1065" w:type="dxa"/>
            <w:tcBorders>
              <w:top w:val="nil"/>
              <w:left w:val="nil"/>
              <w:right w:val="nil"/>
            </w:tcBorders>
            <w:shd w:val="clear" w:color="auto" w:fill="auto"/>
            <w:noWrap/>
            <w:vAlign w:val="bottom"/>
            <w:hideMark/>
          </w:tcPr>
          <w:p w14:paraId="3DF3ECC8" w14:textId="3D42C16E"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6" w:type="dxa"/>
            <w:tcBorders>
              <w:top w:val="nil"/>
              <w:left w:val="nil"/>
              <w:right w:val="nil"/>
            </w:tcBorders>
            <w:shd w:val="clear" w:color="auto" w:fill="auto"/>
            <w:noWrap/>
            <w:vAlign w:val="bottom"/>
            <w:hideMark/>
          </w:tcPr>
          <w:p w14:paraId="51CF97DC" w14:textId="6CAC91C9"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4%</w:t>
            </w:r>
          </w:p>
        </w:tc>
        <w:tc>
          <w:tcPr>
            <w:tcW w:w="1065" w:type="dxa"/>
            <w:tcBorders>
              <w:top w:val="nil"/>
              <w:left w:val="nil"/>
              <w:right w:val="nil"/>
            </w:tcBorders>
            <w:shd w:val="clear" w:color="auto" w:fill="auto"/>
            <w:noWrap/>
            <w:vAlign w:val="bottom"/>
            <w:hideMark/>
          </w:tcPr>
          <w:p w14:paraId="2401BFA5" w14:textId="7933FC92"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right w:val="nil"/>
            </w:tcBorders>
            <w:shd w:val="clear" w:color="auto" w:fill="auto"/>
            <w:noWrap/>
            <w:vAlign w:val="bottom"/>
            <w:hideMark/>
          </w:tcPr>
          <w:p w14:paraId="7221E5EB" w14:textId="56C0F096"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right w:val="nil"/>
            </w:tcBorders>
            <w:shd w:val="clear" w:color="auto" w:fill="auto"/>
            <w:noWrap/>
            <w:vAlign w:val="bottom"/>
            <w:hideMark/>
          </w:tcPr>
          <w:p w14:paraId="197E656E" w14:textId="4632C770"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right w:val="nil"/>
            </w:tcBorders>
            <w:shd w:val="clear" w:color="auto" w:fill="auto"/>
            <w:noWrap/>
            <w:vAlign w:val="bottom"/>
            <w:hideMark/>
          </w:tcPr>
          <w:p w14:paraId="2105E695" w14:textId="4E3EF223"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7%</w:t>
            </w:r>
          </w:p>
        </w:tc>
        <w:tc>
          <w:tcPr>
            <w:tcW w:w="1066" w:type="dxa"/>
            <w:tcBorders>
              <w:top w:val="nil"/>
              <w:left w:val="nil"/>
              <w:right w:val="nil"/>
            </w:tcBorders>
            <w:shd w:val="clear" w:color="auto" w:fill="auto"/>
            <w:noWrap/>
            <w:vAlign w:val="bottom"/>
            <w:hideMark/>
          </w:tcPr>
          <w:p w14:paraId="7A6BAFC0"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100%</w:t>
            </w:r>
          </w:p>
        </w:tc>
      </w:tr>
      <w:tr w:rsidR="005F14AA" w:rsidRPr="00E6476E" w14:paraId="39AAE425" w14:textId="77777777" w:rsidTr="00F51AB3">
        <w:trPr>
          <w:trHeight w:val="255"/>
        </w:trPr>
        <w:tc>
          <w:tcPr>
            <w:tcW w:w="2308" w:type="dxa"/>
            <w:tcBorders>
              <w:top w:val="nil"/>
              <w:left w:val="nil"/>
              <w:bottom w:val="nil"/>
              <w:right w:val="nil"/>
            </w:tcBorders>
            <w:shd w:val="clear" w:color="auto" w:fill="auto"/>
            <w:noWrap/>
            <w:vAlign w:val="bottom"/>
            <w:hideMark/>
          </w:tcPr>
          <w:p w14:paraId="5D63CE7D" w14:textId="305876D0"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LRNC B510</w:t>
            </w:r>
            <w:r w:rsidR="00EB1B0F" w:rsidRPr="00E6476E">
              <w:rPr>
                <w:rFonts w:ascii="Times New Roman" w:eastAsia="Times New Roman" w:hAnsi="Times New Roman" w:cs="Times New Roman"/>
                <w:color w:val="000000"/>
                <w:sz w:val="16"/>
                <w:szCs w:val="16"/>
              </w:rPr>
              <w:t xml:space="preserve"> (Engl B50)</w:t>
            </w:r>
          </w:p>
        </w:tc>
        <w:tc>
          <w:tcPr>
            <w:tcW w:w="1065" w:type="dxa"/>
            <w:tcBorders>
              <w:top w:val="nil"/>
              <w:left w:val="nil"/>
              <w:bottom w:val="nil"/>
              <w:right w:val="nil"/>
            </w:tcBorders>
            <w:shd w:val="clear" w:color="auto" w:fill="auto"/>
            <w:noWrap/>
            <w:vAlign w:val="bottom"/>
            <w:hideMark/>
          </w:tcPr>
          <w:p w14:paraId="58F57643" w14:textId="44AE7A08" w:rsidR="005F14AA" w:rsidRPr="00E6476E" w:rsidRDefault="005F14AA" w:rsidP="005F14AA">
            <w:pPr>
              <w:tabs>
                <w:tab w:val="decimal" w:pos="561"/>
              </w:tabs>
              <w:spacing w:after="0" w:line="240" w:lineRule="auto"/>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106</w:t>
            </w:r>
          </w:p>
        </w:tc>
        <w:tc>
          <w:tcPr>
            <w:tcW w:w="1065" w:type="dxa"/>
            <w:tcBorders>
              <w:top w:val="nil"/>
              <w:left w:val="nil"/>
              <w:bottom w:val="nil"/>
              <w:right w:val="nil"/>
            </w:tcBorders>
            <w:shd w:val="clear" w:color="auto" w:fill="auto"/>
            <w:noWrap/>
            <w:vAlign w:val="bottom"/>
            <w:hideMark/>
          </w:tcPr>
          <w:p w14:paraId="5BC6D4E9" w14:textId="4DAA405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51%</w:t>
            </w:r>
          </w:p>
        </w:tc>
        <w:tc>
          <w:tcPr>
            <w:tcW w:w="1065" w:type="dxa"/>
            <w:tcBorders>
              <w:top w:val="nil"/>
              <w:left w:val="nil"/>
              <w:bottom w:val="nil"/>
              <w:right w:val="nil"/>
            </w:tcBorders>
            <w:shd w:val="clear" w:color="auto" w:fill="auto"/>
            <w:noWrap/>
            <w:vAlign w:val="bottom"/>
            <w:hideMark/>
          </w:tcPr>
          <w:p w14:paraId="75E2D00C" w14:textId="37804BA6"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195461A9" w14:textId="32631C9C"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6" w:type="dxa"/>
            <w:tcBorders>
              <w:top w:val="nil"/>
              <w:left w:val="nil"/>
              <w:bottom w:val="nil"/>
              <w:right w:val="nil"/>
            </w:tcBorders>
            <w:shd w:val="clear" w:color="auto" w:fill="auto"/>
            <w:noWrap/>
            <w:vAlign w:val="bottom"/>
            <w:hideMark/>
          </w:tcPr>
          <w:p w14:paraId="55334944" w14:textId="49324079"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2B8E8A60" w14:textId="31164B84"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34%</w:t>
            </w:r>
          </w:p>
        </w:tc>
        <w:tc>
          <w:tcPr>
            <w:tcW w:w="1065" w:type="dxa"/>
            <w:tcBorders>
              <w:top w:val="nil"/>
              <w:left w:val="nil"/>
              <w:bottom w:val="nil"/>
              <w:right w:val="nil"/>
            </w:tcBorders>
            <w:shd w:val="clear" w:color="auto" w:fill="auto"/>
            <w:noWrap/>
            <w:vAlign w:val="bottom"/>
            <w:hideMark/>
          </w:tcPr>
          <w:p w14:paraId="165F4218" w14:textId="533BEC40"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5F77558E" w14:textId="707D7CDF"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w:t>
            </w:r>
          </w:p>
        </w:tc>
        <w:tc>
          <w:tcPr>
            <w:tcW w:w="1065" w:type="dxa"/>
            <w:tcBorders>
              <w:top w:val="nil"/>
              <w:left w:val="nil"/>
              <w:bottom w:val="nil"/>
              <w:right w:val="nil"/>
            </w:tcBorders>
            <w:shd w:val="clear" w:color="auto" w:fill="auto"/>
            <w:noWrap/>
            <w:vAlign w:val="bottom"/>
            <w:hideMark/>
          </w:tcPr>
          <w:p w14:paraId="001A0354" w14:textId="1740C8EA"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hAnsi="Times New Roman" w:cs="Times New Roman"/>
                <w:color w:val="000000"/>
                <w:sz w:val="16"/>
                <w:szCs w:val="16"/>
              </w:rPr>
              <w:t>15%</w:t>
            </w:r>
          </w:p>
        </w:tc>
        <w:tc>
          <w:tcPr>
            <w:tcW w:w="1066" w:type="dxa"/>
            <w:tcBorders>
              <w:top w:val="nil"/>
              <w:left w:val="nil"/>
              <w:bottom w:val="nil"/>
              <w:right w:val="nil"/>
            </w:tcBorders>
            <w:shd w:val="clear" w:color="auto" w:fill="auto"/>
            <w:noWrap/>
            <w:vAlign w:val="bottom"/>
            <w:hideMark/>
          </w:tcPr>
          <w:p w14:paraId="00FE5FB9"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r w:rsidRPr="00E6476E">
              <w:rPr>
                <w:rFonts w:ascii="Times New Roman" w:eastAsia="Times New Roman" w:hAnsi="Times New Roman" w:cs="Times New Roman"/>
                <w:color w:val="000000"/>
                <w:sz w:val="16"/>
                <w:szCs w:val="16"/>
              </w:rPr>
              <w:t>100%</w:t>
            </w:r>
          </w:p>
        </w:tc>
      </w:tr>
      <w:tr w:rsidR="005F14AA" w:rsidRPr="00E6476E" w14:paraId="3B26192E" w14:textId="77777777" w:rsidTr="00F51AB3">
        <w:trPr>
          <w:trHeight w:val="255"/>
        </w:trPr>
        <w:tc>
          <w:tcPr>
            <w:tcW w:w="2308" w:type="dxa"/>
            <w:tcBorders>
              <w:top w:val="nil"/>
              <w:left w:val="nil"/>
              <w:bottom w:val="single" w:sz="4" w:space="0" w:color="auto"/>
              <w:right w:val="nil"/>
            </w:tcBorders>
            <w:shd w:val="clear" w:color="auto" w:fill="auto"/>
            <w:noWrap/>
            <w:vAlign w:val="bottom"/>
          </w:tcPr>
          <w:p w14:paraId="35F346DE" w14:textId="77777777" w:rsidR="005F14AA" w:rsidRPr="00E6476E" w:rsidRDefault="005F14AA" w:rsidP="005F14AA">
            <w:pPr>
              <w:spacing w:after="0" w:line="240" w:lineRule="auto"/>
              <w:jc w:val="right"/>
              <w:rPr>
                <w:rFonts w:ascii="Times New Roman" w:eastAsia="Times New Roman" w:hAnsi="Times New Roman" w:cs="Times New Roman"/>
                <w:color w:val="000000"/>
                <w:sz w:val="16"/>
                <w:szCs w:val="16"/>
              </w:rPr>
            </w:pPr>
          </w:p>
        </w:tc>
        <w:tc>
          <w:tcPr>
            <w:tcW w:w="1065" w:type="dxa"/>
            <w:tcBorders>
              <w:top w:val="nil"/>
              <w:left w:val="nil"/>
              <w:bottom w:val="single" w:sz="4" w:space="0" w:color="auto"/>
              <w:right w:val="nil"/>
            </w:tcBorders>
            <w:shd w:val="clear" w:color="auto" w:fill="auto"/>
            <w:noWrap/>
            <w:vAlign w:val="bottom"/>
          </w:tcPr>
          <w:p w14:paraId="50F27974" w14:textId="77777777" w:rsidR="005F14AA" w:rsidRPr="00E6476E" w:rsidRDefault="005F14AA" w:rsidP="005F14AA">
            <w:pPr>
              <w:tabs>
                <w:tab w:val="decimal" w:pos="561"/>
              </w:tabs>
              <w:spacing w:after="0" w:line="240" w:lineRule="auto"/>
              <w:rPr>
                <w:rFonts w:ascii="Times New Roman" w:hAnsi="Times New Roman" w:cs="Times New Roman"/>
                <w:color w:val="000000"/>
                <w:sz w:val="16"/>
                <w:szCs w:val="16"/>
              </w:rPr>
            </w:pPr>
          </w:p>
        </w:tc>
        <w:tc>
          <w:tcPr>
            <w:tcW w:w="1065" w:type="dxa"/>
            <w:tcBorders>
              <w:top w:val="nil"/>
              <w:left w:val="nil"/>
              <w:bottom w:val="single" w:sz="4" w:space="0" w:color="auto"/>
              <w:right w:val="nil"/>
            </w:tcBorders>
            <w:shd w:val="clear" w:color="auto" w:fill="auto"/>
            <w:noWrap/>
            <w:vAlign w:val="bottom"/>
          </w:tcPr>
          <w:p w14:paraId="012A49EF"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single" w:sz="4" w:space="0" w:color="auto"/>
              <w:right w:val="nil"/>
            </w:tcBorders>
            <w:shd w:val="clear" w:color="auto" w:fill="auto"/>
            <w:noWrap/>
            <w:vAlign w:val="bottom"/>
          </w:tcPr>
          <w:p w14:paraId="4E6313CA"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single" w:sz="4" w:space="0" w:color="auto"/>
              <w:right w:val="nil"/>
            </w:tcBorders>
            <w:shd w:val="clear" w:color="auto" w:fill="auto"/>
            <w:noWrap/>
            <w:vAlign w:val="bottom"/>
          </w:tcPr>
          <w:p w14:paraId="49FB0E8A"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6" w:type="dxa"/>
            <w:tcBorders>
              <w:top w:val="nil"/>
              <w:left w:val="nil"/>
              <w:bottom w:val="single" w:sz="4" w:space="0" w:color="auto"/>
              <w:right w:val="nil"/>
            </w:tcBorders>
            <w:shd w:val="clear" w:color="auto" w:fill="auto"/>
            <w:noWrap/>
            <w:vAlign w:val="bottom"/>
          </w:tcPr>
          <w:p w14:paraId="3F69A77D"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single" w:sz="4" w:space="0" w:color="auto"/>
              <w:right w:val="nil"/>
            </w:tcBorders>
            <w:shd w:val="clear" w:color="auto" w:fill="auto"/>
            <w:noWrap/>
            <w:vAlign w:val="bottom"/>
          </w:tcPr>
          <w:p w14:paraId="534B3AB4"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single" w:sz="4" w:space="0" w:color="auto"/>
              <w:right w:val="nil"/>
            </w:tcBorders>
            <w:shd w:val="clear" w:color="auto" w:fill="auto"/>
            <w:noWrap/>
            <w:vAlign w:val="bottom"/>
          </w:tcPr>
          <w:p w14:paraId="0817F27F"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single" w:sz="4" w:space="0" w:color="auto"/>
              <w:right w:val="nil"/>
            </w:tcBorders>
            <w:shd w:val="clear" w:color="auto" w:fill="auto"/>
            <w:noWrap/>
            <w:vAlign w:val="bottom"/>
          </w:tcPr>
          <w:p w14:paraId="19BEA338"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5" w:type="dxa"/>
            <w:tcBorders>
              <w:top w:val="nil"/>
              <w:left w:val="nil"/>
              <w:bottom w:val="single" w:sz="4" w:space="0" w:color="auto"/>
              <w:right w:val="nil"/>
            </w:tcBorders>
            <w:shd w:val="clear" w:color="auto" w:fill="auto"/>
            <w:noWrap/>
            <w:vAlign w:val="bottom"/>
          </w:tcPr>
          <w:p w14:paraId="41884DD8" w14:textId="77777777" w:rsidR="005F14AA" w:rsidRPr="00E6476E" w:rsidRDefault="005F14AA" w:rsidP="005F14AA">
            <w:pPr>
              <w:spacing w:after="0" w:line="240" w:lineRule="auto"/>
              <w:jc w:val="center"/>
              <w:rPr>
                <w:rFonts w:ascii="Times New Roman" w:hAnsi="Times New Roman" w:cs="Times New Roman"/>
                <w:color w:val="000000"/>
                <w:sz w:val="16"/>
                <w:szCs w:val="16"/>
              </w:rPr>
            </w:pPr>
          </w:p>
        </w:tc>
        <w:tc>
          <w:tcPr>
            <w:tcW w:w="1066" w:type="dxa"/>
            <w:tcBorders>
              <w:top w:val="nil"/>
              <w:left w:val="nil"/>
              <w:bottom w:val="single" w:sz="4" w:space="0" w:color="auto"/>
              <w:right w:val="nil"/>
            </w:tcBorders>
            <w:shd w:val="clear" w:color="auto" w:fill="auto"/>
            <w:noWrap/>
            <w:vAlign w:val="bottom"/>
          </w:tcPr>
          <w:p w14:paraId="251F41A5" w14:textId="77777777" w:rsidR="005F14AA" w:rsidRPr="00E6476E" w:rsidRDefault="005F14AA" w:rsidP="005F14AA">
            <w:pPr>
              <w:spacing w:after="0" w:line="240" w:lineRule="auto"/>
              <w:jc w:val="center"/>
              <w:rPr>
                <w:rFonts w:ascii="Times New Roman" w:eastAsia="Times New Roman" w:hAnsi="Times New Roman" w:cs="Times New Roman"/>
                <w:color w:val="000000"/>
                <w:sz w:val="16"/>
                <w:szCs w:val="16"/>
              </w:rPr>
            </w:pPr>
          </w:p>
        </w:tc>
      </w:tr>
    </w:tbl>
    <w:p w14:paraId="3041EE28" w14:textId="7A03C9EC" w:rsidR="00282C3C" w:rsidRPr="001334BF" w:rsidRDefault="00282C3C" w:rsidP="00282C3C">
      <w:pPr>
        <w:spacing w:after="0" w:line="240" w:lineRule="auto"/>
        <w:rPr>
          <w:rFonts w:ascii="Times New Roman" w:hAnsi="Times New Roman" w:cs="Times New Roman"/>
          <w:sz w:val="20"/>
          <w:szCs w:val="20"/>
        </w:rPr>
      </w:pPr>
      <w:r w:rsidRPr="001334BF">
        <w:rPr>
          <w:rFonts w:ascii="Times New Roman" w:hAnsi="Times New Roman" w:cs="Times New Roman"/>
          <w:sz w:val="20"/>
          <w:szCs w:val="20"/>
        </w:rPr>
        <w:t xml:space="preserve">NOTE:  Cells with few students were collapsed together into the </w:t>
      </w:r>
      <w:r w:rsidR="00567CED">
        <w:rPr>
          <w:rFonts w:ascii="Times New Roman" w:hAnsi="Times New Roman" w:cs="Times New Roman"/>
          <w:i/>
          <w:sz w:val="20"/>
          <w:szCs w:val="20"/>
        </w:rPr>
        <w:t xml:space="preserve">Other </w:t>
      </w:r>
      <w:r w:rsidRPr="001334BF">
        <w:rPr>
          <w:rFonts w:ascii="Times New Roman" w:hAnsi="Times New Roman" w:cs="Times New Roman"/>
          <w:sz w:val="20"/>
          <w:szCs w:val="20"/>
        </w:rPr>
        <w:t xml:space="preserve">column.  As a result, cells marked by "-----" do not necessarily indicate that </w:t>
      </w:r>
      <w:r>
        <w:rPr>
          <w:rFonts w:ascii="Times New Roman" w:hAnsi="Times New Roman" w:cs="Times New Roman"/>
          <w:sz w:val="20"/>
          <w:szCs w:val="20"/>
        </w:rPr>
        <w:t>zero</w:t>
      </w:r>
      <w:r w:rsidRPr="001334BF">
        <w:rPr>
          <w:rFonts w:ascii="Times New Roman" w:hAnsi="Times New Roman" w:cs="Times New Roman"/>
          <w:sz w:val="20"/>
          <w:szCs w:val="20"/>
        </w:rPr>
        <w:t xml:space="preserve"> students attempted a given combination of first and second courses</w:t>
      </w:r>
      <w:r w:rsidR="00E5271B" w:rsidRPr="001334BF">
        <w:rPr>
          <w:rFonts w:ascii="Times New Roman" w:hAnsi="Times New Roman" w:cs="Times New Roman"/>
          <w:sz w:val="20"/>
          <w:szCs w:val="20"/>
        </w:rPr>
        <w:t xml:space="preserve">.  </w:t>
      </w:r>
      <w:r w:rsidRPr="001334BF">
        <w:rPr>
          <w:rFonts w:ascii="Times New Roman" w:hAnsi="Times New Roman" w:cs="Times New Roman"/>
          <w:sz w:val="20"/>
          <w:szCs w:val="20"/>
        </w:rPr>
        <w:t>Rather, these cells simply had too few students to warrant further analysis at this time.</w:t>
      </w:r>
    </w:p>
    <w:p w14:paraId="6C5A3558" w14:textId="77777777" w:rsidR="00282C3C" w:rsidRDefault="00282C3C" w:rsidP="00282C3C">
      <w:pPr>
        <w:spacing w:after="0" w:line="240" w:lineRule="auto"/>
        <w:rPr>
          <w:rFonts w:ascii="Times New Roman" w:hAnsi="Times New Roman" w:cs="Times New Roman"/>
          <w:sz w:val="24"/>
          <w:szCs w:val="24"/>
        </w:rPr>
      </w:pPr>
    </w:p>
    <w:p w14:paraId="7BB8A49A" w14:textId="77777777" w:rsidR="00655DAE" w:rsidRDefault="00655DAE">
      <w:pPr>
        <w:rPr>
          <w:rFonts w:ascii="Times New Roman" w:hAnsi="Times New Roman" w:cs="Times New Roman"/>
          <w:sz w:val="24"/>
          <w:szCs w:val="24"/>
        </w:rPr>
      </w:pPr>
      <w:r>
        <w:rPr>
          <w:rFonts w:ascii="Times New Roman" w:hAnsi="Times New Roman" w:cs="Times New Roman"/>
          <w:sz w:val="24"/>
          <w:szCs w:val="24"/>
        </w:rPr>
        <w:br w:type="page"/>
      </w:r>
    </w:p>
    <w:p w14:paraId="41065AA3" w14:textId="7F93350D" w:rsidR="00EE605C" w:rsidRDefault="00EE605C" w:rsidP="00EE60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1</w:t>
      </w:r>
      <w:r w:rsidR="00BD50D4">
        <w:rPr>
          <w:rFonts w:ascii="Times New Roman" w:hAnsi="Times New Roman" w:cs="Times New Roman"/>
          <w:sz w:val="24"/>
          <w:szCs w:val="24"/>
        </w:rPr>
        <w:t>2</w:t>
      </w:r>
      <w:r>
        <w:rPr>
          <w:rFonts w:ascii="Times New Roman" w:hAnsi="Times New Roman" w:cs="Times New Roman"/>
          <w:sz w:val="24"/>
          <w:szCs w:val="24"/>
        </w:rPr>
        <w:t>:  Selected outcomes by English pathway</w:t>
      </w:r>
    </w:p>
    <w:p w14:paraId="2BCFE473" w14:textId="77777777" w:rsidR="00EE605C" w:rsidRDefault="00EE605C" w:rsidP="00EE605C">
      <w:pPr>
        <w:spacing w:after="0" w:line="240" w:lineRule="auto"/>
        <w:rPr>
          <w:rFonts w:ascii="Times New Roman" w:hAnsi="Times New Roman" w:cs="Times New Roman"/>
          <w:sz w:val="24"/>
          <w:szCs w:val="24"/>
        </w:rPr>
      </w:pPr>
    </w:p>
    <w:tbl>
      <w:tblPr>
        <w:tblW w:w="12960" w:type="dxa"/>
        <w:tblCellMar>
          <w:left w:w="115" w:type="dxa"/>
          <w:right w:w="115" w:type="dxa"/>
        </w:tblCellMar>
        <w:tblLook w:val="04A0" w:firstRow="1" w:lastRow="0" w:firstColumn="1" w:lastColumn="0" w:noHBand="0" w:noVBand="1"/>
      </w:tblPr>
      <w:tblGrid>
        <w:gridCol w:w="2286"/>
        <w:gridCol w:w="2019"/>
        <w:gridCol w:w="2285"/>
        <w:gridCol w:w="1286"/>
        <w:gridCol w:w="2542"/>
        <w:gridCol w:w="2542"/>
      </w:tblGrid>
      <w:tr w:rsidR="00EE605C" w:rsidRPr="005A2E47" w14:paraId="0053C5B9" w14:textId="77777777" w:rsidTr="007C162A">
        <w:trPr>
          <w:trHeight w:val="255"/>
        </w:trPr>
        <w:tc>
          <w:tcPr>
            <w:tcW w:w="2448" w:type="dxa"/>
            <w:tcBorders>
              <w:top w:val="single" w:sz="4" w:space="0" w:color="auto"/>
              <w:left w:val="nil"/>
              <w:bottom w:val="single" w:sz="4" w:space="0" w:color="auto"/>
              <w:right w:val="nil"/>
            </w:tcBorders>
            <w:shd w:val="clear" w:color="auto" w:fill="auto"/>
            <w:noWrap/>
            <w:vAlign w:val="bottom"/>
            <w:hideMark/>
          </w:tcPr>
          <w:p w14:paraId="617BE352" w14:textId="77777777" w:rsidR="00EE605C" w:rsidRPr="005A2E47" w:rsidRDefault="00EE605C" w:rsidP="00810330">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First English</w:t>
            </w:r>
          </w:p>
        </w:tc>
        <w:tc>
          <w:tcPr>
            <w:tcW w:w="2160" w:type="dxa"/>
            <w:tcBorders>
              <w:top w:val="single" w:sz="4" w:space="0" w:color="auto"/>
              <w:left w:val="nil"/>
              <w:bottom w:val="single" w:sz="4" w:space="0" w:color="auto"/>
              <w:right w:val="nil"/>
            </w:tcBorders>
            <w:shd w:val="clear" w:color="auto" w:fill="auto"/>
            <w:noWrap/>
            <w:vAlign w:val="bottom"/>
            <w:hideMark/>
          </w:tcPr>
          <w:p w14:paraId="68CCAEEE" w14:textId="77777777" w:rsidR="00EE605C" w:rsidRPr="005A2E47" w:rsidRDefault="00EE605C" w:rsidP="00810330">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Outcome in </w:t>
            </w:r>
          </w:p>
          <w:p w14:paraId="0F5FE11E" w14:textId="77777777" w:rsidR="00EE605C" w:rsidRPr="005A2E47" w:rsidRDefault="00EE605C" w:rsidP="00810330">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color w:val="000000"/>
                <w:sz w:val="20"/>
                <w:szCs w:val="20"/>
              </w:rPr>
              <w:t>First English</w:t>
            </w:r>
          </w:p>
        </w:tc>
        <w:tc>
          <w:tcPr>
            <w:tcW w:w="2448" w:type="dxa"/>
            <w:tcBorders>
              <w:top w:val="single" w:sz="4" w:space="0" w:color="auto"/>
              <w:left w:val="nil"/>
              <w:bottom w:val="single" w:sz="4" w:space="0" w:color="auto"/>
              <w:right w:val="nil"/>
            </w:tcBorders>
            <w:shd w:val="clear" w:color="auto" w:fill="auto"/>
            <w:noWrap/>
            <w:vAlign w:val="bottom"/>
            <w:hideMark/>
          </w:tcPr>
          <w:p w14:paraId="6C4BEAA7" w14:textId="77777777" w:rsidR="00EE605C" w:rsidRPr="005A2E47" w:rsidRDefault="00EE605C" w:rsidP="00810330">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color w:val="000000"/>
                <w:sz w:val="20"/>
                <w:szCs w:val="20"/>
              </w:rPr>
              <w:t>Second English</w:t>
            </w:r>
          </w:p>
        </w:tc>
        <w:tc>
          <w:tcPr>
            <w:tcW w:w="1370" w:type="dxa"/>
            <w:tcBorders>
              <w:top w:val="single" w:sz="4" w:space="0" w:color="auto"/>
              <w:left w:val="nil"/>
              <w:bottom w:val="single" w:sz="4" w:space="0" w:color="auto"/>
              <w:right w:val="nil"/>
            </w:tcBorders>
            <w:shd w:val="clear" w:color="auto" w:fill="auto"/>
            <w:noWrap/>
            <w:vAlign w:val="bottom"/>
            <w:hideMark/>
          </w:tcPr>
          <w:p w14:paraId="3775EFB2" w14:textId="77777777" w:rsidR="00EE605C" w:rsidRPr="005A2E47" w:rsidRDefault="00EE605C" w:rsidP="00810330">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i/>
                <w:color w:val="000000"/>
                <w:sz w:val="20"/>
                <w:szCs w:val="20"/>
              </w:rPr>
              <w:t>N</w:t>
            </w:r>
          </w:p>
        </w:tc>
        <w:tc>
          <w:tcPr>
            <w:tcW w:w="2725" w:type="dxa"/>
            <w:tcBorders>
              <w:top w:val="single" w:sz="4" w:space="0" w:color="auto"/>
              <w:left w:val="nil"/>
              <w:bottom w:val="single" w:sz="4" w:space="0" w:color="auto"/>
              <w:right w:val="nil"/>
            </w:tcBorders>
            <w:shd w:val="clear" w:color="auto" w:fill="auto"/>
            <w:noWrap/>
            <w:vAlign w:val="bottom"/>
            <w:hideMark/>
          </w:tcPr>
          <w:p w14:paraId="42795036" w14:textId="77777777" w:rsidR="00EE605C" w:rsidRPr="005A2E47" w:rsidRDefault="00EE605C" w:rsidP="00810330">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color w:val="000000"/>
                <w:sz w:val="20"/>
                <w:szCs w:val="20"/>
              </w:rPr>
              <w:t>% successful in second English (on first attempt)</w:t>
            </w:r>
          </w:p>
        </w:tc>
        <w:tc>
          <w:tcPr>
            <w:tcW w:w="2725" w:type="dxa"/>
            <w:tcBorders>
              <w:top w:val="single" w:sz="4" w:space="0" w:color="auto"/>
              <w:left w:val="nil"/>
              <w:bottom w:val="single" w:sz="4" w:space="0" w:color="auto"/>
              <w:right w:val="nil"/>
            </w:tcBorders>
            <w:shd w:val="clear" w:color="auto" w:fill="auto"/>
            <w:noWrap/>
            <w:vAlign w:val="bottom"/>
            <w:hideMark/>
          </w:tcPr>
          <w:p w14:paraId="43070B92" w14:textId="6D3A39A2" w:rsidR="00EE605C" w:rsidRPr="005A2E47" w:rsidRDefault="00EE605C" w:rsidP="00BD7A29">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color w:val="000000"/>
                <w:sz w:val="20"/>
                <w:szCs w:val="20"/>
              </w:rPr>
              <w:t xml:space="preserve">% </w:t>
            </w:r>
            <w:r w:rsidR="00BD7A29">
              <w:rPr>
                <w:rFonts w:ascii="Times New Roman" w:eastAsia="Times New Roman" w:hAnsi="Times New Roman" w:cs="Times New Roman"/>
                <w:color w:val="000000"/>
                <w:sz w:val="20"/>
                <w:szCs w:val="20"/>
              </w:rPr>
              <w:t>achieved</w:t>
            </w:r>
            <w:r w:rsidR="00BD7A29" w:rsidRPr="005A2E47">
              <w:rPr>
                <w:rFonts w:ascii="Times New Roman" w:eastAsia="Times New Roman" w:hAnsi="Times New Roman" w:cs="Times New Roman"/>
                <w:color w:val="000000"/>
                <w:sz w:val="20"/>
                <w:szCs w:val="20"/>
              </w:rPr>
              <w:t xml:space="preserve"> </w:t>
            </w:r>
            <w:r w:rsidRPr="005A2E47">
              <w:rPr>
                <w:rFonts w:ascii="Times New Roman" w:eastAsia="Times New Roman" w:hAnsi="Times New Roman" w:cs="Times New Roman"/>
                <w:color w:val="000000"/>
                <w:sz w:val="20"/>
                <w:szCs w:val="20"/>
              </w:rPr>
              <w:t>transfer-level English competency</w:t>
            </w:r>
          </w:p>
        </w:tc>
      </w:tr>
      <w:tr w:rsidR="0049279E" w:rsidRPr="005A2E47" w14:paraId="41CBCDF4" w14:textId="77777777" w:rsidTr="007C162A">
        <w:trPr>
          <w:trHeight w:val="255"/>
        </w:trPr>
        <w:tc>
          <w:tcPr>
            <w:tcW w:w="2448" w:type="dxa"/>
            <w:tcBorders>
              <w:top w:val="single" w:sz="4" w:space="0" w:color="auto"/>
              <w:left w:val="nil"/>
              <w:right w:val="nil"/>
            </w:tcBorders>
            <w:shd w:val="clear" w:color="auto" w:fill="auto"/>
            <w:noWrap/>
            <w:vAlign w:val="bottom"/>
          </w:tcPr>
          <w:p w14:paraId="48324465" w14:textId="77777777" w:rsidR="0049279E" w:rsidRPr="005A2E47" w:rsidRDefault="0049279E" w:rsidP="00810330">
            <w:pPr>
              <w:spacing w:after="0" w:line="240" w:lineRule="auto"/>
              <w:jc w:val="center"/>
              <w:rPr>
                <w:rFonts w:ascii="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4B76C150" w14:textId="77777777" w:rsidR="0049279E" w:rsidRPr="005A2E47" w:rsidRDefault="0049279E" w:rsidP="00810330">
            <w:pPr>
              <w:spacing w:after="0" w:line="240" w:lineRule="auto"/>
              <w:jc w:val="center"/>
              <w:rPr>
                <w:rFonts w:ascii="Times New Roman" w:hAnsi="Times New Roman" w:cs="Times New Roman"/>
                <w:color w:val="000000"/>
                <w:sz w:val="20"/>
                <w:szCs w:val="20"/>
              </w:rPr>
            </w:pPr>
          </w:p>
        </w:tc>
        <w:tc>
          <w:tcPr>
            <w:tcW w:w="2448" w:type="dxa"/>
            <w:tcBorders>
              <w:top w:val="single" w:sz="4" w:space="0" w:color="auto"/>
              <w:left w:val="nil"/>
              <w:right w:val="nil"/>
            </w:tcBorders>
            <w:shd w:val="clear" w:color="auto" w:fill="auto"/>
            <w:noWrap/>
            <w:vAlign w:val="bottom"/>
          </w:tcPr>
          <w:p w14:paraId="25E3061C" w14:textId="77777777" w:rsidR="0049279E" w:rsidRPr="005A2E47" w:rsidRDefault="0049279E" w:rsidP="00810330">
            <w:pPr>
              <w:spacing w:after="0" w:line="240" w:lineRule="auto"/>
              <w:jc w:val="center"/>
              <w:rPr>
                <w:rFonts w:ascii="Times New Roman" w:hAnsi="Times New Roman" w:cs="Times New Roman"/>
                <w:color w:val="000000"/>
                <w:sz w:val="20"/>
                <w:szCs w:val="20"/>
              </w:rPr>
            </w:pPr>
          </w:p>
        </w:tc>
        <w:tc>
          <w:tcPr>
            <w:tcW w:w="1370" w:type="dxa"/>
            <w:tcBorders>
              <w:top w:val="single" w:sz="4" w:space="0" w:color="auto"/>
              <w:left w:val="nil"/>
              <w:right w:val="nil"/>
            </w:tcBorders>
            <w:shd w:val="clear" w:color="auto" w:fill="auto"/>
            <w:noWrap/>
            <w:vAlign w:val="bottom"/>
          </w:tcPr>
          <w:p w14:paraId="116E372B" w14:textId="77777777" w:rsidR="0049279E" w:rsidRPr="005A2E47" w:rsidRDefault="0049279E" w:rsidP="00E7213D">
            <w:pPr>
              <w:tabs>
                <w:tab w:val="decimal" w:pos="675"/>
              </w:tabs>
              <w:spacing w:after="0" w:line="240" w:lineRule="auto"/>
              <w:rPr>
                <w:rFonts w:ascii="Times New Roman" w:hAnsi="Times New Roman" w:cs="Times New Roman"/>
                <w:color w:val="000000"/>
                <w:sz w:val="20"/>
                <w:szCs w:val="20"/>
              </w:rPr>
            </w:pPr>
          </w:p>
        </w:tc>
        <w:tc>
          <w:tcPr>
            <w:tcW w:w="2725" w:type="dxa"/>
            <w:tcBorders>
              <w:top w:val="single" w:sz="4" w:space="0" w:color="auto"/>
              <w:left w:val="nil"/>
              <w:right w:val="nil"/>
            </w:tcBorders>
            <w:shd w:val="clear" w:color="auto" w:fill="auto"/>
            <w:noWrap/>
            <w:vAlign w:val="bottom"/>
          </w:tcPr>
          <w:p w14:paraId="4C471BAD" w14:textId="77777777" w:rsidR="0049279E" w:rsidRPr="005A2E47" w:rsidRDefault="0049279E" w:rsidP="00950BEF">
            <w:pPr>
              <w:spacing w:after="0" w:line="240" w:lineRule="auto"/>
              <w:jc w:val="center"/>
              <w:rPr>
                <w:rFonts w:ascii="Times New Roman" w:hAnsi="Times New Roman" w:cs="Times New Roman"/>
                <w:color w:val="000000"/>
                <w:sz w:val="20"/>
                <w:szCs w:val="20"/>
              </w:rPr>
            </w:pPr>
          </w:p>
        </w:tc>
        <w:tc>
          <w:tcPr>
            <w:tcW w:w="2725" w:type="dxa"/>
            <w:tcBorders>
              <w:top w:val="single" w:sz="4" w:space="0" w:color="auto"/>
              <w:left w:val="nil"/>
              <w:right w:val="nil"/>
            </w:tcBorders>
            <w:shd w:val="clear" w:color="auto" w:fill="auto"/>
            <w:noWrap/>
            <w:vAlign w:val="bottom"/>
          </w:tcPr>
          <w:p w14:paraId="5EFD9862" w14:textId="77777777" w:rsidR="0049279E" w:rsidRPr="005A2E47" w:rsidRDefault="0049279E" w:rsidP="00950BEF">
            <w:pPr>
              <w:spacing w:after="0" w:line="240" w:lineRule="auto"/>
              <w:jc w:val="center"/>
              <w:rPr>
                <w:rFonts w:ascii="Times New Roman" w:hAnsi="Times New Roman" w:cs="Times New Roman"/>
                <w:color w:val="000000"/>
                <w:sz w:val="20"/>
                <w:szCs w:val="20"/>
              </w:rPr>
            </w:pPr>
          </w:p>
        </w:tc>
      </w:tr>
      <w:tr w:rsidR="0049279E" w:rsidRPr="005A2E47" w14:paraId="7CF91C8F" w14:textId="77777777" w:rsidTr="007C162A">
        <w:trPr>
          <w:trHeight w:val="255"/>
        </w:trPr>
        <w:tc>
          <w:tcPr>
            <w:tcW w:w="2448" w:type="dxa"/>
            <w:tcBorders>
              <w:left w:val="nil"/>
              <w:bottom w:val="nil"/>
              <w:right w:val="nil"/>
            </w:tcBorders>
            <w:shd w:val="clear" w:color="auto" w:fill="auto"/>
            <w:noWrap/>
            <w:vAlign w:val="bottom"/>
            <w:hideMark/>
          </w:tcPr>
          <w:p w14:paraId="28D4E9FA"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ACDV B80</w:t>
            </w:r>
          </w:p>
        </w:tc>
        <w:tc>
          <w:tcPr>
            <w:tcW w:w="2160" w:type="dxa"/>
            <w:tcBorders>
              <w:left w:val="nil"/>
              <w:bottom w:val="nil"/>
              <w:right w:val="nil"/>
            </w:tcBorders>
            <w:shd w:val="clear" w:color="auto" w:fill="auto"/>
            <w:noWrap/>
            <w:vAlign w:val="bottom"/>
            <w:hideMark/>
          </w:tcPr>
          <w:p w14:paraId="0B20F644"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left w:val="nil"/>
              <w:bottom w:val="nil"/>
              <w:right w:val="nil"/>
            </w:tcBorders>
            <w:shd w:val="clear" w:color="auto" w:fill="auto"/>
            <w:noWrap/>
            <w:vAlign w:val="bottom"/>
            <w:hideMark/>
          </w:tcPr>
          <w:p w14:paraId="0A94336C"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B60</w:t>
            </w:r>
          </w:p>
        </w:tc>
        <w:tc>
          <w:tcPr>
            <w:tcW w:w="1370" w:type="dxa"/>
            <w:tcBorders>
              <w:left w:val="nil"/>
              <w:bottom w:val="nil"/>
              <w:right w:val="nil"/>
            </w:tcBorders>
            <w:shd w:val="clear" w:color="auto" w:fill="auto"/>
            <w:noWrap/>
            <w:vAlign w:val="bottom"/>
            <w:hideMark/>
          </w:tcPr>
          <w:p w14:paraId="728569DB" w14:textId="0C4978FF"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15</w:t>
            </w:r>
          </w:p>
        </w:tc>
        <w:tc>
          <w:tcPr>
            <w:tcW w:w="2725" w:type="dxa"/>
            <w:tcBorders>
              <w:left w:val="nil"/>
              <w:bottom w:val="nil"/>
              <w:right w:val="nil"/>
            </w:tcBorders>
            <w:shd w:val="clear" w:color="auto" w:fill="auto"/>
            <w:noWrap/>
            <w:vAlign w:val="bottom"/>
            <w:hideMark/>
          </w:tcPr>
          <w:p w14:paraId="033AFC89" w14:textId="7E6098E1"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67%</w:t>
            </w:r>
          </w:p>
        </w:tc>
        <w:tc>
          <w:tcPr>
            <w:tcW w:w="2725" w:type="dxa"/>
            <w:tcBorders>
              <w:left w:val="nil"/>
              <w:bottom w:val="nil"/>
              <w:right w:val="nil"/>
            </w:tcBorders>
            <w:shd w:val="clear" w:color="auto" w:fill="auto"/>
            <w:noWrap/>
            <w:vAlign w:val="bottom"/>
            <w:hideMark/>
          </w:tcPr>
          <w:p w14:paraId="08F6BE8F" w14:textId="1BB78CE2"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7%</w:t>
            </w:r>
          </w:p>
        </w:tc>
      </w:tr>
      <w:tr w:rsidR="0049279E" w:rsidRPr="005A2E47" w14:paraId="74063F42" w14:textId="77777777" w:rsidTr="007C162A">
        <w:trPr>
          <w:trHeight w:val="255"/>
        </w:trPr>
        <w:tc>
          <w:tcPr>
            <w:tcW w:w="2448" w:type="dxa"/>
            <w:tcBorders>
              <w:top w:val="nil"/>
              <w:left w:val="nil"/>
              <w:bottom w:val="nil"/>
              <w:right w:val="nil"/>
            </w:tcBorders>
            <w:shd w:val="clear" w:color="auto" w:fill="auto"/>
            <w:noWrap/>
            <w:vAlign w:val="bottom"/>
            <w:hideMark/>
          </w:tcPr>
          <w:p w14:paraId="7BC99C03"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ACDV B80</w:t>
            </w:r>
          </w:p>
        </w:tc>
        <w:tc>
          <w:tcPr>
            <w:tcW w:w="2160" w:type="dxa"/>
            <w:tcBorders>
              <w:top w:val="nil"/>
              <w:left w:val="nil"/>
              <w:bottom w:val="nil"/>
              <w:right w:val="nil"/>
            </w:tcBorders>
            <w:shd w:val="clear" w:color="auto" w:fill="auto"/>
            <w:noWrap/>
            <w:vAlign w:val="bottom"/>
            <w:hideMark/>
          </w:tcPr>
          <w:p w14:paraId="00731CC0"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5B229663"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1370" w:type="dxa"/>
            <w:tcBorders>
              <w:top w:val="nil"/>
              <w:left w:val="nil"/>
              <w:bottom w:val="nil"/>
              <w:right w:val="nil"/>
            </w:tcBorders>
            <w:shd w:val="clear" w:color="auto" w:fill="auto"/>
            <w:noWrap/>
            <w:vAlign w:val="bottom"/>
            <w:hideMark/>
          </w:tcPr>
          <w:p w14:paraId="58F04D59" w14:textId="78FD6866"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15</w:t>
            </w:r>
          </w:p>
        </w:tc>
        <w:tc>
          <w:tcPr>
            <w:tcW w:w="2725" w:type="dxa"/>
            <w:tcBorders>
              <w:top w:val="nil"/>
              <w:left w:val="nil"/>
              <w:bottom w:val="nil"/>
              <w:right w:val="nil"/>
            </w:tcBorders>
            <w:shd w:val="clear" w:color="auto" w:fill="auto"/>
            <w:noWrap/>
            <w:vAlign w:val="bottom"/>
            <w:hideMark/>
          </w:tcPr>
          <w:p w14:paraId="15D43E87" w14:textId="5D097ACC"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47%</w:t>
            </w:r>
          </w:p>
        </w:tc>
        <w:tc>
          <w:tcPr>
            <w:tcW w:w="2725" w:type="dxa"/>
            <w:tcBorders>
              <w:top w:val="nil"/>
              <w:left w:val="nil"/>
              <w:bottom w:val="nil"/>
              <w:right w:val="nil"/>
            </w:tcBorders>
            <w:shd w:val="clear" w:color="auto" w:fill="auto"/>
            <w:noWrap/>
            <w:vAlign w:val="bottom"/>
            <w:hideMark/>
          </w:tcPr>
          <w:p w14:paraId="0A6F89CD" w14:textId="1FE6E31A"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27%</w:t>
            </w:r>
          </w:p>
        </w:tc>
      </w:tr>
      <w:tr w:rsidR="0049279E" w:rsidRPr="005A2E47" w14:paraId="7525758E" w14:textId="77777777" w:rsidTr="007C162A">
        <w:trPr>
          <w:trHeight w:val="255"/>
        </w:trPr>
        <w:tc>
          <w:tcPr>
            <w:tcW w:w="2448" w:type="dxa"/>
            <w:tcBorders>
              <w:top w:val="nil"/>
              <w:left w:val="nil"/>
              <w:bottom w:val="nil"/>
              <w:right w:val="nil"/>
            </w:tcBorders>
            <w:shd w:val="clear" w:color="auto" w:fill="auto"/>
            <w:noWrap/>
            <w:vAlign w:val="bottom"/>
            <w:hideMark/>
          </w:tcPr>
          <w:p w14:paraId="2EB5B340"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B60</w:t>
            </w:r>
          </w:p>
        </w:tc>
        <w:tc>
          <w:tcPr>
            <w:tcW w:w="2160" w:type="dxa"/>
            <w:tcBorders>
              <w:top w:val="nil"/>
              <w:left w:val="nil"/>
              <w:bottom w:val="nil"/>
              <w:right w:val="nil"/>
            </w:tcBorders>
            <w:shd w:val="clear" w:color="auto" w:fill="auto"/>
            <w:noWrap/>
            <w:vAlign w:val="bottom"/>
            <w:hideMark/>
          </w:tcPr>
          <w:p w14:paraId="0BAA63DD"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22C5BEF3"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1370" w:type="dxa"/>
            <w:tcBorders>
              <w:top w:val="nil"/>
              <w:left w:val="nil"/>
              <w:bottom w:val="nil"/>
              <w:right w:val="nil"/>
            </w:tcBorders>
            <w:shd w:val="clear" w:color="auto" w:fill="auto"/>
            <w:noWrap/>
            <w:vAlign w:val="bottom"/>
            <w:hideMark/>
          </w:tcPr>
          <w:p w14:paraId="173B2375" w14:textId="5356A9B5"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148</w:t>
            </w:r>
          </w:p>
        </w:tc>
        <w:tc>
          <w:tcPr>
            <w:tcW w:w="2725" w:type="dxa"/>
            <w:tcBorders>
              <w:top w:val="nil"/>
              <w:left w:val="nil"/>
              <w:bottom w:val="nil"/>
              <w:right w:val="nil"/>
            </w:tcBorders>
            <w:shd w:val="clear" w:color="auto" w:fill="auto"/>
            <w:noWrap/>
            <w:vAlign w:val="bottom"/>
            <w:hideMark/>
          </w:tcPr>
          <w:p w14:paraId="52CBF54D" w14:textId="7D02C8F4"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59%</w:t>
            </w:r>
          </w:p>
        </w:tc>
        <w:tc>
          <w:tcPr>
            <w:tcW w:w="2725" w:type="dxa"/>
            <w:tcBorders>
              <w:top w:val="nil"/>
              <w:left w:val="nil"/>
              <w:bottom w:val="nil"/>
              <w:right w:val="nil"/>
            </w:tcBorders>
            <w:shd w:val="clear" w:color="auto" w:fill="auto"/>
            <w:noWrap/>
            <w:vAlign w:val="bottom"/>
            <w:hideMark/>
          </w:tcPr>
          <w:p w14:paraId="758E74D8" w14:textId="472D90D1"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40%</w:t>
            </w:r>
          </w:p>
        </w:tc>
      </w:tr>
      <w:tr w:rsidR="0049279E" w:rsidRPr="005A2E47" w14:paraId="58E5112C" w14:textId="77777777" w:rsidTr="007C162A">
        <w:trPr>
          <w:trHeight w:val="255"/>
        </w:trPr>
        <w:tc>
          <w:tcPr>
            <w:tcW w:w="2448" w:type="dxa"/>
            <w:tcBorders>
              <w:top w:val="nil"/>
              <w:left w:val="nil"/>
              <w:bottom w:val="nil"/>
              <w:right w:val="nil"/>
            </w:tcBorders>
            <w:shd w:val="clear" w:color="auto" w:fill="auto"/>
            <w:noWrap/>
            <w:vAlign w:val="bottom"/>
            <w:hideMark/>
          </w:tcPr>
          <w:p w14:paraId="391BC8CA"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2160" w:type="dxa"/>
            <w:tcBorders>
              <w:top w:val="nil"/>
              <w:left w:val="nil"/>
              <w:bottom w:val="nil"/>
              <w:right w:val="nil"/>
            </w:tcBorders>
            <w:shd w:val="clear" w:color="auto" w:fill="auto"/>
            <w:noWrap/>
            <w:vAlign w:val="bottom"/>
            <w:hideMark/>
          </w:tcPr>
          <w:p w14:paraId="79F2BF20"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709B3558"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B1A</w:t>
            </w:r>
          </w:p>
        </w:tc>
        <w:tc>
          <w:tcPr>
            <w:tcW w:w="1370" w:type="dxa"/>
            <w:tcBorders>
              <w:top w:val="nil"/>
              <w:left w:val="nil"/>
              <w:bottom w:val="nil"/>
              <w:right w:val="nil"/>
            </w:tcBorders>
            <w:shd w:val="clear" w:color="auto" w:fill="auto"/>
            <w:noWrap/>
            <w:vAlign w:val="bottom"/>
            <w:hideMark/>
          </w:tcPr>
          <w:p w14:paraId="0D5A6197" w14:textId="6843A0D4"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241</w:t>
            </w:r>
          </w:p>
        </w:tc>
        <w:tc>
          <w:tcPr>
            <w:tcW w:w="2725" w:type="dxa"/>
            <w:tcBorders>
              <w:top w:val="nil"/>
              <w:left w:val="nil"/>
              <w:bottom w:val="nil"/>
              <w:right w:val="nil"/>
            </w:tcBorders>
            <w:shd w:val="clear" w:color="auto" w:fill="auto"/>
            <w:noWrap/>
            <w:vAlign w:val="bottom"/>
            <w:hideMark/>
          </w:tcPr>
          <w:p w14:paraId="5F5E91A1" w14:textId="463A1336"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59%</w:t>
            </w:r>
          </w:p>
        </w:tc>
        <w:tc>
          <w:tcPr>
            <w:tcW w:w="2725" w:type="dxa"/>
            <w:tcBorders>
              <w:top w:val="nil"/>
              <w:left w:val="nil"/>
              <w:bottom w:val="nil"/>
              <w:right w:val="nil"/>
            </w:tcBorders>
            <w:shd w:val="clear" w:color="auto" w:fill="auto"/>
            <w:noWrap/>
            <w:vAlign w:val="bottom"/>
            <w:hideMark/>
          </w:tcPr>
          <w:p w14:paraId="4A05BB08" w14:textId="00E14688"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67%</w:t>
            </w:r>
          </w:p>
        </w:tc>
      </w:tr>
      <w:tr w:rsidR="0049279E" w:rsidRPr="005A2E47" w14:paraId="270A553B" w14:textId="77777777" w:rsidTr="007C162A">
        <w:trPr>
          <w:trHeight w:val="255"/>
        </w:trPr>
        <w:tc>
          <w:tcPr>
            <w:tcW w:w="2448" w:type="dxa"/>
            <w:tcBorders>
              <w:top w:val="nil"/>
              <w:left w:val="nil"/>
              <w:bottom w:val="nil"/>
              <w:right w:val="nil"/>
            </w:tcBorders>
            <w:shd w:val="clear" w:color="auto" w:fill="auto"/>
            <w:noWrap/>
            <w:vAlign w:val="bottom"/>
            <w:hideMark/>
          </w:tcPr>
          <w:p w14:paraId="66D0BB12"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2160" w:type="dxa"/>
            <w:tcBorders>
              <w:top w:val="nil"/>
              <w:left w:val="nil"/>
              <w:bottom w:val="nil"/>
              <w:right w:val="nil"/>
            </w:tcBorders>
            <w:shd w:val="clear" w:color="auto" w:fill="auto"/>
            <w:noWrap/>
            <w:vAlign w:val="bottom"/>
            <w:hideMark/>
          </w:tcPr>
          <w:p w14:paraId="70A58591"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1901F853"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B1A</w:t>
            </w:r>
          </w:p>
        </w:tc>
        <w:tc>
          <w:tcPr>
            <w:tcW w:w="1370" w:type="dxa"/>
            <w:tcBorders>
              <w:top w:val="nil"/>
              <w:left w:val="nil"/>
              <w:bottom w:val="nil"/>
              <w:right w:val="nil"/>
            </w:tcBorders>
            <w:shd w:val="clear" w:color="auto" w:fill="auto"/>
            <w:noWrap/>
            <w:vAlign w:val="bottom"/>
            <w:hideMark/>
          </w:tcPr>
          <w:p w14:paraId="7BA04A50" w14:textId="47822187"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617</w:t>
            </w:r>
          </w:p>
        </w:tc>
        <w:tc>
          <w:tcPr>
            <w:tcW w:w="2725" w:type="dxa"/>
            <w:tcBorders>
              <w:top w:val="nil"/>
              <w:left w:val="nil"/>
              <w:bottom w:val="nil"/>
              <w:right w:val="nil"/>
            </w:tcBorders>
            <w:shd w:val="clear" w:color="auto" w:fill="auto"/>
            <w:noWrap/>
            <w:vAlign w:val="bottom"/>
            <w:hideMark/>
          </w:tcPr>
          <w:p w14:paraId="4F4FC7D0" w14:textId="3D39DC86"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66%</w:t>
            </w:r>
          </w:p>
        </w:tc>
        <w:tc>
          <w:tcPr>
            <w:tcW w:w="2725" w:type="dxa"/>
            <w:tcBorders>
              <w:top w:val="nil"/>
              <w:left w:val="nil"/>
              <w:bottom w:val="nil"/>
              <w:right w:val="nil"/>
            </w:tcBorders>
            <w:shd w:val="clear" w:color="auto" w:fill="auto"/>
            <w:noWrap/>
            <w:vAlign w:val="bottom"/>
            <w:hideMark/>
          </w:tcPr>
          <w:p w14:paraId="42B14E01" w14:textId="1A572E2D"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75%</w:t>
            </w:r>
          </w:p>
        </w:tc>
      </w:tr>
      <w:tr w:rsidR="0049279E" w:rsidRPr="005A2E47" w14:paraId="39245774" w14:textId="77777777" w:rsidTr="007C162A">
        <w:trPr>
          <w:trHeight w:val="255"/>
        </w:trPr>
        <w:tc>
          <w:tcPr>
            <w:tcW w:w="2448" w:type="dxa"/>
            <w:tcBorders>
              <w:top w:val="nil"/>
              <w:left w:val="nil"/>
              <w:bottom w:val="nil"/>
              <w:right w:val="nil"/>
            </w:tcBorders>
            <w:shd w:val="clear" w:color="auto" w:fill="auto"/>
            <w:noWrap/>
            <w:vAlign w:val="bottom"/>
            <w:hideMark/>
          </w:tcPr>
          <w:p w14:paraId="52747C3E" w14:textId="345A93BC"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LRNC B510 (Engl B50)</w:t>
            </w:r>
          </w:p>
        </w:tc>
        <w:tc>
          <w:tcPr>
            <w:tcW w:w="2160" w:type="dxa"/>
            <w:tcBorders>
              <w:top w:val="nil"/>
              <w:left w:val="nil"/>
              <w:bottom w:val="nil"/>
              <w:right w:val="nil"/>
            </w:tcBorders>
            <w:shd w:val="clear" w:color="auto" w:fill="auto"/>
            <w:noWrap/>
            <w:vAlign w:val="bottom"/>
            <w:hideMark/>
          </w:tcPr>
          <w:p w14:paraId="59CF3F1F"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7EB577FA" w14:textId="11E25024"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LRNC B510 (Engl B1A)</w:t>
            </w:r>
          </w:p>
        </w:tc>
        <w:tc>
          <w:tcPr>
            <w:tcW w:w="1370" w:type="dxa"/>
            <w:tcBorders>
              <w:top w:val="nil"/>
              <w:left w:val="nil"/>
              <w:bottom w:val="nil"/>
              <w:right w:val="nil"/>
            </w:tcBorders>
            <w:shd w:val="clear" w:color="auto" w:fill="auto"/>
            <w:noWrap/>
            <w:vAlign w:val="bottom"/>
            <w:hideMark/>
          </w:tcPr>
          <w:p w14:paraId="12C8AB5B" w14:textId="35C23C21"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144</w:t>
            </w:r>
          </w:p>
        </w:tc>
        <w:tc>
          <w:tcPr>
            <w:tcW w:w="2725" w:type="dxa"/>
            <w:tcBorders>
              <w:top w:val="nil"/>
              <w:left w:val="nil"/>
              <w:bottom w:val="nil"/>
              <w:right w:val="nil"/>
            </w:tcBorders>
            <w:shd w:val="clear" w:color="auto" w:fill="auto"/>
            <w:noWrap/>
            <w:vAlign w:val="bottom"/>
            <w:hideMark/>
          </w:tcPr>
          <w:p w14:paraId="37628D83" w14:textId="44DDCDAA"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71%</w:t>
            </w:r>
          </w:p>
        </w:tc>
        <w:tc>
          <w:tcPr>
            <w:tcW w:w="2725" w:type="dxa"/>
            <w:tcBorders>
              <w:top w:val="nil"/>
              <w:left w:val="nil"/>
              <w:bottom w:val="nil"/>
              <w:right w:val="nil"/>
            </w:tcBorders>
            <w:shd w:val="clear" w:color="auto" w:fill="auto"/>
            <w:noWrap/>
            <w:vAlign w:val="bottom"/>
            <w:hideMark/>
          </w:tcPr>
          <w:p w14:paraId="5ADBB10E" w14:textId="31127F56"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75%</w:t>
            </w:r>
          </w:p>
        </w:tc>
      </w:tr>
      <w:tr w:rsidR="00EE605C" w:rsidRPr="005A2E47" w14:paraId="365DA8B4" w14:textId="77777777" w:rsidTr="007C162A">
        <w:trPr>
          <w:trHeight w:val="255"/>
        </w:trPr>
        <w:tc>
          <w:tcPr>
            <w:tcW w:w="2448" w:type="dxa"/>
            <w:tcBorders>
              <w:top w:val="nil"/>
              <w:left w:val="nil"/>
              <w:bottom w:val="nil"/>
              <w:right w:val="nil"/>
            </w:tcBorders>
            <w:shd w:val="clear" w:color="auto" w:fill="auto"/>
            <w:noWrap/>
            <w:vAlign w:val="bottom"/>
          </w:tcPr>
          <w:p w14:paraId="423BD029" w14:textId="77777777" w:rsidR="00EE605C" w:rsidRPr="005A2E47" w:rsidRDefault="00EE605C" w:rsidP="00810330">
            <w:pPr>
              <w:spacing w:after="0" w:line="240" w:lineRule="auto"/>
              <w:jc w:val="center"/>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bottom"/>
          </w:tcPr>
          <w:p w14:paraId="0BAD98A1" w14:textId="77777777" w:rsidR="00EE605C" w:rsidRPr="005A2E47" w:rsidRDefault="00EE605C" w:rsidP="00810330">
            <w:pPr>
              <w:spacing w:after="0" w:line="240" w:lineRule="auto"/>
              <w:jc w:val="center"/>
              <w:rPr>
                <w:rFonts w:ascii="Times New Roman" w:eastAsia="Times New Roman" w:hAnsi="Times New Roman" w:cs="Times New Roman"/>
                <w:color w:val="000000"/>
                <w:sz w:val="20"/>
                <w:szCs w:val="20"/>
              </w:rPr>
            </w:pPr>
          </w:p>
        </w:tc>
        <w:tc>
          <w:tcPr>
            <w:tcW w:w="2448" w:type="dxa"/>
            <w:tcBorders>
              <w:top w:val="nil"/>
              <w:left w:val="nil"/>
              <w:bottom w:val="nil"/>
              <w:right w:val="nil"/>
            </w:tcBorders>
            <w:shd w:val="clear" w:color="auto" w:fill="auto"/>
            <w:noWrap/>
            <w:vAlign w:val="bottom"/>
          </w:tcPr>
          <w:p w14:paraId="1DC502E6" w14:textId="77777777" w:rsidR="00EE605C" w:rsidRPr="005A2E47" w:rsidRDefault="00EE605C" w:rsidP="00810330">
            <w:pPr>
              <w:spacing w:after="0" w:line="240" w:lineRule="auto"/>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bottom"/>
          </w:tcPr>
          <w:p w14:paraId="2A0D040D" w14:textId="77777777" w:rsidR="00EE605C" w:rsidRPr="005A2E47" w:rsidRDefault="00EE605C" w:rsidP="00E7213D">
            <w:pPr>
              <w:tabs>
                <w:tab w:val="decimal" w:pos="675"/>
              </w:tabs>
              <w:spacing w:after="0" w:line="240" w:lineRule="auto"/>
              <w:rPr>
                <w:rFonts w:ascii="Times New Roman" w:eastAsia="Times New Roman" w:hAnsi="Times New Roman" w:cs="Times New Roman"/>
                <w:color w:val="000000"/>
                <w:sz w:val="20"/>
                <w:szCs w:val="20"/>
              </w:rPr>
            </w:pPr>
          </w:p>
        </w:tc>
        <w:tc>
          <w:tcPr>
            <w:tcW w:w="2725" w:type="dxa"/>
            <w:tcBorders>
              <w:top w:val="nil"/>
              <w:left w:val="nil"/>
              <w:bottom w:val="nil"/>
              <w:right w:val="nil"/>
            </w:tcBorders>
            <w:shd w:val="clear" w:color="auto" w:fill="auto"/>
            <w:noWrap/>
            <w:vAlign w:val="bottom"/>
          </w:tcPr>
          <w:p w14:paraId="50614009" w14:textId="77777777" w:rsidR="00EE605C" w:rsidRPr="005A2E47" w:rsidRDefault="00EE605C" w:rsidP="00950BEF">
            <w:pPr>
              <w:spacing w:after="0" w:line="240" w:lineRule="auto"/>
              <w:jc w:val="center"/>
              <w:rPr>
                <w:rFonts w:ascii="Times New Roman" w:eastAsia="Times New Roman" w:hAnsi="Times New Roman" w:cs="Times New Roman"/>
                <w:color w:val="000000"/>
                <w:sz w:val="20"/>
                <w:szCs w:val="20"/>
              </w:rPr>
            </w:pPr>
          </w:p>
        </w:tc>
        <w:tc>
          <w:tcPr>
            <w:tcW w:w="2725" w:type="dxa"/>
            <w:tcBorders>
              <w:top w:val="nil"/>
              <w:left w:val="nil"/>
              <w:bottom w:val="nil"/>
              <w:right w:val="nil"/>
            </w:tcBorders>
            <w:shd w:val="clear" w:color="auto" w:fill="auto"/>
            <w:noWrap/>
            <w:vAlign w:val="bottom"/>
          </w:tcPr>
          <w:p w14:paraId="3DE286E4" w14:textId="77777777" w:rsidR="00EE605C" w:rsidRPr="005A2E47" w:rsidRDefault="00EE605C" w:rsidP="00950BEF">
            <w:pPr>
              <w:spacing w:after="0" w:line="240" w:lineRule="auto"/>
              <w:jc w:val="center"/>
              <w:rPr>
                <w:rFonts w:ascii="Times New Roman" w:eastAsia="Times New Roman" w:hAnsi="Times New Roman" w:cs="Times New Roman"/>
                <w:color w:val="000000"/>
                <w:sz w:val="20"/>
                <w:szCs w:val="20"/>
              </w:rPr>
            </w:pPr>
          </w:p>
        </w:tc>
      </w:tr>
      <w:tr w:rsidR="0049279E" w:rsidRPr="005A2E47" w14:paraId="034A40A0" w14:textId="77777777" w:rsidTr="007C162A">
        <w:trPr>
          <w:trHeight w:val="255"/>
        </w:trPr>
        <w:tc>
          <w:tcPr>
            <w:tcW w:w="2448" w:type="dxa"/>
            <w:tcBorders>
              <w:top w:val="nil"/>
              <w:left w:val="nil"/>
              <w:bottom w:val="nil"/>
              <w:right w:val="nil"/>
            </w:tcBorders>
            <w:shd w:val="clear" w:color="auto" w:fill="auto"/>
            <w:noWrap/>
            <w:vAlign w:val="bottom"/>
            <w:hideMark/>
          </w:tcPr>
          <w:p w14:paraId="462E70BF"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B60</w:t>
            </w:r>
          </w:p>
        </w:tc>
        <w:tc>
          <w:tcPr>
            <w:tcW w:w="2160" w:type="dxa"/>
            <w:tcBorders>
              <w:top w:val="nil"/>
              <w:left w:val="nil"/>
              <w:bottom w:val="nil"/>
              <w:right w:val="nil"/>
            </w:tcBorders>
            <w:shd w:val="clear" w:color="auto" w:fill="auto"/>
            <w:noWrap/>
            <w:vAlign w:val="bottom"/>
            <w:hideMark/>
          </w:tcPr>
          <w:p w14:paraId="7EA82F37"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15285D66"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B60</w:t>
            </w:r>
          </w:p>
        </w:tc>
        <w:tc>
          <w:tcPr>
            <w:tcW w:w="1370" w:type="dxa"/>
            <w:tcBorders>
              <w:top w:val="nil"/>
              <w:left w:val="nil"/>
              <w:bottom w:val="nil"/>
              <w:right w:val="nil"/>
            </w:tcBorders>
            <w:shd w:val="clear" w:color="auto" w:fill="auto"/>
            <w:noWrap/>
            <w:vAlign w:val="bottom"/>
            <w:hideMark/>
          </w:tcPr>
          <w:p w14:paraId="4893D4D1" w14:textId="103D008C"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91</w:t>
            </w:r>
          </w:p>
        </w:tc>
        <w:tc>
          <w:tcPr>
            <w:tcW w:w="2725" w:type="dxa"/>
            <w:tcBorders>
              <w:top w:val="nil"/>
              <w:left w:val="nil"/>
              <w:bottom w:val="nil"/>
              <w:right w:val="nil"/>
            </w:tcBorders>
            <w:shd w:val="clear" w:color="auto" w:fill="auto"/>
            <w:noWrap/>
            <w:vAlign w:val="bottom"/>
            <w:hideMark/>
          </w:tcPr>
          <w:p w14:paraId="6A5829B1" w14:textId="070655CA"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42%</w:t>
            </w:r>
          </w:p>
        </w:tc>
        <w:tc>
          <w:tcPr>
            <w:tcW w:w="2725" w:type="dxa"/>
            <w:tcBorders>
              <w:top w:val="nil"/>
              <w:left w:val="nil"/>
              <w:bottom w:val="nil"/>
              <w:right w:val="nil"/>
            </w:tcBorders>
            <w:shd w:val="clear" w:color="auto" w:fill="auto"/>
            <w:noWrap/>
            <w:vAlign w:val="bottom"/>
            <w:hideMark/>
          </w:tcPr>
          <w:p w14:paraId="53446E59" w14:textId="0AB19FFA"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8%</w:t>
            </w:r>
          </w:p>
        </w:tc>
      </w:tr>
      <w:tr w:rsidR="0049279E" w:rsidRPr="005A2E47" w14:paraId="164C9B28" w14:textId="77777777" w:rsidTr="007C162A">
        <w:trPr>
          <w:trHeight w:val="255"/>
        </w:trPr>
        <w:tc>
          <w:tcPr>
            <w:tcW w:w="2448" w:type="dxa"/>
            <w:tcBorders>
              <w:top w:val="nil"/>
              <w:left w:val="nil"/>
              <w:bottom w:val="nil"/>
              <w:right w:val="nil"/>
            </w:tcBorders>
            <w:shd w:val="clear" w:color="auto" w:fill="auto"/>
            <w:noWrap/>
            <w:vAlign w:val="bottom"/>
            <w:hideMark/>
          </w:tcPr>
          <w:p w14:paraId="529DEA01"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B60</w:t>
            </w:r>
          </w:p>
        </w:tc>
        <w:tc>
          <w:tcPr>
            <w:tcW w:w="2160" w:type="dxa"/>
            <w:tcBorders>
              <w:top w:val="nil"/>
              <w:left w:val="nil"/>
              <w:bottom w:val="nil"/>
              <w:right w:val="nil"/>
            </w:tcBorders>
            <w:shd w:val="clear" w:color="auto" w:fill="auto"/>
            <w:noWrap/>
            <w:vAlign w:val="bottom"/>
            <w:hideMark/>
          </w:tcPr>
          <w:p w14:paraId="0F2704D5"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66F10909"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1370" w:type="dxa"/>
            <w:tcBorders>
              <w:top w:val="nil"/>
              <w:left w:val="nil"/>
              <w:bottom w:val="nil"/>
              <w:right w:val="nil"/>
            </w:tcBorders>
            <w:shd w:val="clear" w:color="auto" w:fill="auto"/>
            <w:noWrap/>
            <w:vAlign w:val="bottom"/>
            <w:hideMark/>
          </w:tcPr>
          <w:p w14:paraId="47F49E2C" w14:textId="42A101CA"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34</w:t>
            </w:r>
          </w:p>
        </w:tc>
        <w:tc>
          <w:tcPr>
            <w:tcW w:w="2725" w:type="dxa"/>
            <w:tcBorders>
              <w:top w:val="nil"/>
              <w:left w:val="nil"/>
              <w:bottom w:val="nil"/>
              <w:right w:val="nil"/>
            </w:tcBorders>
            <w:shd w:val="clear" w:color="auto" w:fill="auto"/>
            <w:noWrap/>
            <w:vAlign w:val="bottom"/>
            <w:hideMark/>
          </w:tcPr>
          <w:p w14:paraId="0E64DA26" w14:textId="78D4A1C0"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32%</w:t>
            </w:r>
          </w:p>
        </w:tc>
        <w:tc>
          <w:tcPr>
            <w:tcW w:w="2725" w:type="dxa"/>
            <w:tcBorders>
              <w:top w:val="nil"/>
              <w:left w:val="nil"/>
              <w:bottom w:val="nil"/>
              <w:right w:val="nil"/>
            </w:tcBorders>
            <w:shd w:val="clear" w:color="auto" w:fill="auto"/>
            <w:noWrap/>
            <w:vAlign w:val="bottom"/>
            <w:hideMark/>
          </w:tcPr>
          <w:p w14:paraId="4E11A751" w14:textId="15A5E275"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18%</w:t>
            </w:r>
          </w:p>
        </w:tc>
      </w:tr>
      <w:tr w:rsidR="0049279E" w:rsidRPr="005A2E47" w14:paraId="52EAE083" w14:textId="77777777" w:rsidTr="007C162A">
        <w:trPr>
          <w:trHeight w:val="255"/>
        </w:trPr>
        <w:tc>
          <w:tcPr>
            <w:tcW w:w="2448" w:type="dxa"/>
            <w:tcBorders>
              <w:top w:val="nil"/>
              <w:left w:val="nil"/>
              <w:bottom w:val="nil"/>
              <w:right w:val="nil"/>
            </w:tcBorders>
            <w:shd w:val="clear" w:color="auto" w:fill="auto"/>
            <w:noWrap/>
            <w:vAlign w:val="bottom"/>
            <w:hideMark/>
          </w:tcPr>
          <w:p w14:paraId="3D0097CF"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2160" w:type="dxa"/>
            <w:tcBorders>
              <w:top w:val="nil"/>
              <w:left w:val="nil"/>
              <w:bottom w:val="nil"/>
              <w:right w:val="nil"/>
            </w:tcBorders>
            <w:shd w:val="clear" w:color="auto" w:fill="auto"/>
            <w:noWrap/>
            <w:vAlign w:val="bottom"/>
            <w:hideMark/>
          </w:tcPr>
          <w:p w14:paraId="5ACCC37A"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7C741302"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1370" w:type="dxa"/>
            <w:tcBorders>
              <w:top w:val="nil"/>
              <w:left w:val="nil"/>
              <w:bottom w:val="nil"/>
              <w:right w:val="nil"/>
            </w:tcBorders>
            <w:shd w:val="clear" w:color="auto" w:fill="auto"/>
            <w:noWrap/>
            <w:vAlign w:val="bottom"/>
            <w:hideMark/>
          </w:tcPr>
          <w:p w14:paraId="0C0A1EF4" w14:textId="4C8373C2"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142</w:t>
            </w:r>
          </w:p>
        </w:tc>
        <w:tc>
          <w:tcPr>
            <w:tcW w:w="2725" w:type="dxa"/>
            <w:tcBorders>
              <w:top w:val="nil"/>
              <w:left w:val="nil"/>
              <w:bottom w:val="nil"/>
              <w:right w:val="nil"/>
            </w:tcBorders>
            <w:shd w:val="clear" w:color="auto" w:fill="auto"/>
            <w:noWrap/>
            <w:vAlign w:val="bottom"/>
            <w:hideMark/>
          </w:tcPr>
          <w:p w14:paraId="7B52276A" w14:textId="259C3A1E"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32%</w:t>
            </w:r>
          </w:p>
        </w:tc>
        <w:tc>
          <w:tcPr>
            <w:tcW w:w="2725" w:type="dxa"/>
            <w:tcBorders>
              <w:top w:val="nil"/>
              <w:left w:val="nil"/>
              <w:bottom w:val="nil"/>
              <w:right w:val="nil"/>
            </w:tcBorders>
            <w:shd w:val="clear" w:color="auto" w:fill="auto"/>
            <w:noWrap/>
            <w:vAlign w:val="bottom"/>
            <w:hideMark/>
          </w:tcPr>
          <w:p w14:paraId="19BF173B" w14:textId="0B525E75"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13%</w:t>
            </w:r>
          </w:p>
        </w:tc>
      </w:tr>
      <w:tr w:rsidR="0049279E" w:rsidRPr="005A2E47" w14:paraId="3B85C373" w14:textId="77777777" w:rsidTr="007C162A">
        <w:trPr>
          <w:trHeight w:val="255"/>
        </w:trPr>
        <w:tc>
          <w:tcPr>
            <w:tcW w:w="2448" w:type="dxa"/>
            <w:tcBorders>
              <w:top w:val="nil"/>
              <w:left w:val="nil"/>
              <w:bottom w:val="nil"/>
              <w:right w:val="nil"/>
            </w:tcBorders>
            <w:shd w:val="clear" w:color="auto" w:fill="auto"/>
            <w:noWrap/>
            <w:vAlign w:val="bottom"/>
            <w:hideMark/>
          </w:tcPr>
          <w:p w14:paraId="17B3F6A1"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2160" w:type="dxa"/>
            <w:tcBorders>
              <w:top w:val="nil"/>
              <w:left w:val="nil"/>
              <w:bottom w:val="nil"/>
              <w:right w:val="nil"/>
            </w:tcBorders>
            <w:shd w:val="clear" w:color="auto" w:fill="auto"/>
            <w:noWrap/>
            <w:vAlign w:val="bottom"/>
            <w:hideMark/>
          </w:tcPr>
          <w:p w14:paraId="6E094DAF"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75F6328C"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1370" w:type="dxa"/>
            <w:tcBorders>
              <w:top w:val="nil"/>
              <w:left w:val="nil"/>
              <w:bottom w:val="nil"/>
              <w:right w:val="nil"/>
            </w:tcBorders>
            <w:shd w:val="clear" w:color="auto" w:fill="auto"/>
            <w:noWrap/>
            <w:vAlign w:val="bottom"/>
            <w:hideMark/>
          </w:tcPr>
          <w:p w14:paraId="00FE2E5B" w14:textId="21019EDF"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38</w:t>
            </w:r>
          </w:p>
        </w:tc>
        <w:tc>
          <w:tcPr>
            <w:tcW w:w="2725" w:type="dxa"/>
            <w:tcBorders>
              <w:top w:val="nil"/>
              <w:left w:val="nil"/>
              <w:bottom w:val="nil"/>
              <w:right w:val="nil"/>
            </w:tcBorders>
            <w:shd w:val="clear" w:color="auto" w:fill="auto"/>
            <w:noWrap/>
            <w:vAlign w:val="bottom"/>
            <w:hideMark/>
          </w:tcPr>
          <w:p w14:paraId="32451886" w14:textId="23307DD1"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45%</w:t>
            </w:r>
          </w:p>
        </w:tc>
        <w:tc>
          <w:tcPr>
            <w:tcW w:w="2725" w:type="dxa"/>
            <w:tcBorders>
              <w:top w:val="nil"/>
              <w:left w:val="nil"/>
              <w:bottom w:val="nil"/>
              <w:right w:val="nil"/>
            </w:tcBorders>
            <w:shd w:val="clear" w:color="auto" w:fill="auto"/>
            <w:noWrap/>
            <w:vAlign w:val="bottom"/>
            <w:hideMark/>
          </w:tcPr>
          <w:p w14:paraId="1FCAA0C1" w14:textId="46BCAEF6"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18%</w:t>
            </w:r>
          </w:p>
        </w:tc>
      </w:tr>
      <w:tr w:rsidR="0049279E" w:rsidRPr="005A2E47" w14:paraId="31FCA5E1" w14:textId="77777777" w:rsidTr="007C162A">
        <w:trPr>
          <w:trHeight w:val="255"/>
        </w:trPr>
        <w:tc>
          <w:tcPr>
            <w:tcW w:w="2448" w:type="dxa"/>
            <w:tcBorders>
              <w:top w:val="nil"/>
              <w:left w:val="nil"/>
              <w:bottom w:val="nil"/>
              <w:right w:val="nil"/>
            </w:tcBorders>
            <w:shd w:val="clear" w:color="auto" w:fill="auto"/>
            <w:noWrap/>
            <w:vAlign w:val="bottom"/>
            <w:hideMark/>
          </w:tcPr>
          <w:p w14:paraId="15A7DEDF"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2160" w:type="dxa"/>
            <w:tcBorders>
              <w:top w:val="nil"/>
              <w:left w:val="nil"/>
              <w:bottom w:val="nil"/>
              <w:right w:val="nil"/>
            </w:tcBorders>
            <w:shd w:val="clear" w:color="auto" w:fill="auto"/>
            <w:noWrap/>
            <w:vAlign w:val="bottom"/>
            <w:hideMark/>
          </w:tcPr>
          <w:p w14:paraId="641DC2C3"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64C5A40E"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1370" w:type="dxa"/>
            <w:tcBorders>
              <w:top w:val="nil"/>
              <w:left w:val="nil"/>
              <w:bottom w:val="nil"/>
              <w:right w:val="nil"/>
            </w:tcBorders>
            <w:shd w:val="clear" w:color="auto" w:fill="auto"/>
            <w:noWrap/>
            <w:vAlign w:val="bottom"/>
            <w:hideMark/>
          </w:tcPr>
          <w:p w14:paraId="0D339889" w14:textId="5555D202"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312</w:t>
            </w:r>
          </w:p>
        </w:tc>
        <w:tc>
          <w:tcPr>
            <w:tcW w:w="2725" w:type="dxa"/>
            <w:tcBorders>
              <w:top w:val="nil"/>
              <w:left w:val="nil"/>
              <w:bottom w:val="nil"/>
              <w:right w:val="nil"/>
            </w:tcBorders>
            <w:shd w:val="clear" w:color="auto" w:fill="auto"/>
            <w:noWrap/>
            <w:vAlign w:val="bottom"/>
            <w:hideMark/>
          </w:tcPr>
          <w:p w14:paraId="0F6F8562" w14:textId="33A0722D"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53%</w:t>
            </w:r>
          </w:p>
        </w:tc>
        <w:tc>
          <w:tcPr>
            <w:tcW w:w="2725" w:type="dxa"/>
            <w:tcBorders>
              <w:top w:val="nil"/>
              <w:left w:val="nil"/>
              <w:bottom w:val="nil"/>
              <w:right w:val="nil"/>
            </w:tcBorders>
            <w:shd w:val="clear" w:color="auto" w:fill="auto"/>
            <w:noWrap/>
            <w:vAlign w:val="bottom"/>
            <w:hideMark/>
          </w:tcPr>
          <w:p w14:paraId="445CAA43" w14:textId="03707862"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22%</w:t>
            </w:r>
          </w:p>
        </w:tc>
      </w:tr>
      <w:tr w:rsidR="0049279E" w:rsidRPr="005A2E47" w14:paraId="6EE9E68B" w14:textId="77777777" w:rsidTr="007C162A">
        <w:trPr>
          <w:trHeight w:val="255"/>
        </w:trPr>
        <w:tc>
          <w:tcPr>
            <w:tcW w:w="2448" w:type="dxa"/>
            <w:tcBorders>
              <w:top w:val="nil"/>
              <w:left w:val="nil"/>
              <w:right w:val="nil"/>
            </w:tcBorders>
            <w:shd w:val="clear" w:color="auto" w:fill="auto"/>
            <w:noWrap/>
            <w:vAlign w:val="bottom"/>
            <w:hideMark/>
          </w:tcPr>
          <w:p w14:paraId="00B0802B" w14:textId="7DB21215"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LRNC B510 (Engl B50)</w:t>
            </w:r>
          </w:p>
        </w:tc>
        <w:tc>
          <w:tcPr>
            <w:tcW w:w="2160" w:type="dxa"/>
            <w:tcBorders>
              <w:top w:val="nil"/>
              <w:left w:val="nil"/>
              <w:right w:val="nil"/>
            </w:tcBorders>
            <w:shd w:val="clear" w:color="auto" w:fill="auto"/>
            <w:noWrap/>
            <w:vAlign w:val="bottom"/>
            <w:hideMark/>
          </w:tcPr>
          <w:p w14:paraId="0E31973D"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right w:val="nil"/>
            </w:tcBorders>
            <w:shd w:val="clear" w:color="auto" w:fill="auto"/>
            <w:noWrap/>
            <w:vAlign w:val="bottom"/>
            <w:hideMark/>
          </w:tcPr>
          <w:p w14:paraId="1F83B9AF" w14:textId="7777777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1370" w:type="dxa"/>
            <w:tcBorders>
              <w:top w:val="nil"/>
              <w:left w:val="nil"/>
              <w:right w:val="nil"/>
            </w:tcBorders>
            <w:shd w:val="clear" w:color="auto" w:fill="auto"/>
            <w:noWrap/>
            <w:vAlign w:val="bottom"/>
            <w:hideMark/>
          </w:tcPr>
          <w:p w14:paraId="1B77283C" w14:textId="6C5283D9" w:rsidR="0049279E" w:rsidRPr="005A2E47" w:rsidRDefault="0049279E" w:rsidP="0049279E">
            <w:pPr>
              <w:tabs>
                <w:tab w:val="decimal" w:pos="675"/>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36</w:t>
            </w:r>
          </w:p>
        </w:tc>
        <w:tc>
          <w:tcPr>
            <w:tcW w:w="2725" w:type="dxa"/>
            <w:tcBorders>
              <w:top w:val="nil"/>
              <w:left w:val="nil"/>
              <w:right w:val="nil"/>
            </w:tcBorders>
            <w:shd w:val="clear" w:color="auto" w:fill="auto"/>
            <w:noWrap/>
            <w:vAlign w:val="bottom"/>
            <w:hideMark/>
          </w:tcPr>
          <w:p w14:paraId="454F43BA" w14:textId="645BC351"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28%</w:t>
            </w:r>
          </w:p>
        </w:tc>
        <w:tc>
          <w:tcPr>
            <w:tcW w:w="2725" w:type="dxa"/>
            <w:tcBorders>
              <w:top w:val="nil"/>
              <w:left w:val="nil"/>
              <w:right w:val="nil"/>
            </w:tcBorders>
            <w:shd w:val="clear" w:color="auto" w:fill="auto"/>
            <w:noWrap/>
            <w:vAlign w:val="bottom"/>
            <w:hideMark/>
          </w:tcPr>
          <w:p w14:paraId="0CE60210" w14:textId="466D5907" w:rsidR="0049279E" w:rsidRPr="005A2E47" w:rsidRDefault="0049279E" w:rsidP="0049279E">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22%</w:t>
            </w:r>
          </w:p>
        </w:tc>
      </w:tr>
    </w:tbl>
    <w:p w14:paraId="54708829" w14:textId="77777777" w:rsidR="00EE605C" w:rsidRDefault="00EE605C" w:rsidP="0049279E">
      <w:pPr>
        <w:pBdr>
          <w:bottom w:val="single" w:sz="4" w:space="1" w:color="auto"/>
        </w:pBdr>
        <w:spacing w:after="0" w:line="240" w:lineRule="auto"/>
        <w:rPr>
          <w:rFonts w:ascii="Times New Roman" w:hAnsi="Times New Roman" w:cs="Times New Roman"/>
          <w:sz w:val="24"/>
          <w:szCs w:val="24"/>
        </w:rPr>
      </w:pPr>
    </w:p>
    <w:p w14:paraId="57E4DBD9" w14:textId="77777777" w:rsidR="00655DAE" w:rsidRDefault="00655DAE">
      <w:pPr>
        <w:rPr>
          <w:rFonts w:ascii="Times New Roman" w:hAnsi="Times New Roman" w:cs="Times New Roman"/>
          <w:sz w:val="24"/>
          <w:szCs w:val="24"/>
        </w:rPr>
      </w:pPr>
      <w:r>
        <w:rPr>
          <w:rFonts w:ascii="Times New Roman" w:hAnsi="Times New Roman" w:cs="Times New Roman"/>
          <w:sz w:val="24"/>
          <w:szCs w:val="24"/>
        </w:rPr>
        <w:br w:type="page"/>
      </w:r>
    </w:p>
    <w:p w14:paraId="7C2462E9" w14:textId="4D671E6C" w:rsidR="00EE605C" w:rsidRDefault="00EE605C" w:rsidP="00EE60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1</w:t>
      </w:r>
      <w:r w:rsidR="00BD50D4">
        <w:rPr>
          <w:rFonts w:ascii="Times New Roman" w:hAnsi="Times New Roman" w:cs="Times New Roman"/>
          <w:sz w:val="24"/>
          <w:szCs w:val="24"/>
        </w:rPr>
        <w:t>3</w:t>
      </w:r>
      <w:r>
        <w:rPr>
          <w:rFonts w:ascii="Times New Roman" w:hAnsi="Times New Roman" w:cs="Times New Roman"/>
          <w:sz w:val="24"/>
          <w:szCs w:val="24"/>
        </w:rPr>
        <w:t xml:space="preserve">:  Average number of terms to achieve transfer-level English competency among students who did so, by </w:t>
      </w:r>
      <w:r w:rsidR="00E7213D">
        <w:rPr>
          <w:rFonts w:ascii="Times New Roman" w:hAnsi="Times New Roman" w:cs="Times New Roman"/>
          <w:sz w:val="24"/>
          <w:szCs w:val="24"/>
        </w:rPr>
        <w:t>English</w:t>
      </w:r>
      <w:r>
        <w:rPr>
          <w:rFonts w:ascii="Times New Roman" w:hAnsi="Times New Roman" w:cs="Times New Roman"/>
          <w:sz w:val="24"/>
          <w:szCs w:val="24"/>
        </w:rPr>
        <w:t xml:space="preserve"> pathway </w:t>
      </w:r>
    </w:p>
    <w:p w14:paraId="1AF37291" w14:textId="77777777" w:rsidR="00EE605C" w:rsidRDefault="00EE605C" w:rsidP="00EE605C">
      <w:pPr>
        <w:spacing w:after="0" w:line="240" w:lineRule="auto"/>
        <w:rPr>
          <w:rFonts w:ascii="Times New Roman" w:hAnsi="Times New Roman" w:cs="Times New Roman"/>
          <w:sz w:val="24"/>
          <w:szCs w:val="24"/>
        </w:rPr>
      </w:pPr>
    </w:p>
    <w:tbl>
      <w:tblPr>
        <w:tblW w:w="12960" w:type="dxa"/>
        <w:tblLayout w:type="fixed"/>
        <w:tblCellMar>
          <w:left w:w="115" w:type="dxa"/>
          <w:right w:w="115" w:type="dxa"/>
        </w:tblCellMar>
        <w:tblLook w:val="04A0" w:firstRow="1" w:lastRow="0" w:firstColumn="1" w:lastColumn="0" w:noHBand="0" w:noVBand="1"/>
      </w:tblPr>
      <w:tblGrid>
        <w:gridCol w:w="2239"/>
        <w:gridCol w:w="1978"/>
        <w:gridCol w:w="2239"/>
        <w:gridCol w:w="1316"/>
        <w:gridCol w:w="2594"/>
        <w:gridCol w:w="2594"/>
      </w:tblGrid>
      <w:tr w:rsidR="00655DAE" w:rsidRPr="005A2E47" w14:paraId="4C485194" w14:textId="77777777" w:rsidTr="005A2E47">
        <w:trPr>
          <w:trHeight w:val="255"/>
        </w:trPr>
        <w:tc>
          <w:tcPr>
            <w:tcW w:w="2448" w:type="dxa"/>
            <w:tcBorders>
              <w:top w:val="single" w:sz="4" w:space="0" w:color="auto"/>
              <w:left w:val="nil"/>
              <w:right w:val="nil"/>
            </w:tcBorders>
            <w:shd w:val="clear" w:color="auto" w:fill="auto"/>
            <w:noWrap/>
            <w:vAlign w:val="bottom"/>
          </w:tcPr>
          <w:p w14:paraId="751BA9BB" w14:textId="77777777" w:rsidR="00655DAE" w:rsidRPr="005A2E47" w:rsidRDefault="00655DAE" w:rsidP="00810330">
            <w:pPr>
              <w:spacing w:after="0" w:line="240" w:lineRule="auto"/>
              <w:jc w:val="center"/>
              <w:rPr>
                <w:rFonts w:ascii="Times New Roman" w:eastAsia="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414B551B" w14:textId="77777777" w:rsidR="00655DAE" w:rsidRPr="005A2E47" w:rsidRDefault="00655DAE" w:rsidP="00810330">
            <w:pPr>
              <w:spacing w:after="0" w:line="240" w:lineRule="auto"/>
              <w:jc w:val="center"/>
              <w:rPr>
                <w:rFonts w:ascii="Times New Roman" w:eastAsia="Times New Roman" w:hAnsi="Times New Roman" w:cs="Times New Roman"/>
                <w:color w:val="000000"/>
                <w:sz w:val="20"/>
                <w:szCs w:val="20"/>
              </w:rPr>
            </w:pPr>
          </w:p>
        </w:tc>
        <w:tc>
          <w:tcPr>
            <w:tcW w:w="2448" w:type="dxa"/>
            <w:tcBorders>
              <w:top w:val="single" w:sz="4" w:space="0" w:color="auto"/>
              <w:left w:val="nil"/>
              <w:right w:val="nil"/>
            </w:tcBorders>
            <w:shd w:val="clear" w:color="auto" w:fill="auto"/>
            <w:noWrap/>
            <w:vAlign w:val="bottom"/>
          </w:tcPr>
          <w:p w14:paraId="020CD57D" w14:textId="77777777" w:rsidR="00655DAE" w:rsidRPr="005A2E47" w:rsidRDefault="00655DAE" w:rsidP="00810330">
            <w:pPr>
              <w:spacing w:after="0" w:line="240" w:lineRule="auto"/>
              <w:jc w:val="center"/>
              <w:rPr>
                <w:rFonts w:ascii="Times New Roman" w:eastAsia="Times New Roman" w:hAnsi="Times New Roman" w:cs="Times New Roman"/>
                <w:color w:val="000000"/>
                <w:sz w:val="20"/>
                <w:szCs w:val="20"/>
              </w:rPr>
            </w:pPr>
          </w:p>
        </w:tc>
        <w:tc>
          <w:tcPr>
            <w:tcW w:w="1428" w:type="dxa"/>
            <w:tcBorders>
              <w:top w:val="single" w:sz="4" w:space="0" w:color="auto"/>
              <w:left w:val="nil"/>
              <w:right w:val="nil"/>
            </w:tcBorders>
            <w:shd w:val="clear" w:color="auto" w:fill="auto"/>
            <w:noWrap/>
            <w:vAlign w:val="bottom"/>
          </w:tcPr>
          <w:p w14:paraId="4166C65F" w14:textId="77777777" w:rsidR="00655DAE" w:rsidRPr="005A2E47" w:rsidRDefault="00655DAE" w:rsidP="00810330">
            <w:pPr>
              <w:spacing w:after="0" w:line="240" w:lineRule="auto"/>
              <w:jc w:val="center"/>
              <w:rPr>
                <w:rFonts w:ascii="Times New Roman" w:eastAsia="Times New Roman" w:hAnsi="Times New Roman" w:cs="Times New Roman"/>
                <w:i/>
                <w:color w:val="000000"/>
                <w:sz w:val="20"/>
                <w:szCs w:val="20"/>
              </w:rPr>
            </w:pPr>
          </w:p>
        </w:tc>
        <w:tc>
          <w:tcPr>
            <w:tcW w:w="5680" w:type="dxa"/>
            <w:gridSpan w:val="2"/>
            <w:tcBorders>
              <w:top w:val="single" w:sz="4" w:space="0" w:color="auto"/>
              <w:left w:val="nil"/>
              <w:bottom w:val="single" w:sz="4" w:space="0" w:color="auto"/>
              <w:right w:val="nil"/>
            </w:tcBorders>
            <w:shd w:val="clear" w:color="auto" w:fill="auto"/>
            <w:noWrap/>
            <w:vAlign w:val="bottom"/>
          </w:tcPr>
          <w:p w14:paraId="3FD97419" w14:textId="77777777" w:rsidR="00655DAE" w:rsidRPr="005A2E47" w:rsidRDefault="00655DAE" w:rsidP="00655DAE">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average number of terms to first successfully completed</w:t>
            </w:r>
          </w:p>
          <w:p w14:paraId="6B76EBFE" w14:textId="1447A6D2" w:rsidR="00655DAE" w:rsidRPr="005A2E47" w:rsidRDefault="00655DAE" w:rsidP="00655DAE">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transfer-level English course</w:t>
            </w:r>
          </w:p>
        </w:tc>
      </w:tr>
      <w:tr w:rsidR="00EE605C" w:rsidRPr="005A2E47" w14:paraId="3822694F" w14:textId="77777777" w:rsidTr="005A2E47">
        <w:trPr>
          <w:trHeight w:val="255"/>
        </w:trPr>
        <w:tc>
          <w:tcPr>
            <w:tcW w:w="2448" w:type="dxa"/>
            <w:tcBorders>
              <w:left w:val="nil"/>
              <w:bottom w:val="single" w:sz="4" w:space="0" w:color="auto"/>
              <w:right w:val="nil"/>
            </w:tcBorders>
            <w:shd w:val="clear" w:color="auto" w:fill="auto"/>
            <w:noWrap/>
            <w:vAlign w:val="bottom"/>
            <w:hideMark/>
          </w:tcPr>
          <w:p w14:paraId="087EEA23" w14:textId="77777777" w:rsidR="00EE605C" w:rsidRPr="005A2E47" w:rsidRDefault="00EE605C" w:rsidP="00810330">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First English</w:t>
            </w:r>
          </w:p>
        </w:tc>
        <w:tc>
          <w:tcPr>
            <w:tcW w:w="2160" w:type="dxa"/>
            <w:tcBorders>
              <w:left w:val="nil"/>
              <w:bottom w:val="single" w:sz="4" w:space="0" w:color="auto"/>
              <w:right w:val="nil"/>
            </w:tcBorders>
            <w:shd w:val="clear" w:color="auto" w:fill="auto"/>
            <w:noWrap/>
            <w:vAlign w:val="bottom"/>
            <w:hideMark/>
          </w:tcPr>
          <w:p w14:paraId="07E902CE" w14:textId="77777777" w:rsidR="00EE605C" w:rsidRPr="005A2E47" w:rsidRDefault="00EE605C" w:rsidP="00810330">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Outcome in </w:t>
            </w:r>
          </w:p>
          <w:p w14:paraId="111D5442" w14:textId="77777777" w:rsidR="00EE605C" w:rsidRPr="005A2E47" w:rsidRDefault="00EE605C" w:rsidP="00810330">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color w:val="000000"/>
                <w:sz w:val="20"/>
                <w:szCs w:val="20"/>
              </w:rPr>
              <w:t>First English</w:t>
            </w:r>
          </w:p>
        </w:tc>
        <w:tc>
          <w:tcPr>
            <w:tcW w:w="2448" w:type="dxa"/>
            <w:tcBorders>
              <w:left w:val="nil"/>
              <w:bottom w:val="single" w:sz="4" w:space="0" w:color="auto"/>
              <w:right w:val="nil"/>
            </w:tcBorders>
            <w:shd w:val="clear" w:color="auto" w:fill="auto"/>
            <w:noWrap/>
            <w:vAlign w:val="bottom"/>
            <w:hideMark/>
          </w:tcPr>
          <w:p w14:paraId="2D361D07" w14:textId="77777777" w:rsidR="00EE605C" w:rsidRPr="005A2E47" w:rsidRDefault="00EE605C" w:rsidP="00810330">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color w:val="000000"/>
                <w:sz w:val="20"/>
                <w:szCs w:val="20"/>
              </w:rPr>
              <w:t>Second English</w:t>
            </w:r>
          </w:p>
        </w:tc>
        <w:tc>
          <w:tcPr>
            <w:tcW w:w="1428" w:type="dxa"/>
            <w:tcBorders>
              <w:left w:val="nil"/>
              <w:bottom w:val="single" w:sz="4" w:space="0" w:color="auto"/>
              <w:right w:val="nil"/>
            </w:tcBorders>
            <w:shd w:val="clear" w:color="auto" w:fill="auto"/>
            <w:noWrap/>
            <w:vAlign w:val="bottom"/>
            <w:hideMark/>
          </w:tcPr>
          <w:p w14:paraId="1004601A" w14:textId="77777777" w:rsidR="00EE605C" w:rsidRPr="005A2E47" w:rsidRDefault="00EE605C" w:rsidP="00810330">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i/>
                <w:color w:val="000000"/>
                <w:sz w:val="20"/>
                <w:szCs w:val="20"/>
              </w:rPr>
              <w:t>N</w:t>
            </w:r>
          </w:p>
        </w:tc>
        <w:tc>
          <w:tcPr>
            <w:tcW w:w="2840" w:type="dxa"/>
            <w:tcBorders>
              <w:top w:val="single" w:sz="4" w:space="0" w:color="auto"/>
              <w:left w:val="nil"/>
              <w:bottom w:val="single" w:sz="4" w:space="0" w:color="auto"/>
              <w:right w:val="nil"/>
            </w:tcBorders>
            <w:shd w:val="clear" w:color="auto" w:fill="auto"/>
            <w:noWrap/>
            <w:vAlign w:val="bottom"/>
            <w:hideMark/>
          </w:tcPr>
          <w:p w14:paraId="538CF91F" w14:textId="77777777" w:rsidR="00EE605C" w:rsidRPr="005A2E47" w:rsidRDefault="00EE605C" w:rsidP="00810330">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color w:val="000000"/>
                <w:sz w:val="20"/>
                <w:szCs w:val="20"/>
              </w:rPr>
              <w:t>from college entry</w:t>
            </w:r>
          </w:p>
        </w:tc>
        <w:tc>
          <w:tcPr>
            <w:tcW w:w="2840" w:type="dxa"/>
            <w:tcBorders>
              <w:top w:val="single" w:sz="4" w:space="0" w:color="auto"/>
              <w:left w:val="nil"/>
              <w:bottom w:val="single" w:sz="4" w:space="0" w:color="auto"/>
              <w:right w:val="nil"/>
            </w:tcBorders>
            <w:shd w:val="clear" w:color="auto" w:fill="auto"/>
            <w:noWrap/>
            <w:vAlign w:val="bottom"/>
            <w:hideMark/>
          </w:tcPr>
          <w:p w14:paraId="01D80C6F" w14:textId="77777777" w:rsidR="00EE605C" w:rsidRPr="005A2E47" w:rsidRDefault="00EE605C" w:rsidP="00810330">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from first attempted</w:t>
            </w:r>
          </w:p>
          <w:p w14:paraId="5861B9D1" w14:textId="77777777" w:rsidR="00EE605C" w:rsidRPr="005A2E47" w:rsidRDefault="00EE605C" w:rsidP="00810330">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color w:val="000000"/>
                <w:sz w:val="20"/>
                <w:szCs w:val="20"/>
              </w:rPr>
              <w:t>English course</w:t>
            </w:r>
          </w:p>
        </w:tc>
      </w:tr>
      <w:tr w:rsidR="00E533B5" w:rsidRPr="005A2E47" w14:paraId="5132CA18" w14:textId="77777777" w:rsidTr="005A2E47">
        <w:trPr>
          <w:trHeight w:val="255"/>
        </w:trPr>
        <w:tc>
          <w:tcPr>
            <w:tcW w:w="2448" w:type="dxa"/>
            <w:tcBorders>
              <w:top w:val="single" w:sz="4" w:space="0" w:color="auto"/>
              <w:left w:val="nil"/>
              <w:right w:val="nil"/>
            </w:tcBorders>
            <w:shd w:val="clear" w:color="auto" w:fill="auto"/>
            <w:noWrap/>
            <w:vAlign w:val="bottom"/>
          </w:tcPr>
          <w:p w14:paraId="34339BF7" w14:textId="77777777" w:rsidR="00E533B5" w:rsidRPr="005A2E47" w:rsidRDefault="00E533B5" w:rsidP="00810330">
            <w:pPr>
              <w:spacing w:after="0" w:line="240" w:lineRule="auto"/>
              <w:jc w:val="center"/>
              <w:rPr>
                <w:rFonts w:ascii="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3AF333D7" w14:textId="77777777" w:rsidR="00E533B5" w:rsidRPr="005A2E47" w:rsidRDefault="00E533B5" w:rsidP="00810330">
            <w:pPr>
              <w:spacing w:after="0" w:line="240" w:lineRule="auto"/>
              <w:jc w:val="center"/>
              <w:rPr>
                <w:rFonts w:ascii="Times New Roman" w:hAnsi="Times New Roman" w:cs="Times New Roman"/>
                <w:color w:val="000000"/>
                <w:sz w:val="20"/>
                <w:szCs w:val="20"/>
              </w:rPr>
            </w:pPr>
          </w:p>
        </w:tc>
        <w:tc>
          <w:tcPr>
            <w:tcW w:w="2448" w:type="dxa"/>
            <w:tcBorders>
              <w:top w:val="single" w:sz="4" w:space="0" w:color="auto"/>
              <w:left w:val="nil"/>
              <w:right w:val="nil"/>
            </w:tcBorders>
            <w:shd w:val="clear" w:color="auto" w:fill="auto"/>
            <w:noWrap/>
            <w:vAlign w:val="bottom"/>
          </w:tcPr>
          <w:p w14:paraId="1F18822B" w14:textId="77777777" w:rsidR="00E533B5" w:rsidRPr="005A2E47" w:rsidRDefault="00E533B5" w:rsidP="00810330">
            <w:pPr>
              <w:spacing w:after="0" w:line="240" w:lineRule="auto"/>
              <w:jc w:val="center"/>
              <w:rPr>
                <w:rFonts w:ascii="Times New Roman" w:hAnsi="Times New Roman" w:cs="Times New Roman"/>
                <w:color w:val="000000"/>
                <w:sz w:val="20"/>
                <w:szCs w:val="20"/>
              </w:rPr>
            </w:pPr>
          </w:p>
        </w:tc>
        <w:tc>
          <w:tcPr>
            <w:tcW w:w="1428" w:type="dxa"/>
            <w:tcBorders>
              <w:top w:val="single" w:sz="4" w:space="0" w:color="auto"/>
              <w:left w:val="nil"/>
              <w:right w:val="nil"/>
            </w:tcBorders>
            <w:shd w:val="clear" w:color="auto" w:fill="auto"/>
            <w:noWrap/>
            <w:vAlign w:val="bottom"/>
          </w:tcPr>
          <w:p w14:paraId="0A4674E8" w14:textId="77777777" w:rsidR="00E533B5" w:rsidRPr="005A2E47" w:rsidRDefault="00E533B5" w:rsidP="00E7213D">
            <w:pPr>
              <w:tabs>
                <w:tab w:val="decimal" w:pos="693"/>
              </w:tabs>
              <w:spacing w:after="0" w:line="240" w:lineRule="auto"/>
              <w:rPr>
                <w:rFonts w:ascii="Times New Roman" w:hAnsi="Times New Roman" w:cs="Times New Roman"/>
                <w:color w:val="000000"/>
                <w:sz w:val="20"/>
                <w:szCs w:val="20"/>
              </w:rPr>
            </w:pPr>
          </w:p>
        </w:tc>
        <w:tc>
          <w:tcPr>
            <w:tcW w:w="2840" w:type="dxa"/>
            <w:tcBorders>
              <w:top w:val="single" w:sz="4" w:space="0" w:color="auto"/>
              <w:left w:val="nil"/>
              <w:right w:val="nil"/>
            </w:tcBorders>
            <w:shd w:val="clear" w:color="auto" w:fill="auto"/>
            <w:noWrap/>
            <w:vAlign w:val="bottom"/>
          </w:tcPr>
          <w:p w14:paraId="4BFF8E1F" w14:textId="77777777" w:rsidR="00E533B5" w:rsidRPr="005A2E47" w:rsidRDefault="00E533B5" w:rsidP="00950BEF">
            <w:pPr>
              <w:spacing w:after="0" w:line="240" w:lineRule="auto"/>
              <w:jc w:val="center"/>
              <w:rPr>
                <w:rFonts w:ascii="Times New Roman" w:hAnsi="Times New Roman" w:cs="Times New Roman"/>
                <w:color w:val="000000"/>
                <w:sz w:val="20"/>
                <w:szCs w:val="20"/>
              </w:rPr>
            </w:pPr>
          </w:p>
        </w:tc>
        <w:tc>
          <w:tcPr>
            <w:tcW w:w="2840" w:type="dxa"/>
            <w:tcBorders>
              <w:top w:val="single" w:sz="4" w:space="0" w:color="auto"/>
              <w:left w:val="nil"/>
              <w:right w:val="nil"/>
            </w:tcBorders>
            <w:shd w:val="clear" w:color="auto" w:fill="auto"/>
            <w:noWrap/>
            <w:vAlign w:val="bottom"/>
          </w:tcPr>
          <w:p w14:paraId="25FC0AB0" w14:textId="77777777" w:rsidR="00E533B5" w:rsidRPr="005A2E47" w:rsidRDefault="00E533B5" w:rsidP="00950BEF">
            <w:pPr>
              <w:spacing w:after="0" w:line="240" w:lineRule="auto"/>
              <w:jc w:val="center"/>
              <w:rPr>
                <w:rFonts w:ascii="Times New Roman" w:hAnsi="Times New Roman" w:cs="Times New Roman"/>
                <w:color w:val="000000"/>
                <w:sz w:val="20"/>
                <w:szCs w:val="20"/>
              </w:rPr>
            </w:pPr>
          </w:p>
        </w:tc>
      </w:tr>
      <w:tr w:rsidR="0047530C" w:rsidRPr="005A2E47" w14:paraId="4F0EC43B" w14:textId="77777777" w:rsidTr="005A2E47">
        <w:trPr>
          <w:trHeight w:val="255"/>
        </w:trPr>
        <w:tc>
          <w:tcPr>
            <w:tcW w:w="2448" w:type="dxa"/>
            <w:tcBorders>
              <w:left w:val="nil"/>
              <w:bottom w:val="nil"/>
              <w:right w:val="nil"/>
            </w:tcBorders>
            <w:shd w:val="clear" w:color="auto" w:fill="auto"/>
            <w:noWrap/>
            <w:vAlign w:val="bottom"/>
            <w:hideMark/>
          </w:tcPr>
          <w:p w14:paraId="1B2ED923" w14:textId="20E1D502"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ACDV B80</w:t>
            </w:r>
          </w:p>
        </w:tc>
        <w:tc>
          <w:tcPr>
            <w:tcW w:w="2160" w:type="dxa"/>
            <w:tcBorders>
              <w:left w:val="nil"/>
              <w:bottom w:val="nil"/>
              <w:right w:val="nil"/>
            </w:tcBorders>
            <w:shd w:val="clear" w:color="auto" w:fill="auto"/>
            <w:noWrap/>
            <w:vAlign w:val="bottom"/>
            <w:hideMark/>
          </w:tcPr>
          <w:p w14:paraId="6F4CDA98" w14:textId="54B7CA0B"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left w:val="nil"/>
              <w:bottom w:val="nil"/>
              <w:right w:val="nil"/>
            </w:tcBorders>
            <w:shd w:val="clear" w:color="auto" w:fill="auto"/>
            <w:noWrap/>
            <w:vAlign w:val="bottom"/>
            <w:hideMark/>
          </w:tcPr>
          <w:p w14:paraId="726AF2F9" w14:textId="014A59F4"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B60</w:t>
            </w:r>
          </w:p>
        </w:tc>
        <w:tc>
          <w:tcPr>
            <w:tcW w:w="1428" w:type="dxa"/>
            <w:tcBorders>
              <w:left w:val="nil"/>
              <w:bottom w:val="nil"/>
              <w:right w:val="nil"/>
            </w:tcBorders>
            <w:shd w:val="clear" w:color="auto" w:fill="auto"/>
            <w:noWrap/>
            <w:vAlign w:val="bottom"/>
            <w:hideMark/>
          </w:tcPr>
          <w:p w14:paraId="0BF8411B" w14:textId="1E108219"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w:t>
            </w:r>
          </w:p>
        </w:tc>
        <w:tc>
          <w:tcPr>
            <w:tcW w:w="2840" w:type="dxa"/>
            <w:tcBorders>
              <w:left w:val="nil"/>
              <w:bottom w:val="nil"/>
              <w:right w:val="nil"/>
            </w:tcBorders>
            <w:shd w:val="clear" w:color="auto" w:fill="auto"/>
            <w:noWrap/>
            <w:vAlign w:val="bottom"/>
            <w:hideMark/>
          </w:tcPr>
          <w:p w14:paraId="4DE66C05" w14:textId="694974F6"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5.0</w:t>
            </w:r>
          </w:p>
        </w:tc>
        <w:tc>
          <w:tcPr>
            <w:tcW w:w="2840" w:type="dxa"/>
            <w:tcBorders>
              <w:left w:val="nil"/>
              <w:bottom w:val="nil"/>
              <w:right w:val="nil"/>
            </w:tcBorders>
            <w:shd w:val="clear" w:color="auto" w:fill="auto"/>
            <w:noWrap/>
            <w:vAlign w:val="bottom"/>
            <w:hideMark/>
          </w:tcPr>
          <w:p w14:paraId="1BCAD309" w14:textId="51DA2CAE"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4.0</w:t>
            </w:r>
          </w:p>
        </w:tc>
      </w:tr>
      <w:tr w:rsidR="0047530C" w:rsidRPr="005A2E47" w14:paraId="57957828" w14:textId="77777777" w:rsidTr="005A2E47">
        <w:trPr>
          <w:trHeight w:val="255"/>
        </w:trPr>
        <w:tc>
          <w:tcPr>
            <w:tcW w:w="2448" w:type="dxa"/>
            <w:tcBorders>
              <w:top w:val="nil"/>
              <w:left w:val="nil"/>
              <w:bottom w:val="nil"/>
              <w:right w:val="nil"/>
            </w:tcBorders>
            <w:shd w:val="clear" w:color="auto" w:fill="auto"/>
            <w:noWrap/>
            <w:vAlign w:val="bottom"/>
            <w:hideMark/>
          </w:tcPr>
          <w:p w14:paraId="048ADB9C" w14:textId="17F07EEC"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ACDV B80</w:t>
            </w:r>
          </w:p>
        </w:tc>
        <w:tc>
          <w:tcPr>
            <w:tcW w:w="2160" w:type="dxa"/>
            <w:tcBorders>
              <w:top w:val="nil"/>
              <w:left w:val="nil"/>
              <w:bottom w:val="nil"/>
              <w:right w:val="nil"/>
            </w:tcBorders>
            <w:shd w:val="clear" w:color="auto" w:fill="auto"/>
            <w:noWrap/>
            <w:vAlign w:val="bottom"/>
            <w:hideMark/>
          </w:tcPr>
          <w:p w14:paraId="5E17B0C8" w14:textId="7AE27D97"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4DE5E2F0" w14:textId="33EBA9BD"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1428" w:type="dxa"/>
            <w:tcBorders>
              <w:top w:val="nil"/>
              <w:left w:val="nil"/>
              <w:bottom w:val="nil"/>
              <w:right w:val="nil"/>
            </w:tcBorders>
            <w:shd w:val="clear" w:color="auto" w:fill="auto"/>
            <w:noWrap/>
            <w:vAlign w:val="bottom"/>
            <w:hideMark/>
          </w:tcPr>
          <w:p w14:paraId="073FFBD0" w14:textId="298A808A"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w:t>
            </w:r>
          </w:p>
        </w:tc>
        <w:tc>
          <w:tcPr>
            <w:tcW w:w="2840" w:type="dxa"/>
            <w:tcBorders>
              <w:top w:val="nil"/>
              <w:left w:val="nil"/>
              <w:bottom w:val="nil"/>
              <w:right w:val="nil"/>
            </w:tcBorders>
            <w:shd w:val="clear" w:color="auto" w:fill="auto"/>
            <w:noWrap/>
            <w:vAlign w:val="bottom"/>
            <w:hideMark/>
          </w:tcPr>
          <w:p w14:paraId="3CAC203F" w14:textId="6A742608"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4.3</w:t>
            </w:r>
          </w:p>
        </w:tc>
        <w:tc>
          <w:tcPr>
            <w:tcW w:w="2840" w:type="dxa"/>
            <w:tcBorders>
              <w:top w:val="nil"/>
              <w:left w:val="nil"/>
              <w:bottom w:val="nil"/>
              <w:right w:val="nil"/>
            </w:tcBorders>
            <w:shd w:val="clear" w:color="auto" w:fill="auto"/>
            <w:noWrap/>
            <w:vAlign w:val="bottom"/>
            <w:hideMark/>
          </w:tcPr>
          <w:p w14:paraId="325DE7E1" w14:textId="356B1620"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3.3</w:t>
            </w:r>
          </w:p>
        </w:tc>
      </w:tr>
      <w:tr w:rsidR="0047530C" w:rsidRPr="005A2E47" w14:paraId="5C0B16F4" w14:textId="77777777" w:rsidTr="005A2E47">
        <w:trPr>
          <w:trHeight w:val="255"/>
        </w:trPr>
        <w:tc>
          <w:tcPr>
            <w:tcW w:w="2448" w:type="dxa"/>
            <w:tcBorders>
              <w:top w:val="nil"/>
              <w:left w:val="nil"/>
              <w:bottom w:val="nil"/>
              <w:right w:val="nil"/>
            </w:tcBorders>
            <w:shd w:val="clear" w:color="auto" w:fill="auto"/>
            <w:noWrap/>
            <w:vAlign w:val="bottom"/>
            <w:hideMark/>
          </w:tcPr>
          <w:p w14:paraId="1C2F7312" w14:textId="6D63C1EB"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B60</w:t>
            </w:r>
          </w:p>
        </w:tc>
        <w:tc>
          <w:tcPr>
            <w:tcW w:w="2160" w:type="dxa"/>
            <w:tcBorders>
              <w:top w:val="nil"/>
              <w:left w:val="nil"/>
              <w:bottom w:val="nil"/>
              <w:right w:val="nil"/>
            </w:tcBorders>
            <w:shd w:val="clear" w:color="auto" w:fill="auto"/>
            <w:noWrap/>
            <w:vAlign w:val="bottom"/>
            <w:hideMark/>
          </w:tcPr>
          <w:p w14:paraId="635E3987" w14:textId="299534B0"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30D1CE87" w14:textId="62CF1F75"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1428" w:type="dxa"/>
            <w:tcBorders>
              <w:top w:val="nil"/>
              <w:left w:val="nil"/>
              <w:bottom w:val="nil"/>
              <w:right w:val="nil"/>
            </w:tcBorders>
            <w:shd w:val="clear" w:color="auto" w:fill="auto"/>
            <w:noWrap/>
            <w:vAlign w:val="bottom"/>
            <w:hideMark/>
          </w:tcPr>
          <w:p w14:paraId="7BECECC0" w14:textId="49506AB0"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59</w:t>
            </w:r>
          </w:p>
        </w:tc>
        <w:tc>
          <w:tcPr>
            <w:tcW w:w="2840" w:type="dxa"/>
            <w:tcBorders>
              <w:top w:val="nil"/>
              <w:left w:val="nil"/>
              <w:bottom w:val="nil"/>
              <w:right w:val="nil"/>
            </w:tcBorders>
            <w:shd w:val="clear" w:color="auto" w:fill="auto"/>
            <w:noWrap/>
            <w:vAlign w:val="bottom"/>
            <w:hideMark/>
          </w:tcPr>
          <w:p w14:paraId="4B438E8A" w14:textId="7AC20D9B"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4.2</w:t>
            </w:r>
          </w:p>
        </w:tc>
        <w:tc>
          <w:tcPr>
            <w:tcW w:w="2840" w:type="dxa"/>
            <w:tcBorders>
              <w:top w:val="nil"/>
              <w:left w:val="nil"/>
              <w:bottom w:val="nil"/>
              <w:right w:val="nil"/>
            </w:tcBorders>
            <w:shd w:val="clear" w:color="auto" w:fill="auto"/>
            <w:noWrap/>
            <w:vAlign w:val="bottom"/>
            <w:hideMark/>
          </w:tcPr>
          <w:p w14:paraId="79C029A8" w14:textId="2DB5DE8D"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3.6</w:t>
            </w:r>
          </w:p>
        </w:tc>
      </w:tr>
      <w:tr w:rsidR="0047530C" w:rsidRPr="005A2E47" w14:paraId="7A7E3ECA" w14:textId="77777777" w:rsidTr="005A2E47">
        <w:trPr>
          <w:trHeight w:val="255"/>
        </w:trPr>
        <w:tc>
          <w:tcPr>
            <w:tcW w:w="2448" w:type="dxa"/>
            <w:tcBorders>
              <w:top w:val="nil"/>
              <w:left w:val="nil"/>
              <w:bottom w:val="nil"/>
              <w:right w:val="nil"/>
            </w:tcBorders>
            <w:shd w:val="clear" w:color="auto" w:fill="auto"/>
            <w:noWrap/>
            <w:vAlign w:val="bottom"/>
            <w:hideMark/>
          </w:tcPr>
          <w:p w14:paraId="307C7179" w14:textId="19347B7E"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2160" w:type="dxa"/>
            <w:tcBorders>
              <w:top w:val="nil"/>
              <w:left w:val="nil"/>
              <w:bottom w:val="nil"/>
              <w:right w:val="nil"/>
            </w:tcBorders>
            <w:shd w:val="clear" w:color="auto" w:fill="auto"/>
            <w:noWrap/>
            <w:vAlign w:val="bottom"/>
            <w:hideMark/>
          </w:tcPr>
          <w:p w14:paraId="3119F8D6" w14:textId="780F4A9C"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4C6C0754" w14:textId="22706FE1"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B1A</w:t>
            </w:r>
          </w:p>
        </w:tc>
        <w:tc>
          <w:tcPr>
            <w:tcW w:w="1428" w:type="dxa"/>
            <w:tcBorders>
              <w:top w:val="nil"/>
              <w:left w:val="nil"/>
              <w:bottom w:val="nil"/>
              <w:right w:val="nil"/>
            </w:tcBorders>
            <w:shd w:val="clear" w:color="auto" w:fill="auto"/>
            <w:noWrap/>
            <w:vAlign w:val="bottom"/>
            <w:hideMark/>
          </w:tcPr>
          <w:p w14:paraId="6761F655" w14:textId="4FF7CAF2"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162</w:t>
            </w:r>
          </w:p>
        </w:tc>
        <w:tc>
          <w:tcPr>
            <w:tcW w:w="2840" w:type="dxa"/>
            <w:tcBorders>
              <w:top w:val="nil"/>
              <w:left w:val="nil"/>
              <w:bottom w:val="nil"/>
              <w:right w:val="nil"/>
            </w:tcBorders>
            <w:shd w:val="clear" w:color="auto" w:fill="auto"/>
            <w:noWrap/>
            <w:vAlign w:val="bottom"/>
            <w:hideMark/>
          </w:tcPr>
          <w:p w14:paraId="34340C65" w14:textId="480811C7"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2.7</w:t>
            </w:r>
          </w:p>
        </w:tc>
        <w:tc>
          <w:tcPr>
            <w:tcW w:w="2840" w:type="dxa"/>
            <w:tcBorders>
              <w:top w:val="nil"/>
              <w:left w:val="nil"/>
              <w:bottom w:val="nil"/>
              <w:right w:val="nil"/>
            </w:tcBorders>
            <w:shd w:val="clear" w:color="auto" w:fill="auto"/>
            <w:noWrap/>
            <w:vAlign w:val="bottom"/>
            <w:hideMark/>
          </w:tcPr>
          <w:p w14:paraId="4BCC5FA6" w14:textId="7F6BC106"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2.0</w:t>
            </w:r>
          </w:p>
        </w:tc>
      </w:tr>
      <w:tr w:rsidR="0047530C" w:rsidRPr="005A2E47" w14:paraId="4E0278C0" w14:textId="77777777" w:rsidTr="005A2E47">
        <w:trPr>
          <w:trHeight w:val="255"/>
        </w:trPr>
        <w:tc>
          <w:tcPr>
            <w:tcW w:w="2448" w:type="dxa"/>
            <w:tcBorders>
              <w:top w:val="nil"/>
              <w:left w:val="nil"/>
              <w:bottom w:val="nil"/>
              <w:right w:val="nil"/>
            </w:tcBorders>
            <w:shd w:val="clear" w:color="auto" w:fill="auto"/>
            <w:noWrap/>
            <w:vAlign w:val="bottom"/>
            <w:hideMark/>
          </w:tcPr>
          <w:p w14:paraId="583BC344" w14:textId="3DB78283"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2160" w:type="dxa"/>
            <w:tcBorders>
              <w:top w:val="nil"/>
              <w:left w:val="nil"/>
              <w:bottom w:val="nil"/>
              <w:right w:val="nil"/>
            </w:tcBorders>
            <w:shd w:val="clear" w:color="auto" w:fill="auto"/>
            <w:noWrap/>
            <w:vAlign w:val="bottom"/>
            <w:hideMark/>
          </w:tcPr>
          <w:p w14:paraId="07BEF986" w14:textId="36BF48AF"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447739C9" w14:textId="31BD2014"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B1A</w:t>
            </w:r>
          </w:p>
        </w:tc>
        <w:tc>
          <w:tcPr>
            <w:tcW w:w="1428" w:type="dxa"/>
            <w:tcBorders>
              <w:top w:val="nil"/>
              <w:left w:val="nil"/>
              <w:bottom w:val="nil"/>
              <w:right w:val="nil"/>
            </w:tcBorders>
            <w:shd w:val="clear" w:color="auto" w:fill="auto"/>
            <w:noWrap/>
            <w:vAlign w:val="bottom"/>
            <w:hideMark/>
          </w:tcPr>
          <w:p w14:paraId="2CF09F06" w14:textId="37E1CB0F"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464</w:t>
            </w:r>
          </w:p>
        </w:tc>
        <w:tc>
          <w:tcPr>
            <w:tcW w:w="2840" w:type="dxa"/>
            <w:tcBorders>
              <w:top w:val="nil"/>
              <w:left w:val="nil"/>
              <w:bottom w:val="nil"/>
              <w:right w:val="nil"/>
            </w:tcBorders>
            <w:shd w:val="clear" w:color="auto" w:fill="auto"/>
            <w:noWrap/>
            <w:vAlign w:val="bottom"/>
            <w:hideMark/>
          </w:tcPr>
          <w:p w14:paraId="26117C34" w14:textId="16B7201C"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2.9</w:t>
            </w:r>
          </w:p>
        </w:tc>
        <w:tc>
          <w:tcPr>
            <w:tcW w:w="2840" w:type="dxa"/>
            <w:tcBorders>
              <w:top w:val="nil"/>
              <w:left w:val="nil"/>
              <w:bottom w:val="nil"/>
              <w:right w:val="nil"/>
            </w:tcBorders>
            <w:shd w:val="clear" w:color="auto" w:fill="auto"/>
            <w:noWrap/>
            <w:vAlign w:val="bottom"/>
            <w:hideMark/>
          </w:tcPr>
          <w:p w14:paraId="07D69443" w14:textId="5E387A3D"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2.0</w:t>
            </w:r>
          </w:p>
        </w:tc>
      </w:tr>
      <w:tr w:rsidR="0047530C" w:rsidRPr="005A2E47" w14:paraId="6D4E76BA" w14:textId="77777777" w:rsidTr="005A2E47">
        <w:trPr>
          <w:trHeight w:val="255"/>
        </w:trPr>
        <w:tc>
          <w:tcPr>
            <w:tcW w:w="2448" w:type="dxa"/>
            <w:tcBorders>
              <w:top w:val="nil"/>
              <w:left w:val="nil"/>
              <w:bottom w:val="nil"/>
              <w:right w:val="nil"/>
            </w:tcBorders>
            <w:shd w:val="clear" w:color="auto" w:fill="auto"/>
            <w:noWrap/>
            <w:vAlign w:val="bottom"/>
            <w:hideMark/>
          </w:tcPr>
          <w:p w14:paraId="4FDF303F" w14:textId="54C2B989"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LRNC B510 (Engl B50)</w:t>
            </w:r>
          </w:p>
        </w:tc>
        <w:tc>
          <w:tcPr>
            <w:tcW w:w="2160" w:type="dxa"/>
            <w:tcBorders>
              <w:top w:val="nil"/>
              <w:left w:val="nil"/>
              <w:bottom w:val="nil"/>
              <w:right w:val="nil"/>
            </w:tcBorders>
            <w:shd w:val="clear" w:color="auto" w:fill="auto"/>
            <w:noWrap/>
            <w:vAlign w:val="bottom"/>
            <w:hideMark/>
          </w:tcPr>
          <w:p w14:paraId="404ABA34" w14:textId="439B13E4"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Successful</w:t>
            </w:r>
          </w:p>
        </w:tc>
        <w:tc>
          <w:tcPr>
            <w:tcW w:w="2448" w:type="dxa"/>
            <w:tcBorders>
              <w:top w:val="nil"/>
              <w:left w:val="nil"/>
              <w:bottom w:val="nil"/>
              <w:right w:val="nil"/>
            </w:tcBorders>
            <w:shd w:val="clear" w:color="auto" w:fill="auto"/>
            <w:noWrap/>
            <w:vAlign w:val="bottom"/>
            <w:hideMark/>
          </w:tcPr>
          <w:p w14:paraId="0DD62427" w14:textId="36A6F942"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LRNC B510 (Engl B1A)</w:t>
            </w:r>
          </w:p>
        </w:tc>
        <w:tc>
          <w:tcPr>
            <w:tcW w:w="1428" w:type="dxa"/>
            <w:tcBorders>
              <w:top w:val="nil"/>
              <w:left w:val="nil"/>
              <w:bottom w:val="nil"/>
              <w:right w:val="nil"/>
            </w:tcBorders>
            <w:shd w:val="clear" w:color="auto" w:fill="auto"/>
            <w:noWrap/>
            <w:vAlign w:val="bottom"/>
            <w:hideMark/>
          </w:tcPr>
          <w:p w14:paraId="6B3595AD" w14:textId="3520E42D"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108</w:t>
            </w:r>
          </w:p>
        </w:tc>
        <w:tc>
          <w:tcPr>
            <w:tcW w:w="2840" w:type="dxa"/>
            <w:tcBorders>
              <w:top w:val="nil"/>
              <w:left w:val="nil"/>
              <w:bottom w:val="nil"/>
              <w:right w:val="nil"/>
            </w:tcBorders>
            <w:shd w:val="clear" w:color="auto" w:fill="auto"/>
            <w:noWrap/>
            <w:vAlign w:val="bottom"/>
            <w:hideMark/>
          </w:tcPr>
          <w:p w14:paraId="01BBFFD1" w14:textId="690537B6"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0.8</w:t>
            </w:r>
          </w:p>
        </w:tc>
        <w:tc>
          <w:tcPr>
            <w:tcW w:w="2840" w:type="dxa"/>
            <w:tcBorders>
              <w:top w:val="nil"/>
              <w:left w:val="nil"/>
              <w:bottom w:val="nil"/>
              <w:right w:val="nil"/>
            </w:tcBorders>
            <w:shd w:val="clear" w:color="auto" w:fill="auto"/>
            <w:noWrap/>
            <w:vAlign w:val="bottom"/>
            <w:hideMark/>
          </w:tcPr>
          <w:p w14:paraId="2451B30B" w14:textId="4930EB37"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0.1</w:t>
            </w:r>
          </w:p>
        </w:tc>
      </w:tr>
      <w:tr w:rsidR="0047530C" w:rsidRPr="005A2E47" w14:paraId="41AFACE0" w14:textId="77777777" w:rsidTr="005A2E47">
        <w:trPr>
          <w:trHeight w:val="255"/>
        </w:trPr>
        <w:tc>
          <w:tcPr>
            <w:tcW w:w="2448" w:type="dxa"/>
            <w:tcBorders>
              <w:top w:val="nil"/>
              <w:left w:val="nil"/>
              <w:bottom w:val="nil"/>
              <w:right w:val="nil"/>
            </w:tcBorders>
            <w:shd w:val="clear" w:color="auto" w:fill="auto"/>
            <w:noWrap/>
            <w:vAlign w:val="bottom"/>
          </w:tcPr>
          <w:p w14:paraId="762DA438" w14:textId="77777777"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bottom"/>
          </w:tcPr>
          <w:p w14:paraId="5001F2DA" w14:textId="77777777"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p>
        </w:tc>
        <w:tc>
          <w:tcPr>
            <w:tcW w:w="2448" w:type="dxa"/>
            <w:tcBorders>
              <w:top w:val="nil"/>
              <w:left w:val="nil"/>
              <w:bottom w:val="nil"/>
              <w:right w:val="nil"/>
            </w:tcBorders>
            <w:shd w:val="clear" w:color="auto" w:fill="auto"/>
            <w:noWrap/>
            <w:vAlign w:val="bottom"/>
          </w:tcPr>
          <w:p w14:paraId="75CE6E6F" w14:textId="77777777"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p>
        </w:tc>
        <w:tc>
          <w:tcPr>
            <w:tcW w:w="1428" w:type="dxa"/>
            <w:tcBorders>
              <w:top w:val="nil"/>
              <w:left w:val="nil"/>
              <w:bottom w:val="nil"/>
              <w:right w:val="nil"/>
            </w:tcBorders>
            <w:shd w:val="clear" w:color="auto" w:fill="auto"/>
            <w:noWrap/>
            <w:vAlign w:val="bottom"/>
          </w:tcPr>
          <w:p w14:paraId="0B6F7EFB" w14:textId="77777777" w:rsidR="0047530C" w:rsidRPr="005A2E47" w:rsidRDefault="0047530C" w:rsidP="0047530C">
            <w:pPr>
              <w:tabs>
                <w:tab w:val="decimal" w:pos="693"/>
              </w:tabs>
              <w:spacing w:after="0" w:line="240" w:lineRule="auto"/>
              <w:rPr>
                <w:rFonts w:ascii="Times New Roman" w:hAnsi="Times New Roman" w:cs="Times New Roman"/>
                <w:color w:val="000000"/>
                <w:sz w:val="20"/>
                <w:szCs w:val="20"/>
              </w:rPr>
            </w:pPr>
          </w:p>
        </w:tc>
        <w:tc>
          <w:tcPr>
            <w:tcW w:w="2840" w:type="dxa"/>
            <w:tcBorders>
              <w:top w:val="nil"/>
              <w:left w:val="nil"/>
              <w:bottom w:val="nil"/>
              <w:right w:val="nil"/>
            </w:tcBorders>
            <w:shd w:val="clear" w:color="auto" w:fill="auto"/>
            <w:noWrap/>
            <w:vAlign w:val="bottom"/>
          </w:tcPr>
          <w:p w14:paraId="4F6710F7" w14:textId="77777777" w:rsidR="0047530C" w:rsidRPr="005A2E47" w:rsidRDefault="0047530C" w:rsidP="0047530C">
            <w:pPr>
              <w:spacing w:after="0" w:line="240" w:lineRule="auto"/>
              <w:jc w:val="center"/>
              <w:rPr>
                <w:rFonts w:ascii="Times New Roman" w:hAnsi="Times New Roman" w:cs="Times New Roman"/>
                <w:color w:val="000000"/>
                <w:sz w:val="20"/>
                <w:szCs w:val="20"/>
              </w:rPr>
            </w:pPr>
          </w:p>
        </w:tc>
        <w:tc>
          <w:tcPr>
            <w:tcW w:w="2840" w:type="dxa"/>
            <w:tcBorders>
              <w:top w:val="nil"/>
              <w:left w:val="nil"/>
              <w:bottom w:val="nil"/>
              <w:right w:val="nil"/>
            </w:tcBorders>
            <w:shd w:val="clear" w:color="auto" w:fill="auto"/>
            <w:noWrap/>
            <w:vAlign w:val="bottom"/>
          </w:tcPr>
          <w:p w14:paraId="4002ACE5" w14:textId="77777777" w:rsidR="0047530C" w:rsidRPr="005A2E47" w:rsidRDefault="0047530C" w:rsidP="0047530C">
            <w:pPr>
              <w:spacing w:after="0" w:line="240" w:lineRule="auto"/>
              <w:jc w:val="center"/>
              <w:rPr>
                <w:rFonts w:ascii="Times New Roman" w:hAnsi="Times New Roman" w:cs="Times New Roman"/>
                <w:color w:val="000000"/>
                <w:sz w:val="20"/>
                <w:szCs w:val="20"/>
              </w:rPr>
            </w:pPr>
          </w:p>
        </w:tc>
      </w:tr>
      <w:tr w:rsidR="0047530C" w:rsidRPr="005A2E47" w14:paraId="3A9AAE5C" w14:textId="77777777" w:rsidTr="005A2E47">
        <w:trPr>
          <w:trHeight w:val="255"/>
        </w:trPr>
        <w:tc>
          <w:tcPr>
            <w:tcW w:w="2448" w:type="dxa"/>
            <w:tcBorders>
              <w:top w:val="nil"/>
              <w:left w:val="nil"/>
              <w:bottom w:val="nil"/>
              <w:right w:val="nil"/>
            </w:tcBorders>
            <w:shd w:val="clear" w:color="auto" w:fill="auto"/>
            <w:noWrap/>
            <w:vAlign w:val="bottom"/>
            <w:hideMark/>
          </w:tcPr>
          <w:p w14:paraId="75C9436C" w14:textId="452F72D8"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B60</w:t>
            </w:r>
          </w:p>
        </w:tc>
        <w:tc>
          <w:tcPr>
            <w:tcW w:w="2160" w:type="dxa"/>
            <w:tcBorders>
              <w:top w:val="nil"/>
              <w:left w:val="nil"/>
              <w:bottom w:val="nil"/>
              <w:right w:val="nil"/>
            </w:tcBorders>
            <w:shd w:val="clear" w:color="auto" w:fill="auto"/>
            <w:noWrap/>
            <w:vAlign w:val="bottom"/>
            <w:hideMark/>
          </w:tcPr>
          <w:p w14:paraId="452C767A" w14:textId="17D3474A"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55CA040E" w14:textId="24703771"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B60</w:t>
            </w:r>
          </w:p>
        </w:tc>
        <w:tc>
          <w:tcPr>
            <w:tcW w:w="1428" w:type="dxa"/>
            <w:tcBorders>
              <w:top w:val="nil"/>
              <w:left w:val="nil"/>
              <w:bottom w:val="nil"/>
              <w:right w:val="nil"/>
            </w:tcBorders>
            <w:shd w:val="clear" w:color="auto" w:fill="auto"/>
            <w:noWrap/>
            <w:vAlign w:val="bottom"/>
            <w:hideMark/>
          </w:tcPr>
          <w:p w14:paraId="420A6FD7" w14:textId="2B9499D3"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7</w:t>
            </w:r>
          </w:p>
        </w:tc>
        <w:tc>
          <w:tcPr>
            <w:tcW w:w="2840" w:type="dxa"/>
            <w:tcBorders>
              <w:top w:val="nil"/>
              <w:left w:val="nil"/>
              <w:bottom w:val="nil"/>
              <w:right w:val="nil"/>
            </w:tcBorders>
            <w:shd w:val="clear" w:color="auto" w:fill="auto"/>
            <w:noWrap/>
            <w:vAlign w:val="bottom"/>
            <w:hideMark/>
          </w:tcPr>
          <w:p w14:paraId="25717462" w14:textId="0578217F"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6.1</w:t>
            </w:r>
          </w:p>
        </w:tc>
        <w:tc>
          <w:tcPr>
            <w:tcW w:w="2840" w:type="dxa"/>
            <w:tcBorders>
              <w:top w:val="nil"/>
              <w:left w:val="nil"/>
              <w:bottom w:val="nil"/>
              <w:right w:val="nil"/>
            </w:tcBorders>
            <w:shd w:val="clear" w:color="auto" w:fill="auto"/>
            <w:noWrap/>
            <w:vAlign w:val="bottom"/>
            <w:hideMark/>
          </w:tcPr>
          <w:p w14:paraId="0C8A8EF3" w14:textId="43F169AB"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6.1</w:t>
            </w:r>
          </w:p>
        </w:tc>
      </w:tr>
      <w:tr w:rsidR="0047530C" w:rsidRPr="005A2E47" w14:paraId="1330D8C7" w14:textId="77777777" w:rsidTr="005A2E47">
        <w:trPr>
          <w:trHeight w:val="255"/>
        </w:trPr>
        <w:tc>
          <w:tcPr>
            <w:tcW w:w="2448" w:type="dxa"/>
            <w:tcBorders>
              <w:top w:val="nil"/>
              <w:left w:val="nil"/>
              <w:bottom w:val="nil"/>
              <w:right w:val="nil"/>
            </w:tcBorders>
            <w:shd w:val="clear" w:color="auto" w:fill="auto"/>
            <w:noWrap/>
            <w:vAlign w:val="bottom"/>
            <w:hideMark/>
          </w:tcPr>
          <w:p w14:paraId="5B1FCE18" w14:textId="59594DB2"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B60</w:t>
            </w:r>
          </w:p>
        </w:tc>
        <w:tc>
          <w:tcPr>
            <w:tcW w:w="2160" w:type="dxa"/>
            <w:tcBorders>
              <w:top w:val="nil"/>
              <w:left w:val="nil"/>
              <w:bottom w:val="nil"/>
              <w:right w:val="nil"/>
            </w:tcBorders>
            <w:shd w:val="clear" w:color="auto" w:fill="auto"/>
            <w:noWrap/>
            <w:vAlign w:val="bottom"/>
            <w:hideMark/>
          </w:tcPr>
          <w:p w14:paraId="6E326447" w14:textId="60394172"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1E3DF7C6" w14:textId="37616B49"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1428" w:type="dxa"/>
            <w:tcBorders>
              <w:top w:val="nil"/>
              <w:left w:val="nil"/>
              <w:bottom w:val="nil"/>
              <w:right w:val="nil"/>
            </w:tcBorders>
            <w:shd w:val="clear" w:color="auto" w:fill="auto"/>
            <w:noWrap/>
            <w:vAlign w:val="bottom"/>
            <w:hideMark/>
          </w:tcPr>
          <w:p w14:paraId="4A5723B2" w14:textId="24573360"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6</w:t>
            </w:r>
          </w:p>
        </w:tc>
        <w:tc>
          <w:tcPr>
            <w:tcW w:w="2840" w:type="dxa"/>
            <w:tcBorders>
              <w:top w:val="nil"/>
              <w:left w:val="nil"/>
              <w:bottom w:val="nil"/>
              <w:right w:val="nil"/>
            </w:tcBorders>
            <w:shd w:val="clear" w:color="auto" w:fill="auto"/>
            <w:noWrap/>
            <w:vAlign w:val="bottom"/>
            <w:hideMark/>
          </w:tcPr>
          <w:p w14:paraId="0C01496C" w14:textId="1699E768"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4.7</w:t>
            </w:r>
          </w:p>
        </w:tc>
        <w:tc>
          <w:tcPr>
            <w:tcW w:w="2840" w:type="dxa"/>
            <w:tcBorders>
              <w:top w:val="nil"/>
              <w:left w:val="nil"/>
              <w:bottom w:val="nil"/>
              <w:right w:val="nil"/>
            </w:tcBorders>
            <w:shd w:val="clear" w:color="auto" w:fill="auto"/>
            <w:noWrap/>
            <w:vAlign w:val="bottom"/>
            <w:hideMark/>
          </w:tcPr>
          <w:p w14:paraId="286A5AF9" w14:textId="5FF9099C"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4.3</w:t>
            </w:r>
          </w:p>
        </w:tc>
      </w:tr>
      <w:tr w:rsidR="0047530C" w:rsidRPr="005A2E47" w14:paraId="1A54DF75" w14:textId="77777777" w:rsidTr="005A2E47">
        <w:trPr>
          <w:trHeight w:val="255"/>
        </w:trPr>
        <w:tc>
          <w:tcPr>
            <w:tcW w:w="2448" w:type="dxa"/>
            <w:tcBorders>
              <w:top w:val="nil"/>
              <w:left w:val="nil"/>
              <w:bottom w:val="nil"/>
              <w:right w:val="nil"/>
            </w:tcBorders>
            <w:shd w:val="clear" w:color="auto" w:fill="auto"/>
            <w:noWrap/>
            <w:vAlign w:val="bottom"/>
            <w:hideMark/>
          </w:tcPr>
          <w:p w14:paraId="0B033FBA" w14:textId="3725C0DF"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2160" w:type="dxa"/>
            <w:tcBorders>
              <w:top w:val="nil"/>
              <w:left w:val="nil"/>
              <w:bottom w:val="nil"/>
              <w:right w:val="nil"/>
            </w:tcBorders>
            <w:shd w:val="clear" w:color="auto" w:fill="auto"/>
            <w:noWrap/>
            <w:vAlign w:val="bottom"/>
            <w:hideMark/>
          </w:tcPr>
          <w:p w14:paraId="16B07B72" w14:textId="425B892E"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0B7C72B9" w14:textId="4593BDBD"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1428" w:type="dxa"/>
            <w:tcBorders>
              <w:top w:val="nil"/>
              <w:left w:val="nil"/>
              <w:bottom w:val="nil"/>
              <w:right w:val="nil"/>
            </w:tcBorders>
            <w:shd w:val="clear" w:color="auto" w:fill="auto"/>
            <w:noWrap/>
            <w:vAlign w:val="bottom"/>
            <w:hideMark/>
          </w:tcPr>
          <w:p w14:paraId="4049E06C" w14:textId="713081E5"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19</w:t>
            </w:r>
          </w:p>
        </w:tc>
        <w:tc>
          <w:tcPr>
            <w:tcW w:w="2840" w:type="dxa"/>
            <w:tcBorders>
              <w:top w:val="nil"/>
              <w:left w:val="nil"/>
              <w:bottom w:val="nil"/>
              <w:right w:val="nil"/>
            </w:tcBorders>
            <w:shd w:val="clear" w:color="auto" w:fill="auto"/>
            <w:noWrap/>
            <w:vAlign w:val="bottom"/>
            <w:hideMark/>
          </w:tcPr>
          <w:p w14:paraId="6D33786E" w14:textId="48E9AA08"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5.1</w:t>
            </w:r>
          </w:p>
        </w:tc>
        <w:tc>
          <w:tcPr>
            <w:tcW w:w="2840" w:type="dxa"/>
            <w:tcBorders>
              <w:top w:val="nil"/>
              <w:left w:val="nil"/>
              <w:bottom w:val="nil"/>
              <w:right w:val="nil"/>
            </w:tcBorders>
            <w:shd w:val="clear" w:color="auto" w:fill="auto"/>
            <w:noWrap/>
            <w:vAlign w:val="bottom"/>
            <w:hideMark/>
          </w:tcPr>
          <w:p w14:paraId="6AA0150F" w14:textId="1E743682"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4.5</w:t>
            </w:r>
          </w:p>
        </w:tc>
      </w:tr>
      <w:tr w:rsidR="0047530C" w:rsidRPr="005A2E47" w14:paraId="04089F1A" w14:textId="77777777" w:rsidTr="005A2E47">
        <w:trPr>
          <w:trHeight w:val="255"/>
        </w:trPr>
        <w:tc>
          <w:tcPr>
            <w:tcW w:w="2448" w:type="dxa"/>
            <w:tcBorders>
              <w:top w:val="nil"/>
              <w:left w:val="nil"/>
              <w:bottom w:val="nil"/>
              <w:right w:val="nil"/>
            </w:tcBorders>
            <w:shd w:val="clear" w:color="auto" w:fill="auto"/>
            <w:noWrap/>
            <w:vAlign w:val="bottom"/>
            <w:hideMark/>
          </w:tcPr>
          <w:p w14:paraId="450D3A69" w14:textId="4B84686A"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2160" w:type="dxa"/>
            <w:tcBorders>
              <w:top w:val="nil"/>
              <w:left w:val="nil"/>
              <w:bottom w:val="nil"/>
              <w:right w:val="nil"/>
            </w:tcBorders>
            <w:shd w:val="clear" w:color="auto" w:fill="auto"/>
            <w:noWrap/>
            <w:vAlign w:val="bottom"/>
            <w:hideMark/>
          </w:tcPr>
          <w:p w14:paraId="27869CBF" w14:textId="5C35DBBE"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7238139D" w14:textId="2DC6F9BF"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B53</w:t>
            </w:r>
          </w:p>
        </w:tc>
        <w:tc>
          <w:tcPr>
            <w:tcW w:w="1428" w:type="dxa"/>
            <w:tcBorders>
              <w:top w:val="nil"/>
              <w:left w:val="nil"/>
              <w:bottom w:val="nil"/>
              <w:right w:val="nil"/>
            </w:tcBorders>
            <w:shd w:val="clear" w:color="auto" w:fill="auto"/>
            <w:noWrap/>
            <w:vAlign w:val="bottom"/>
            <w:hideMark/>
          </w:tcPr>
          <w:p w14:paraId="6C557222" w14:textId="6F8AA017"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7</w:t>
            </w:r>
          </w:p>
        </w:tc>
        <w:tc>
          <w:tcPr>
            <w:tcW w:w="2840" w:type="dxa"/>
            <w:tcBorders>
              <w:top w:val="nil"/>
              <w:left w:val="nil"/>
              <w:bottom w:val="nil"/>
              <w:right w:val="nil"/>
            </w:tcBorders>
            <w:shd w:val="clear" w:color="auto" w:fill="auto"/>
            <w:noWrap/>
            <w:vAlign w:val="bottom"/>
            <w:hideMark/>
          </w:tcPr>
          <w:p w14:paraId="2508652F" w14:textId="3D279749"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4.4</w:t>
            </w:r>
          </w:p>
        </w:tc>
        <w:tc>
          <w:tcPr>
            <w:tcW w:w="2840" w:type="dxa"/>
            <w:tcBorders>
              <w:top w:val="nil"/>
              <w:left w:val="nil"/>
              <w:bottom w:val="nil"/>
              <w:right w:val="nil"/>
            </w:tcBorders>
            <w:shd w:val="clear" w:color="auto" w:fill="auto"/>
            <w:noWrap/>
            <w:vAlign w:val="bottom"/>
            <w:hideMark/>
          </w:tcPr>
          <w:p w14:paraId="4E1E8607" w14:textId="619F13DA"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3.9</w:t>
            </w:r>
          </w:p>
        </w:tc>
      </w:tr>
      <w:tr w:rsidR="0047530C" w:rsidRPr="005A2E47" w14:paraId="25303DD1" w14:textId="77777777" w:rsidTr="005A2E47">
        <w:trPr>
          <w:trHeight w:val="255"/>
        </w:trPr>
        <w:tc>
          <w:tcPr>
            <w:tcW w:w="2448" w:type="dxa"/>
            <w:tcBorders>
              <w:top w:val="nil"/>
              <w:left w:val="nil"/>
              <w:bottom w:val="nil"/>
              <w:right w:val="nil"/>
            </w:tcBorders>
            <w:shd w:val="clear" w:color="auto" w:fill="auto"/>
            <w:noWrap/>
            <w:vAlign w:val="bottom"/>
            <w:hideMark/>
          </w:tcPr>
          <w:p w14:paraId="59CC52C7" w14:textId="3C005D36"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2160" w:type="dxa"/>
            <w:tcBorders>
              <w:top w:val="nil"/>
              <w:left w:val="nil"/>
              <w:bottom w:val="nil"/>
              <w:right w:val="nil"/>
            </w:tcBorders>
            <w:shd w:val="clear" w:color="auto" w:fill="auto"/>
            <w:noWrap/>
            <w:vAlign w:val="bottom"/>
            <w:hideMark/>
          </w:tcPr>
          <w:p w14:paraId="0E908E30" w14:textId="530FD98D"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bottom w:val="nil"/>
              <w:right w:val="nil"/>
            </w:tcBorders>
            <w:shd w:val="clear" w:color="auto" w:fill="auto"/>
            <w:noWrap/>
            <w:vAlign w:val="bottom"/>
            <w:hideMark/>
          </w:tcPr>
          <w:p w14:paraId="5AAB7E82" w14:textId="565224D3"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1428" w:type="dxa"/>
            <w:tcBorders>
              <w:top w:val="nil"/>
              <w:left w:val="nil"/>
              <w:bottom w:val="nil"/>
              <w:right w:val="nil"/>
            </w:tcBorders>
            <w:shd w:val="clear" w:color="auto" w:fill="auto"/>
            <w:noWrap/>
            <w:vAlign w:val="bottom"/>
            <w:hideMark/>
          </w:tcPr>
          <w:p w14:paraId="00212E7A" w14:textId="2A9265A2"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70</w:t>
            </w:r>
          </w:p>
        </w:tc>
        <w:tc>
          <w:tcPr>
            <w:tcW w:w="2840" w:type="dxa"/>
            <w:tcBorders>
              <w:top w:val="nil"/>
              <w:left w:val="nil"/>
              <w:bottom w:val="nil"/>
              <w:right w:val="nil"/>
            </w:tcBorders>
            <w:shd w:val="clear" w:color="auto" w:fill="auto"/>
            <w:noWrap/>
            <w:vAlign w:val="bottom"/>
            <w:hideMark/>
          </w:tcPr>
          <w:p w14:paraId="1400AB5B" w14:textId="02C08A3C"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5.2</w:t>
            </w:r>
          </w:p>
        </w:tc>
        <w:tc>
          <w:tcPr>
            <w:tcW w:w="2840" w:type="dxa"/>
            <w:tcBorders>
              <w:top w:val="nil"/>
              <w:left w:val="nil"/>
              <w:bottom w:val="nil"/>
              <w:right w:val="nil"/>
            </w:tcBorders>
            <w:shd w:val="clear" w:color="auto" w:fill="auto"/>
            <w:noWrap/>
            <w:vAlign w:val="bottom"/>
            <w:hideMark/>
          </w:tcPr>
          <w:p w14:paraId="78BA7BE7" w14:textId="701BECCA"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4.5</w:t>
            </w:r>
          </w:p>
        </w:tc>
      </w:tr>
      <w:tr w:rsidR="0047530C" w:rsidRPr="005A2E47" w14:paraId="7BD6C403" w14:textId="77777777" w:rsidTr="005A2E47">
        <w:trPr>
          <w:trHeight w:val="255"/>
        </w:trPr>
        <w:tc>
          <w:tcPr>
            <w:tcW w:w="2448" w:type="dxa"/>
            <w:tcBorders>
              <w:top w:val="nil"/>
              <w:left w:val="nil"/>
              <w:right w:val="nil"/>
            </w:tcBorders>
            <w:shd w:val="clear" w:color="auto" w:fill="auto"/>
            <w:noWrap/>
            <w:vAlign w:val="bottom"/>
            <w:hideMark/>
          </w:tcPr>
          <w:p w14:paraId="65EA0005" w14:textId="5C4EC241"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LRNC B510 (Engl B50)</w:t>
            </w:r>
          </w:p>
        </w:tc>
        <w:tc>
          <w:tcPr>
            <w:tcW w:w="2160" w:type="dxa"/>
            <w:tcBorders>
              <w:top w:val="nil"/>
              <w:left w:val="nil"/>
              <w:right w:val="nil"/>
            </w:tcBorders>
            <w:shd w:val="clear" w:color="auto" w:fill="auto"/>
            <w:noWrap/>
            <w:vAlign w:val="bottom"/>
            <w:hideMark/>
          </w:tcPr>
          <w:p w14:paraId="5D0F9A07" w14:textId="29FB5EBF"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Unsuccessful</w:t>
            </w:r>
          </w:p>
        </w:tc>
        <w:tc>
          <w:tcPr>
            <w:tcW w:w="2448" w:type="dxa"/>
            <w:tcBorders>
              <w:top w:val="nil"/>
              <w:left w:val="nil"/>
              <w:right w:val="nil"/>
            </w:tcBorders>
            <w:shd w:val="clear" w:color="auto" w:fill="auto"/>
            <w:noWrap/>
            <w:vAlign w:val="bottom"/>
            <w:hideMark/>
          </w:tcPr>
          <w:p w14:paraId="3A94F30F" w14:textId="49AC361C"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Engl B50</w:t>
            </w:r>
          </w:p>
        </w:tc>
        <w:tc>
          <w:tcPr>
            <w:tcW w:w="1428" w:type="dxa"/>
            <w:tcBorders>
              <w:top w:val="nil"/>
              <w:left w:val="nil"/>
              <w:right w:val="nil"/>
            </w:tcBorders>
            <w:shd w:val="clear" w:color="auto" w:fill="auto"/>
            <w:noWrap/>
            <w:vAlign w:val="bottom"/>
            <w:hideMark/>
          </w:tcPr>
          <w:p w14:paraId="7F3D4B3B" w14:textId="534B8E7C" w:rsidR="0047530C" w:rsidRPr="005A2E47" w:rsidRDefault="0047530C" w:rsidP="0047530C">
            <w:pPr>
              <w:tabs>
                <w:tab w:val="decimal" w:pos="69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8</w:t>
            </w:r>
          </w:p>
        </w:tc>
        <w:tc>
          <w:tcPr>
            <w:tcW w:w="2840" w:type="dxa"/>
            <w:tcBorders>
              <w:top w:val="nil"/>
              <w:left w:val="nil"/>
              <w:right w:val="nil"/>
            </w:tcBorders>
            <w:shd w:val="clear" w:color="auto" w:fill="auto"/>
            <w:noWrap/>
            <w:vAlign w:val="bottom"/>
            <w:hideMark/>
          </w:tcPr>
          <w:p w14:paraId="6D7C0CE5" w14:textId="1C6A12DE"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5.9</w:t>
            </w:r>
          </w:p>
        </w:tc>
        <w:tc>
          <w:tcPr>
            <w:tcW w:w="2840" w:type="dxa"/>
            <w:tcBorders>
              <w:top w:val="nil"/>
              <w:left w:val="nil"/>
              <w:right w:val="nil"/>
            </w:tcBorders>
            <w:shd w:val="clear" w:color="auto" w:fill="auto"/>
            <w:noWrap/>
            <w:vAlign w:val="bottom"/>
            <w:hideMark/>
          </w:tcPr>
          <w:p w14:paraId="4B078DC6" w14:textId="5A6BD431" w:rsidR="0047530C" w:rsidRPr="005A2E47" w:rsidRDefault="0047530C" w:rsidP="0047530C">
            <w:pPr>
              <w:spacing w:after="0" w:line="240" w:lineRule="auto"/>
              <w:jc w:val="center"/>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5.3</w:t>
            </w:r>
          </w:p>
        </w:tc>
      </w:tr>
      <w:tr w:rsidR="00E533B5" w:rsidRPr="005A2E47" w14:paraId="3645002F" w14:textId="77777777" w:rsidTr="005A2E47">
        <w:trPr>
          <w:trHeight w:val="255"/>
        </w:trPr>
        <w:tc>
          <w:tcPr>
            <w:tcW w:w="2448" w:type="dxa"/>
            <w:tcBorders>
              <w:top w:val="nil"/>
              <w:left w:val="nil"/>
              <w:bottom w:val="single" w:sz="4" w:space="0" w:color="auto"/>
              <w:right w:val="nil"/>
            </w:tcBorders>
            <w:shd w:val="clear" w:color="auto" w:fill="auto"/>
            <w:noWrap/>
            <w:vAlign w:val="bottom"/>
          </w:tcPr>
          <w:p w14:paraId="17402F4D" w14:textId="77777777" w:rsidR="00E533B5" w:rsidRPr="005A2E47" w:rsidRDefault="00E533B5" w:rsidP="00810330">
            <w:pPr>
              <w:spacing w:after="0" w:line="240" w:lineRule="auto"/>
              <w:jc w:val="center"/>
              <w:rPr>
                <w:rFonts w:ascii="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14635B17" w14:textId="77777777" w:rsidR="00E533B5" w:rsidRPr="005A2E47" w:rsidRDefault="00E533B5" w:rsidP="00810330">
            <w:pPr>
              <w:spacing w:after="0" w:line="240" w:lineRule="auto"/>
              <w:jc w:val="center"/>
              <w:rPr>
                <w:rFonts w:ascii="Times New Roman" w:hAnsi="Times New Roman" w:cs="Times New Roman"/>
                <w:color w:val="000000"/>
                <w:sz w:val="20"/>
                <w:szCs w:val="20"/>
              </w:rPr>
            </w:pPr>
          </w:p>
        </w:tc>
        <w:tc>
          <w:tcPr>
            <w:tcW w:w="2448" w:type="dxa"/>
            <w:tcBorders>
              <w:top w:val="nil"/>
              <w:left w:val="nil"/>
              <w:bottom w:val="single" w:sz="4" w:space="0" w:color="auto"/>
              <w:right w:val="nil"/>
            </w:tcBorders>
            <w:shd w:val="clear" w:color="auto" w:fill="auto"/>
            <w:noWrap/>
            <w:vAlign w:val="bottom"/>
          </w:tcPr>
          <w:p w14:paraId="42AA4B16" w14:textId="77777777" w:rsidR="00E533B5" w:rsidRPr="005A2E47" w:rsidRDefault="00E533B5" w:rsidP="00810330">
            <w:pPr>
              <w:spacing w:after="0" w:line="240" w:lineRule="auto"/>
              <w:jc w:val="center"/>
              <w:rPr>
                <w:rFonts w:ascii="Times New Roman" w:hAnsi="Times New Roman" w:cs="Times New Roman"/>
                <w:color w:val="000000"/>
                <w:sz w:val="20"/>
                <w:szCs w:val="20"/>
              </w:rPr>
            </w:pPr>
          </w:p>
        </w:tc>
        <w:tc>
          <w:tcPr>
            <w:tcW w:w="1428" w:type="dxa"/>
            <w:tcBorders>
              <w:top w:val="nil"/>
              <w:left w:val="nil"/>
              <w:bottom w:val="single" w:sz="4" w:space="0" w:color="auto"/>
              <w:right w:val="nil"/>
            </w:tcBorders>
            <w:shd w:val="clear" w:color="auto" w:fill="auto"/>
            <w:noWrap/>
            <w:vAlign w:val="bottom"/>
          </w:tcPr>
          <w:p w14:paraId="1A0F5AA5" w14:textId="77777777" w:rsidR="00E533B5" w:rsidRPr="005A2E47" w:rsidRDefault="00E533B5" w:rsidP="00E7213D">
            <w:pPr>
              <w:tabs>
                <w:tab w:val="decimal" w:pos="693"/>
              </w:tabs>
              <w:spacing w:after="0" w:line="240" w:lineRule="auto"/>
              <w:rPr>
                <w:rFonts w:ascii="Times New Roman" w:hAnsi="Times New Roman" w:cs="Times New Roman"/>
                <w:color w:val="000000"/>
                <w:sz w:val="20"/>
                <w:szCs w:val="20"/>
              </w:rPr>
            </w:pPr>
          </w:p>
        </w:tc>
        <w:tc>
          <w:tcPr>
            <w:tcW w:w="2840" w:type="dxa"/>
            <w:tcBorders>
              <w:top w:val="nil"/>
              <w:left w:val="nil"/>
              <w:bottom w:val="single" w:sz="4" w:space="0" w:color="auto"/>
              <w:right w:val="nil"/>
            </w:tcBorders>
            <w:shd w:val="clear" w:color="auto" w:fill="auto"/>
            <w:noWrap/>
            <w:vAlign w:val="bottom"/>
          </w:tcPr>
          <w:p w14:paraId="5A1522A3" w14:textId="77777777" w:rsidR="00E533B5" w:rsidRPr="005A2E47" w:rsidRDefault="00E533B5" w:rsidP="00950BEF">
            <w:pPr>
              <w:spacing w:after="0" w:line="240" w:lineRule="auto"/>
              <w:jc w:val="center"/>
              <w:rPr>
                <w:rFonts w:ascii="Times New Roman" w:hAnsi="Times New Roman" w:cs="Times New Roman"/>
                <w:color w:val="000000"/>
                <w:sz w:val="20"/>
                <w:szCs w:val="20"/>
              </w:rPr>
            </w:pPr>
          </w:p>
        </w:tc>
        <w:tc>
          <w:tcPr>
            <w:tcW w:w="2840" w:type="dxa"/>
            <w:tcBorders>
              <w:top w:val="nil"/>
              <w:left w:val="nil"/>
              <w:bottom w:val="single" w:sz="4" w:space="0" w:color="auto"/>
              <w:right w:val="nil"/>
            </w:tcBorders>
            <w:shd w:val="clear" w:color="auto" w:fill="auto"/>
            <w:noWrap/>
            <w:vAlign w:val="bottom"/>
          </w:tcPr>
          <w:p w14:paraId="77DEB7FB" w14:textId="77777777" w:rsidR="00E533B5" w:rsidRPr="005A2E47" w:rsidRDefault="00E533B5" w:rsidP="00950BEF">
            <w:pPr>
              <w:spacing w:after="0" w:line="240" w:lineRule="auto"/>
              <w:jc w:val="center"/>
              <w:rPr>
                <w:rFonts w:ascii="Times New Roman" w:hAnsi="Times New Roman" w:cs="Times New Roman"/>
                <w:color w:val="000000"/>
                <w:sz w:val="20"/>
                <w:szCs w:val="20"/>
              </w:rPr>
            </w:pPr>
          </w:p>
        </w:tc>
      </w:tr>
    </w:tbl>
    <w:p w14:paraId="26F9E672" w14:textId="77777777" w:rsidR="00EE605C" w:rsidRDefault="00EE605C" w:rsidP="00EE605C">
      <w:pPr>
        <w:spacing w:after="0" w:line="240" w:lineRule="auto"/>
        <w:rPr>
          <w:rFonts w:ascii="Times New Roman" w:hAnsi="Times New Roman" w:cs="Times New Roman"/>
          <w:sz w:val="24"/>
          <w:szCs w:val="24"/>
        </w:rPr>
      </w:pPr>
    </w:p>
    <w:p w14:paraId="57DFF85C" w14:textId="77777777" w:rsidR="003D4F0E" w:rsidRDefault="00655DAE">
      <w:pPr>
        <w:rPr>
          <w:rFonts w:ascii="Times New Roman" w:hAnsi="Times New Roman" w:cs="Times New Roman"/>
          <w:sz w:val="24"/>
          <w:szCs w:val="24"/>
        </w:rPr>
      </w:pPr>
      <w:r>
        <w:rPr>
          <w:rFonts w:ascii="Times New Roman" w:hAnsi="Times New Roman" w:cs="Times New Roman"/>
          <w:sz w:val="24"/>
          <w:szCs w:val="24"/>
        </w:rPr>
        <w:br w:type="page"/>
      </w:r>
    </w:p>
    <w:p w14:paraId="650E67A3" w14:textId="0806E1E4" w:rsidR="005A2E47" w:rsidRDefault="005A2E47" w:rsidP="005A2E4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14:  Predicted probabilities of achieving transfer-level English competency for three subsamples of developmental English students</w:t>
      </w:r>
      <w:r w:rsidR="00354B17">
        <w:rPr>
          <w:rFonts w:ascii="Times New Roman" w:hAnsi="Times New Roman" w:cs="Times New Roman"/>
          <w:sz w:val="24"/>
          <w:szCs w:val="24"/>
        </w:rPr>
        <w:t xml:space="preserve">, </w:t>
      </w:r>
      <w:r w:rsidR="00583C67">
        <w:rPr>
          <w:rFonts w:ascii="Times New Roman" w:hAnsi="Times New Roman" w:cs="Times New Roman"/>
          <w:sz w:val="24"/>
          <w:szCs w:val="24"/>
        </w:rPr>
        <w:t xml:space="preserve">based on estimates </w:t>
      </w:r>
      <w:r w:rsidR="00583C67" w:rsidRPr="00D334A5">
        <w:rPr>
          <w:rFonts w:ascii="Times New Roman" w:hAnsi="Times New Roman" w:cs="Times New Roman"/>
          <w:sz w:val="24"/>
          <w:szCs w:val="24"/>
        </w:rPr>
        <w:t>derived from logistic regression analyses</w:t>
      </w:r>
      <w:r w:rsidR="00583C67">
        <w:rPr>
          <w:rFonts w:ascii="Times New Roman" w:hAnsi="Times New Roman" w:cs="Times New Roman"/>
          <w:sz w:val="24"/>
          <w:szCs w:val="24"/>
        </w:rPr>
        <w:t xml:space="preserve"> (not shown)</w:t>
      </w:r>
    </w:p>
    <w:p w14:paraId="58CA3A5B" w14:textId="77777777" w:rsidR="005A2E47" w:rsidRDefault="005A2E47" w:rsidP="005A2E47">
      <w:pPr>
        <w:spacing w:after="0" w:line="240" w:lineRule="auto"/>
        <w:rPr>
          <w:rFonts w:ascii="Times New Roman" w:hAnsi="Times New Roman" w:cs="Times New Roman"/>
          <w:sz w:val="24"/>
          <w:szCs w:val="24"/>
        </w:rPr>
      </w:pPr>
    </w:p>
    <w:tbl>
      <w:tblPr>
        <w:tblW w:w="12960" w:type="dxa"/>
        <w:tblCellMar>
          <w:left w:w="115" w:type="dxa"/>
          <w:right w:w="115" w:type="dxa"/>
        </w:tblCellMar>
        <w:tblLook w:val="04A0" w:firstRow="1" w:lastRow="0" w:firstColumn="1" w:lastColumn="0" w:noHBand="0" w:noVBand="1"/>
      </w:tblPr>
      <w:tblGrid>
        <w:gridCol w:w="1526"/>
        <w:gridCol w:w="1527"/>
        <w:gridCol w:w="2443"/>
        <w:gridCol w:w="2443"/>
        <w:gridCol w:w="2443"/>
        <w:gridCol w:w="2578"/>
      </w:tblGrid>
      <w:tr w:rsidR="0027590F" w:rsidRPr="005A2E47" w14:paraId="474FCBDB" w14:textId="77777777" w:rsidTr="005A2E47">
        <w:trPr>
          <w:trHeight w:val="780"/>
        </w:trPr>
        <w:tc>
          <w:tcPr>
            <w:tcW w:w="1526" w:type="dxa"/>
            <w:tcBorders>
              <w:top w:val="single" w:sz="4" w:space="0" w:color="auto"/>
              <w:left w:val="nil"/>
              <w:bottom w:val="single" w:sz="4" w:space="0" w:color="auto"/>
              <w:right w:val="nil"/>
            </w:tcBorders>
            <w:shd w:val="clear" w:color="auto" w:fill="auto"/>
            <w:noWrap/>
            <w:vAlign w:val="bottom"/>
            <w:hideMark/>
          </w:tcPr>
          <w:p w14:paraId="11271787"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b/>
                <w:bCs/>
                <w:color w:val="000000"/>
                <w:sz w:val="20"/>
                <w:szCs w:val="20"/>
              </w:rPr>
              <w:t>Subsample</w:t>
            </w:r>
          </w:p>
        </w:tc>
        <w:tc>
          <w:tcPr>
            <w:tcW w:w="1527" w:type="dxa"/>
            <w:tcBorders>
              <w:top w:val="single" w:sz="4" w:space="0" w:color="auto"/>
              <w:left w:val="nil"/>
              <w:bottom w:val="single" w:sz="4" w:space="0" w:color="auto"/>
              <w:right w:val="nil"/>
            </w:tcBorders>
            <w:shd w:val="clear" w:color="auto" w:fill="auto"/>
            <w:noWrap/>
            <w:vAlign w:val="bottom"/>
            <w:hideMark/>
          </w:tcPr>
          <w:p w14:paraId="23BE4480" w14:textId="77777777" w:rsidR="0027590F" w:rsidRPr="005A2E47" w:rsidRDefault="0027590F" w:rsidP="0027590F">
            <w:pPr>
              <w:spacing w:after="0" w:line="240" w:lineRule="auto"/>
              <w:jc w:val="center"/>
              <w:rPr>
                <w:rFonts w:ascii="Times New Roman" w:eastAsia="Times New Roman" w:hAnsi="Times New Roman" w:cs="Times New Roman"/>
                <w:b/>
                <w:bCs/>
                <w:color w:val="000000"/>
                <w:sz w:val="20"/>
                <w:szCs w:val="20"/>
              </w:rPr>
            </w:pPr>
            <w:r w:rsidRPr="005A2E47">
              <w:rPr>
                <w:rFonts w:ascii="Times New Roman" w:eastAsia="Times New Roman" w:hAnsi="Times New Roman" w:cs="Times New Roman"/>
                <w:b/>
                <w:bCs/>
                <w:color w:val="000000"/>
                <w:sz w:val="20"/>
                <w:szCs w:val="20"/>
              </w:rPr>
              <w:t>Transfer</w:t>
            </w:r>
          </w:p>
          <w:p w14:paraId="5556ADA7"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b/>
                <w:bCs/>
                <w:color w:val="000000"/>
                <w:sz w:val="20"/>
                <w:szCs w:val="20"/>
              </w:rPr>
              <w:t>Seeking</w:t>
            </w:r>
          </w:p>
        </w:tc>
        <w:tc>
          <w:tcPr>
            <w:tcW w:w="2443" w:type="dxa"/>
            <w:tcBorders>
              <w:top w:val="single" w:sz="4" w:space="0" w:color="auto"/>
              <w:left w:val="nil"/>
              <w:bottom w:val="single" w:sz="4" w:space="0" w:color="auto"/>
              <w:right w:val="nil"/>
            </w:tcBorders>
            <w:shd w:val="clear" w:color="auto" w:fill="auto"/>
            <w:noWrap/>
            <w:vAlign w:val="bottom"/>
            <w:hideMark/>
          </w:tcPr>
          <w:p w14:paraId="7950C09F" w14:textId="2836FE78" w:rsidR="0027590F" w:rsidRPr="005A2E47" w:rsidRDefault="0027590F" w:rsidP="003D4F0E">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b/>
                <w:bCs/>
                <w:color w:val="000000"/>
                <w:sz w:val="20"/>
                <w:szCs w:val="20"/>
              </w:rPr>
              <w:t>First English</w:t>
            </w:r>
          </w:p>
        </w:tc>
        <w:tc>
          <w:tcPr>
            <w:tcW w:w="2443" w:type="dxa"/>
            <w:tcBorders>
              <w:top w:val="single" w:sz="4" w:space="0" w:color="auto"/>
              <w:left w:val="nil"/>
              <w:bottom w:val="single" w:sz="4" w:space="0" w:color="auto"/>
              <w:right w:val="nil"/>
            </w:tcBorders>
            <w:shd w:val="clear" w:color="auto" w:fill="auto"/>
            <w:noWrap/>
            <w:vAlign w:val="bottom"/>
            <w:hideMark/>
          </w:tcPr>
          <w:p w14:paraId="29FA959D" w14:textId="55D30573" w:rsidR="0027590F" w:rsidRPr="005A2E47" w:rsidRDefault="0027590F" w:rsidP="003D4F0E">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b/>
                <w:bCs/>
                <w:color w:val="000000"/>
                <w:sz w:val="20"/>
                <w:szCs w:val="20"/>
              </w:rPr>
              <w:t>Outcome in First Attempt of First English</w:t>
            </w:r>
          </w:p>
        </w:tc>
        <w:tc>
          <w:tcPr>
            <w:tcW w:w="2443" w:type="dxa"/>
            <w:tcBorders>
              <w:top w:val="single" w:sz="4" w:space="0" w:color="auto"/>
              <w:left w:val="nil"/>
              <w:bottom w:val="single" w:sz="4" w:space="0" w:color="auto"/>
              <w:right w:val="nil"/>
            </w:tcBorders>
            <w:shd w:val="clear" w:color="auto" w:fill="auto"/>
            <w:noWrap/>
            <w:vAlign w:val="bottom"/>
            <w:hideMark/>
          </w:tcPr>
          <w:p w14:paraId="0D4A79A3" w14:textId="4E693114" w:rsidR="0027590F" w:rsidRPr="005A2E47" w:rsidRDefault="0027590F" w:rsidP="003D4F0E">
            <w:pPr>
              <w:spacing w:after="0" w:line="240" w:lineRule="auto"/>
              <w:jc w:val="center"/>
              <w:rPr>
                <w:rFonts w:ascii="Times New Roman" w:eastAsia="Times New Roman" w:hAnsi="Times New Roman" w:cs="Times New Roman"/>
                <w:sz w:val="20"/>
                <w:szCs w:val="20"/>
              </w:rPr>
            </w:pPr>
            <w:r w:rsidRPr="005A2E47">
              <w:rPr>
                <w:rFonts w:ascii="Times New Roman" w:eastAsia="Times New Roman" w:hAnsi="Times New Roman" w:cs="Times New Roman"/>
                <w:b/>
                <w:bCs/>
                <w:color w:val="000000"/>
                <w:sz w:val="20"/>
                <w:szCs w:val="20"/>
              </w:rPr>
              <w:t>Second English</w:t>
            </w:r>
          </w:p>
        </w:tc>
        <w:tc>
          <w:tcPr>
            <w:tcW w:w="2578" w:type="dxa"/>
            <w:tcBorders>
              <w:top w:val="single" w:sz="4" w:space="0" w:color="auto"/>
              <w:left w:val="nil"/>
              <w:bottom w:val="single" w:sz="4" w:space="0" w:color="auto"/>
              <w:right w:val="nil"/>
            </w:tcBorders>
            <w:shd w:val="clear" w:color="auto" w:fill="auto"/>
            <w:vAlign w:val="bottom"/>
            <w:hideMark/>
          </w:tcPr>
          <w:p w14:paraId="2B1565C7" w14:textId="5A970BFA" w:rsidR="0027590F" w:rsidRPr="005A2E47" w:rsidRDefault="0027590F" w:rsidP="0027590F">
            <w:pPr>
              <w:spacing w:after="0" w:line="240" w:lineRule="auto"/>
              <w:jc w:val="center"/>
              <w:rPr>
                <w:rFonts w:ascii="Times New Roman" w:eastAsia="Times New Roman" w:hAnsi="Times New Roman" w:cs="Times New Roman"/>
                <w:b/>
                <w:color w:val="000000"/>
                <w:sz w:val="20"/>
                <w:szCs w:val="20"/>
              </w:rPr>
            </w:pPr>
            <w:r w:rsidRPr="005A2E47">
              <w:rPr>
                <w:rFonts w:ascii="Times New Roman" w:eastAsia="Times New Roman" w:hAnsi="Times New Roman" w:cs="Times New Roman"/>
                <w:b/>
                <w:color w:val="000000"/>
                <w:sz w:val="20"/>
                <w:szCs w:val="20"/>
              </w:rPr>
              <w:t>Predicted Probability of Achieving Transfer-Level English Competency</w:t>
            </w:r>
          </w:p>
        </w:tc>
      </w:tr>
      <w:tr w:rsidR="00E93D2D" w:rsidRPr="005A2E47" w14:paraId="40BC5BB4" w14:textId="77777777" w:rsidTr="0072729B">
        <w:trPr>
          <w:trHeight w:val="259"/>
        </w:trPr>
        <w:tc>
          <w:tcPr>
            <w:tcW w:w="1526" w:type="dxa"/>
            <w:tcBorders>
              <w:top w:val="single" w:sz="4" w:space="0" w:color="auto"/>
              <w:left w:val="nil"/>
              <w:right w:val="nil"/>
            </w:tcBorders>
            <w:shd w:val="clear" w:color="auto" w:fill="auto"/>
            <w:noWrap/>
            <w:vAlign w:val="bottom"/>
          </w:tcPr>
          <w:p w14:paraId="744E5F31" w14:textId="77777777" w:rsidR="00E93D2D" w:rsidRPr="005A2E47" w:rsidRDefault="00E93D2D" w:rsidP="0027590F">
            <w:pPr>
              <w:spacing w:after="0" w:line="240" w:lineRule="auto"/>
              <w:jc w:val="center"/>
              <w:rPr>
                <w:rFonts w:ascii="Times New Roman" w:eastAsia="Times New Roman" w:hAnsi="Times New Roman" w:cs="Times New Roman"/>
                <w:b/>
                <w:bCs/>
                <w:color w:val="000000"/>
                <w:sz w:val="20"/>
                <w:szCs w:val="20"/>
              </w:rPr>
            </w:pPr>
          </w:p>
        </w:tc>
        <w:tc>
          <w:tcPr>
            <w:tcW w:w="1527" w:type="dxa"/>
            <w:tcBorders>
              <w:top w:val="single" w:sz="4" w:space="0" w:color="auto"/>
              <w:left w:val="nil"/>
              <w:right w:val="nil"/>
            </w:tcBorders>
            <w:shd w:val="clear" w:color="auto" w:fill="auto"/>
            <w:noWrap/>
            <w:vAlign w:val="bottom"/>
          </w:tcPr>
          <w:p w14:paraId="7DA6D588" w14:textId="77777777" w:rsidR="00E93D2D" w:rsidRPr="005A2E47" w:rsidRDefault="00E93D2D" w:rsidP="0027590F">
            <w:pPr>
              <w:spacing w:after="0" w:line="240" w:lineRule="auto"/>
              <w:jc w:val="center"/>
              <w:rPr>
                <w:rFonts w:ascii="Times New Roman" w:eastAsia="Times New Roman" w:hAnsi="Times New Roman" w:cs="Times New Roman"/>
                <w:b/>
                <w:bCs/>
                <w:color w:val="000000"/>
                <w:sz w:val="20"/>
                <w:szCs w:val="20"/>
              </w:rPr>
            </w:pPr>
          </w:p>
        </w:tc>
        <w:tc>
          <w:tcPr>
            <w:tcW w:w="2443" w:type="dxa"/>
            <w:tcBorders>
              <w:top w:val="single" w:sz="4" w:space="0" w:color="auto"/>
              <w:left w:val="nil"/>
              <w:right w:val="nil"/>
            </w:tcBorders>
            <w:shd w:val="clear" w:color="auto" w:fill="auto"/>
            <w:noWrap/>
            <w:vAlign w:val="bottom"/>
          </w:tcPr>
          <w:p w14:paraId="045AB0A1" w14:textId="77777777" w:rsidR="00E93D2D" w:rsidRPr="005A2E47" w:rsidRDefault="00E93D2D" w:rsidP="003D4F0E">
            <w:pPr>
              <w:spacing w:after="0" w:line="240" w:lineRule="auto"/>
              <w:jc w:val="center"/>
              <w:rPr>
                <w:rFonts w:ascii="Times New Roman" w:eastAsia="Times New Roman" w:hAnsi="Times New Roman" w:cs="Times New Roman"/>
                <w:b/>
                <w:bCs/>
                <w:color w:val="000000"/>
                <w:sz w:val="20"/>
                <w:szCs w:val="20"/>
              </w:rPr>
            </w:pPr>
          </w:p>
        </w:tc>
        <w:tc>
          <w:tcPr>
            <w:tcW w:w="2443" w:type="dxa"/>
            <w:tcBorders>
              <w:top w:val="single" w:sz="4" w:space="0" w:color="auto"/>
              <w:left w:val="nil"/>
              <w:right w:val="nil"/>
            </w:tcBorders>
            <w:shd w:val="clear" w:color="auto" w:fill="auto"/>
            <w:noWrap/>
            <w:vAlign w:val="bottom"/>
          </w:tcPr>
          <w:p w14:paraId="2636CB75" w14:textId="77777777" w:rsidR="00E93D2D" w:rsidRPr="005A2E47" w:rsidRDefault="00E93D2D" w:rsidP="003D4F0E">
            <w:pPr>
              <w:spacing w:after="0" w:line="240" w:lineRule="auto"/>
              <w:jc w:val="center"/>
              <w:rPr>
                <w:rFonts w:ascii="Times New Roman" w:eastAsia="Times New Roman" w:hAnsi="Times New Roman" w:cs="Times New Roman"/>
                <w:b/>
                <w:bCs/>
                <w:color w:val="000000"/>
                <w:sz w:val="20"/>
                <w:szCs w:val="20"/>
              </w:rPr>
            </w:pPr>
          </w:p>
        </w:tc>
        <w:tc>
          <w:tcPr>
            <w:tcW w:w="2443" w:type="dxa"/>
            <w:tcBorders>
              <w:top w:val="single" w:sz="4" w:space="0" w:color="auto"/>
              <w:left w:val="nil"/>
              <w:right w:val="nil"/>
            </w:tcBorders>
            <w:shd w:val="clear" w:color="auto" w:fill="auto"/>
            <w:noWrap/>
            <w:vAlign w:val="bottom"/>
          </w:tcPr>
          <w:p w14:paraId="1F281F79" w14:textId="77777777" w:rsidR="00E93D2D" w:rsidRPr="005A2E47" w:rsidRDefault="00E93D2D" w:rsidP="003D4F0E">
            <w:pPr>
              <w:spacing w:after="0" w:line="240" w:lineRule="auto"/>
              <w:jc w:val="center"/>
              <w:rPr>
                <w:rFonts w:ascii="Times New Roman" w:eastAsia="Times New Roman" w:hAnsi="Times New Roman" w:cs="Times New Roman"/>
                <w:b/>
                <w:bCs/>
                <w:color w:val="000000"/>
                <w:sz w:val="20"/>
                <w:szCs w:val="20"/>
              </w:rPr>
            </w:pPr>
          </w:p>
        </w:tc>
        <w:tc>
          <w:tcPr>
            <w:tcW w:w="2578" w:type="dxa"/>
            <w:tcBorders>
              <w:top w:val="single" w:sz="4" w:space="0" w:color="auto"/>
              <w:left w:val="nil"/>
              <w:right w:val="nil"/>
            </w:tcBorders>
            <w:shd w:val="clear" w:color="auto" w:fill="auto"/>
            <w:vAlign w:val="bottom"/>
          </w:tcPr>
          <w:p w14:paraId="614C21DF" w14:textId="77777777" w:rsidR="00E93D2D" w:rsidRPr="005A2E47" w:rsidRDefault="00E93D2D" w:rsidP="0027590F">
            <w:pPr>
              <w:spacing w:after="0" w:line="240" w:lineRule="auto"/>
              <w:jc w:val="center"/>
              <w:rPr>
                <w:rFonts w:ascii="Times New Roman" w:eastAsia="Times New Roman" w:hAnsi="Times New Roman" w:cs="Times New Roman"/>
                <w:b/>
                <w:color w:val="000000"/>
                <w:sz w:val="20"/>
                <w:szCs w:val="20"/>
              </w:rPr>
            </w:pPr>
          </w:p>
        </w:tc>
      </w:tr>
      <w:tr w:rsidR="0027590F" w:rsidRPr="005A2E47" w14:paraId="0335CE34" w14:textId="77777777" w:rsidTr="0072729B">
        <w:trPr>
          <w:trHeight w:val="260"/>
        </w:trPr>
        <w:tc>
          <w:tcPr>
            <w:tcW w:w="1526" w:type="dxa"/>
            <w:tcBorders>
              <w:left w:val="nil"/>
              <w:bottom w:val="nil"/>
              <w:right w:val="nil"/>
            </w:tcBorders>
            <w:shd w:val="clear" w:color="auto" w:fill="auto"/>
            <w:noWrap/>
            <w:vAlign w:val="bottom"/>
            <w:hideMark/>
          </w:tcPr>
          <w:p w14:paraId="5B4C5BB6" w14:textId="77777777" w:rsidR="0027590F" w:rsidRPr="005A2E47" w:rsidRDefault="0027590F" w:rsidP="0027590F">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1</w:t>
            </w:r>
          </w:p>
        </w:tc>
        <w:tc>
          <w:tcPr>
            <w:tcW w:w="1527" w:type="dxa"/>
            <w:tcBorders>
              <w:left w:val="nil"/>
              <w:bottom w:val="nil"/>
              <w:right w:val="nil"/>
            </w:tcBorders>
            <w:shd w:val="clear" w:color="auto" w:fill="auto"/>
            <w:noWrap/>
            <w:vAlign w:val="bottom"/>
            <w:hideMark/>
          </w:tcPr>
          <w:p w14:paraId="1B673614" w14:textId="71359C1D" w:rsidR="0027590F" w:rsidRPr="005A2E47" w:rsidRDefault="0027590F" w:rsidP="0027590F">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w:t>
            </w:r>
          </w:p>
        </w:tc>
        <w:tc>
          <w:tcPr>
            <w:tcW w:w="2443" w:type="dxa"/>
            <w:tcBorders>
              <w:left w:val="nil"/>
              <w:bottom w:val="nil"/>
              <w:right w:val="nil"/>
            </w:tcBorders>
            <w:shd w:val="clear" w:color="auto" w:fill="auto"/>
            <w:noWrap/>
            <w:vAlign w:val="bottom"/>
            <w:hideMark/>
          </w:tcPr>
          <w:p w14:paraId="61925263" w14:textId="54A66632"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B60</w:t>
            </w:r>
          </w:p>
        </w:tc>
        <w:tc>
          <w:tcPr>
            <w:tcW w:w="2443" w:type="dxa"/>
            <w:tcBorders>
              <w:left w:val="nil"/>
              <w:bottom w:val="nil"/>
              <w:right w:val="nil"/>
            </w:tcBorders>
            <w:shd w:val="clear" w:color="auto" w:fill="auto"/>
            <w:noWrap/>
            <w:vAlign w:val="bottom"/>
            <w:hideMark/>
          </w:tcPr>
          <w:p w14:paraId="456F97DA"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w:t>
            </w:r>
          </w:p>
        </w:tc>
        <w:tc>
          <w:tcPr>
            <w:tcW w:w="2443" w:type="dxa"/>
            <w:tcBorders>
              <w:left w:val="nil"/>
              <w:bottom w:val="nil"/>
              <w:right w:val="nil"/>
            </w:tcBorders>
            <w:shd w:val="clear" w:color="auto" w:fill="auto"/>
            <w:noWrap/>
            <w:vAlign w:val="bottom"/>
            <w:hideMark/>
          </w:tcPr>
          <w:p w14:paraId="652151A5"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 or None</w:t>
            </w:r>
          </w:p>
        </w:tc>
        <w:tc>
          <w:tcPr>
            <w:tcW w:w="2578" w:type="dxa"/>
            <w:tcBorders>
              <w:left w:val="nil"/>
              <w:bottom w:val="nil"/>
              <w:right w:val="nil"/>
            </w:tcBorders>
            <w:shd w:val="clear" w:color="auto" w:fill="auto"/>
            <w:noWrap/>
            <w:vAlign w:val="bottom"/>
            <w:hideMark/>
          </w:tcPr>
          <w:p w14:paraId="7FD72DEE" w14:textId="35FA5BC3" w:rsidR="0027590F" w:rsidRPr="005A2E47" w:rsidRDefault="0027590F"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0.16</w:t>
            </w:r>
          </w:p>
        </w:tc>
      </w:tr>
      <w:tr w:rsidR="0027590F" w:rsidRPr="005A2E47" w14:paraId="23C07BA1" w14:textId="77777777" w:rsidTr="005A2E47">
        <w:trPr>
          <w:trHeight w:val="260"/>
        </w:trPr>
        <w:tc>
          <w:tcPr>
            <w:tcW w:w="1526" w:type="dxa"/>
            <w:tcBorders>
              <w:top w:val="nil"/>
              <w:left w:val="nil"/>
              <w:bottom w:val="nil"/>
              <w:right w:val="nil"/>
            </w:tcBorders>
            <w:shd w:val="clear" w:color="auto" w:fill="auto"/>
            <w:noWrap/>
            <w:vAlign w:val="bottom"/>
            <w:hideMark/>
          </w:tcPr>
          <w:p w14:paraId="42344B60"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6B3C7B57"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0A54A4CE" w14:textId="59094CDD"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B53</w:t>
            </w:r>
          </w:p>
        </w:tc>
        <w:tc>
          <w:tcPr>
            <w:tcW w:w="2443" w:type="dxa"/>
            <w:tcBorders>
              <w:top w:val="nil"/>
              <w:left w:val="nil"/>
              <w:bottom w:val="nil"/>
              <w:right w:val="nil"/>
            </w:tcBorders>
            <w:shd w:val="clear" w:color="auto" w:fill="auto"/>
            <w:noWrap/>
            <w:vAlign w:val="bottom"/>
            <w:hideMark/>
          </w:tcPr>
          <w:p w14:paraId="6C433166"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w:t>
            </w:r>
          </w:p>
        </w:tc>
        <w:tc>
          <w:tcPr>
            <w:tcW w:w="2443" w:type="dxa"/>
            <w:tcBorders>
              <w:top w:val="nil"/>
              <w:left w:val="nil"/>
              <w:bottom w:val="nil"/>
              <w:right w:val="nil"/>
            </w:tcBorders>
            <w:shd w:val="clear" w:color="auto" w:fill="auto"/>
            <w:noWrap/>
            <w:vAlign w:val="bottom"/>
            <w:hideMark/>
          </w:tcPr>
          <w:p w14:paraId="68CB0998"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 or None</w:t>
            </w:r>
          </w:p>
        </w:tc>
        <w:tc>
          <w:tcPr>
            <w:tcW w:w="2578" w:type="dxa"/>
            <w:tcBorders>
              <w:top w:val="nil"/>
              <w:left w:val="nil"/>
              <w:bottom w:val="nil"/>
              <w:right w:val="nil"/>
            </w:tcBorders>
            <w:shd w:val="clear" w:color="auto" w:fill="auto"/>
            <w:noWrap/>
            <w:vAlign w:val="bottom"/>
            <w:hideMark/>
          </w:tcPr>
          <w:p w14:paraId="257F98EA" w14:textId="51AE3AF9" w:rsidR="0027590F" w:rsidRPr="005A2E47" w:rsidRDefault="0027590F"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0.26</w:t>
            </w:r>
          </w:p>
        </w:tc>
      </w:tr>
      <w:tr w:rsidR="0027590F" w:rsidRPr="005A2E47" w14:paraId="0153FA85" w14:textId="77777777" w:rsidTr="005A2E47">
        <w:trPr>
          <w:trHeight w:val="260"/>
        </w:trPr>
        <w:tc>
          <w:tcPr>
            <w:tcW w:w="1526" w:type="dxa"/>
            <w:tcBorders>
              <w:top w:val="nil"/>
              <w:left w:val="nil"/>
              <w:bottom w:val="nil"/>
              <w:right w:val="nil"/>
            </w:tcBorders>
            <w:shd w:val="clear" w:color="auto" w:fill="auto"/>
            <w:noWrap/>
            <w:vAlign w:val="bottom"/>
            <w:hideMark/>
          </w:tcPr>
          <w:p w14:paraId="2A538BA8"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62218066"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3A47B720" w14:textId="667B5656"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B50</w:t>
            </w:r>
          </w:p>
        </w:tc>
        <w:tc>
          <w:tcPr>
            <w:tcW w:w="2443" w:type="dxa"/>
            <w:tcBorders>
              <w:top w:val="nil"/>
              <w:left w:val="nil"/>
              <w:bottom w:val="nil"/>
              <w:right w:val="nil"/>
            </w:tcBorders>
            <w:shd w:val="clear" w:color="auto" w:fill="auto"/>
            <w:noWrap/>
            <w:vAlign w:val="bottom"/>
            <w:hideMark/>
          </w:tcPr>
          <w:p w14:paraId="6C4919F1"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w:t>
            </w:r>
          </w:p>
        </w:tc>
        <w:tc>
          <w:tcPr>
            <w:tcW w:w="2443" w:type="dxa"/>
            <w:tcBorders>
              <w:top w:val="nil"/>
              <w:left w:val="nil"/>
              <w:bottom w:val="nil"/>
              <w:right w:val="nil"/>
            </w:tcBorders>
            <w:shd w:val="clear" w:color="auto" w:fill="auto"/>
            <w:noWrap/>
            <w:vAlign w:val="bottom"/>
            <w:hideMark/>
          </w:tcPr>
          <w:p w14:paraId="4B753227"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 or None</w:t>
            </w:r>
          </w:p>
        </w:tc>
        <w:tc>
          <w:tcPr>
            <w:tcW w:w="2578" w:type="dxa"/>
            <w:tcBorders>
              <w:top w:val="nil"/>
              <w:left w:val="nil"/>
              <w:bottom w:val="nil"/>
              <w:right w:val="nil"/>
            </w:tcBorders>
            <w:shd w:val="clear" w:color="auto" w:fill="auto"/>
            <w:noWrap/>
            <w:vAlign w:val="bottom"/>
            <w:hideMark/>
          </w:tcPr>
          <w:p w14:paraId="4C207427" w14:textId="762E0CA9" w:rsidR="0027590F" w:rsidRPr="005A2E47" w:rsidRDefault="0027590F"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0.33</w:t>
            </w:r>
          </w:p>
        </w:tc>
      </w:tr>
      <w:tr w:rsidR="0027590F" w:rsidRPr="005A2E47" w14:paraId="4BC13C5C" w14:textId="77777777" w:rsidTr="005A2E47">
        <w:trPr>
          <w:trHeight w:val="260"/>
        </w:trPr>
        <w:tc>
          <w:tcPr>
            <w:tcW w:w="1526" w:type="dxa"/>
            <w:tcBorders>
              <w:top w:val="nil"/>
              <w:left w:val="nil"/>
              <w:bottom w:val="nil"/>
              <w:right w:val="nil"/>
            </w:tcBorders>
            <w:shd w:val="clear" w:color="auto" w:fill="auto"/>
            <w:noWrap/>
            <w:vAlign w:val="bottom"/>
            <w:hideMark/>
          </w:tcPr>
          <w:p w14:paraId="0DBE6DCD"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5D870EC4"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214E4A83" w14:textId="2D03AA50"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LRNC B510 (Engl B50)</w:t>
            </w:r>
          </w:p>
        </w:tc>
        <w:tc>
          <w:tcPr>
            <w:tcW w:w="2443" w:type="dxa"/>
            <w:tcBorders>
              <w:top w:val="nil"/>
              <w:left w:val="nil"/>
              <w:bottom w:val="nil"/>
              <w:right w:val="nil"/>
            </w:tcBorders>
            <w:shd w:val="clear" w:color="auto" w:fill="auto"/>
            <w:noWrap/>
            <w:vAlign w:val="bottom"/>
            <w:hideMark/>
          </w:tcPr>
          <w:p w14:paraId="538D4287"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w:t>
            </w:r>
          </w:p>
        </w:tc>
        <w:tc>
          <w:tcPr>
            <w:tcW w:w="2443" w:type="dxa"/>
            <w:tcBorders>
              <w:top w:val="nil"/>
              <w:left w:val="nil"/>
              <w:bottom w:val="nil"/>
              <w:right w:val="nil"/>
            </w:tcBorders>
            <w:shd w:val="clear" w:color="auto" w:fill="auto"/>
            <w:noWrap/>
            <w:vAlign w:val="bottom"/>
            <w:hideMark/>
          </w:tcPr>
          <w:p w14:paraId="6D3E250F"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 or None</w:t>
            </w:r>
          </w:p>
        </w:tc>
        <w:tc>
          <w:tcPr>
            <w:tcW w:w="2578" w:type="dxa"/>
            <w:tcBorders>
              <w:top w:val="nil"/>
              <w:left w:val="nil"/>
              <w:bottom w:val="nil"/>
              <w:right w:val="nil"/>
            </w:tcBorders>
            <w:shd w:val="clear" w:color="auto" w:fill="auto"/>
            <w:noWrap/>
            <w:vAlign w:val="bottom"/>
            <w:hideMark/>
          </w:tcPr>
          <w:p w14:paraId="7293861A" w14:textId="622F3750" w:rsidR="0027590F" w:rsidRPr="005A2E47" w:rsidRDefault="0027590F"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0.49</w:t>
            </w:r>
          </w:p>
        </w:tc>
      </w:tr>
      <w:tr w:rsidR="0027590F" w:rsidRPr="005A2E47" w14:paraId="755A0AF5" w14:textId="77777777" w:rsidTr="005A2E47">
        <w:trPr>
          <w:trHeight w:val="260"/>
        </w:trPr>
        <w:tc>
          <w:tcPr>
            <w:tcW w:w="1526" w:type="dxa"/>
            <w:tcBorders>
              <w:top w:val="nil"/>
              <w:left w:val="nil"/>
              <w:bottom w:val="nil"/>
              <w:right w:val="nil"/>
            </w:tcBorders>
            <w:shd w:val="clear" w:color="auto" w:fill="auto"/>
            <w:noWrap/>
            <w:vAlign w:val="bottom"/>
            <w:hideMark/>
          </w:tcPr>
          <w:p w14:paraId="4F3570AF"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5030CC8E"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7B243B66"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3807B3C3" w14:textId="77777777" w:rsidR="0027590F" w:rsidRPr="005A2E47" w:rsidRDefault="0027590F" w:rsidP="0027590F">
            <w:pPr>
              <w:spacing w:after="0" w:line="240" w:lineRule="auto"/>
              <w:jc w:val="right"/>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1A88157C" w14:textId="77777777" w:rsidR="0027590F" w:rsidRPr="005A2E47" w:rsidRDefault="0027590F" w:rsidP="0027590F">
            <w:pPr>
              <w:spacing w:after="0" w:line="240" w:lineRule="auto"/>
              <w:jc w:val="right"/>
              <w:rPr>
                <w:rFonts w:ascii="Times New Roman" w:eastAsia="Times New Roman" w:hAnsi="Times New Roman" w:cs="Times New Roman"/>
                <w:sz w:val="20"/>
                <w:szCs w:val="20"/>
              </w:rPr>
            </w:pPr>
            <w:r w:rsidRPr="005A2E47">
              <w:rPr>
                <w:rFonts w:ascii="Times New Roman" w:eastAsia="Times New Roman" w:hAnsi="Times New Roman" w:cs="Times New Roman"/>
                <w:b/>
                <w:sz w:val="20"/>
                <w:szCs w:val="20"/>
              </w:rPr>
              <w:t>N</w:t>
            </w:r>
          </w:p>
        </w:tc>
        <w:tc>
          <w:tcPr>
            <w:tcW w:w="2578" w:type="dxa"/>
            <w:tcBorders>
              <w:top w:val="nil"/>
              <w:left w:val="nil"/>
              <w:bottom w:val="nil"/>
              <w:right w:val="nil"/>
            </w:tcBorders>
            <w:shd w:val="clear" w:color="auto" w:fill="auto"/>
            <w:noWrap/>
            <w:vAlign w:val="bottom"/>
            <w:hideMark/>
          </w:tcPr>
          <w:p w14:paraId="1511029E" w14:textId="59F576C4" w:rsidR="0027590F" w:rsidRPr="005A2E47" w:rsidRDefault="0027590F" w:rsidP="0027590F">
            <w:pPr>
              <w:spacing w:after="0" w:line="240" w:lineRule="auto"/>
              <w:jc w:val="center"/>
              <w:rPr>
                <w:rFonts w:ascii="Times New Roman" w:eastAsia="Times New Roman" w:hAnsi="Times New Roman" w:cs="Times New Roman"/>
                <w:b/>
                <w:bCs/>
                <w:color w:val="000000"/>
                <w:sz w:val="20"/>
                <w:szCs w:val="20"/>
              </w:rPr>
            </w:pPr>
            <w:r w:rsidRPr="005A2E47">
              <w:rPr>
                <w:rFonts w:ascii="Times New Roman" w:eastAsia="Times New Roman" w:hAnsi="Times New Roman" w:cs="Times New Roman"/>
                <w:b/>
                <w:bCs/>
                <w:color w:val="000000"/>
                <w:sz w:val="20"/>
                <w:szCs w:val="20"/>
              </w:rPr>
              <w:t>3,355</w:t>
            </w:r>
          </w:p>
        </w:tc>
      </w:tr>
      <w:tr w:rsidR="0027590F" w:rsidRPr="005A2E47" w14:paraId="1B8041EE" w14:textId="77777777" w:rsidTr="005A2E47">
        <w:trPr>
          <w:trHeight w:val="260"/>
        </w:trPr>
        <w:tc>
          <w:tcPr>
            <w:tcW w:w="1526" w:type="dxa"/>
            <w:tcBorders>
              <w:top w:val="nil"/>
              <w:left w:val="nil"/>
              <w:bottom w:val="nil"/>
              <w:right w:val="nil"/>
            </w:tcBorders>
            <w:shd w:val="clear" w:color="auto" w:fill="auto"/>
            <w:noWrap/>
            <w:vAlign w:val="bottom"/>
            <w:hideMark/>
          </w:tcPr>
          <w:p w14:paraId="1A634A39" w14:textId="77777777" w:rsidR="0027590F" w:rsidRPr="005A2E47" w:rsidRDefault="0027590F" w:rsidP="0027590F">
            <w:pPr>
              <w:spacing w:after="0" w:line="240" w:lineRule="auto"/>
              <w:rPr>
                <w:rFonts w:ascii="Times New Roman" w:eastAsia="Times New Roman" w:hAnsi="Times New Roman" w:cs="Times New Roman"/>
                <w:b/>
                <w:bCs/>
                <w:color w:val="000000"/>
                <w:sz w:val="20"/>
                <w:szCs w:val="20"/>
              </w:rPr>
            </w:pPr>
          </w:p>
        </w:tc>
        <w:tc>
          <w:tcPr>
            <w:tcW w:w="1527" w:type="dxa"/>
            <w:tcBorders>
              <w:top w:val="nil"/>
              <w:left w:val="nil"/>
              <w:bottom w:val="nil"/>
              <w:right w:val="nil"/>
            </w:tcBorders>
            <w:shd w:val="clear" w:color="auto" w:fill="auto"/>
            <w:noWrap/>
            <w:vAlign w:val="bottom"/>
            <w:hideMark/>
          </w:tcPr>
          <w:p w14:paraId="6E2331DD"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573CDE39"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5526231F" w14:textId="77777777" w:rsidR="0027590F" w:rsidRPr="005A2E47" w:rsidRDefault="0027590F" w:rsidP="0027590F">
            <w:pPr>
              <w:spacing w:after="0" w:line="240" w:lineRule="auto"/>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331E441D" w14:textId="77777777" w:rsidR="0027590F" w:rsidRPr="005A2E47" w:rsidRDefault="0027590F" w:rsidP="0027590F">
            <w:pPr>
              <w:spacing w:after="0" w:line="240" w:lineRule="auto"/>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noWrap/>
            <w:vAlign w:val="bottom"/>
            <w:hideMark/>
          </w:tcPr>
          <w:p w14:paraId="335392D8" w14:textId="77777777" w:rsidR="0027590F" w:rsidRPr="005A2E47" w:rsidRDefault="0027590F" w:rsidP="0027590F">
            <w:pPr>
              <w:spacing w:after="0" w:line="240" w:lineRule="auto"/>
              <w:rPr>
                <w:rFonts w:ascii="Times New Roman" w:eastAsia="Times New Roman" w:hAnsi="Times New Roman" w:cs="Times New Roman"/>
                <w:sz w:val="20"/>
                <w:szCs w:val="20"/>
              </w:rPr>
            </w:pPr>
          </w:p>
        </w:tc>
      </w:tr>
      <w:tr w:rsidR="005A2E47" w:rsidRPr="005A2E47" w14:paraId="1A10518A" w14:textId="77777777" w:rsidTr="005A2E47">
        <w:trPr>
          <w:trHeight w:val="260"/>
        </w:trPr>
        <w:tc>
          <w:tcPr>
            <w:tcW w:w="1526" w:type="dxa"/>
            <w:tcBorders>
              <w:top w:val="nil"/>
              <w:left w:val="nil"/>
              <w:bottom w:val="nil"/>
              <w:right w:val="nil"/>
            </w:tcBorders>
            <w:shd w:val="clear" w:color="auto" w:fill="auto"/>
            <w:noWrap/>
            <w:vAlign w:val="bottom"/>
            <w:hideMark/>
          </w:tcPr>
          <w:p w14:paraId="226E0295" w14:textId="77777777" w:rsidR="005A2E47" w:rsidRPr="005A2E47" w:rsidRDefault="005A2E47" w:rsidP="005A2E47">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2</w:t>
            </w:r>
          </w:p>
        </w:tc>
        <w:tc>
          <w:tcPr>
            <w:tcW w:w="1527" w:type="dxa"/>
            <w:tcBorders>
              <w:top w:val="nil"/>
              <w:left w:val="nil"/>
              <w:bottom w:val="nil"/>
              <w:right w:val="nil"/>
            </w:tcBorders>
            <w:shd w:val="clear" w:color="auto" w:fill="auto"/>
            <w:noWrap/>
            <w:vAlign w:val="bottom"/>
            <w:hideMark/>
          </w:tcPr>
          <w:p w14:paraId="7165CDAA" w14:textId="120D8B69" w:rsidR="005A2E47" w:rsidRPr="005A2E47" w:rsidRDefault="005A2E47" w:rsidP="005A2E47">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w:t>
            </w:r>
          </w:p>
        </w:tc>
        <w:tc>
          <w:tcPr>
            <w:tcW w:w="2443" w:type="dxa"/>
            <w:tcBorders>
              <w:top w:val="nil"/>
              <w:left w:val="nil"/>
              <w:bottom w:val="nil"/>
              <w:right w:val="nil"/>
            </w:tcBorders>
            <w:shd w:val="clear" w:color="auto" w:fill="auto"/>
            <w:noWrap/>
            <w:vAlign w:val="bottom"/>
            <w:hideMark/>
          </w:tcPr>
          <w:p w14:paraId="698FF428" w14:textId="1E37D63D"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B60</w:t>
            </w:r>
          </w:p>
        </w:tc>
        <w:tc>
          <w:tcPr>
            <w:tcW w:w="2443" w:type="dxa"/>
            <w:tcBorders>
              <w:top w:val="nil"/>
              <w:left w:val="nil"/>
              <w:bottom w:val="nil"/>
              <w:right w:val="nil"/>
            </w:tcBorders>
            <w:shd w:val="clear" w:color="auto" w:fill="auto"/>
            <w:noWrap/>
            <w:vAlign w:val="bottom"/>
            <w:hideMark/>
          </w:tcPr>
          <w:p w14:paraId="5296970B"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Successful </w:t>
            </w:r>
          </w:p>
        </w:tc>
        <w:tc>
          <w:tcPr>
            <w:tcW w:w="2443" w:type="dxa"/>
            <w:tcBorders>
              <w:top w:val="nil"/>
              <w:left w:val="nil"/>
              <w:bottom w:val="nil"/>
              <w:right w:val="nil"/>
            </w:tcBorders>
            <w:shd w:val="clear" w:color="auto" w:fill="auto"/>
            <w:noWrap/>
            <w:vAlign w:val="bottom"/>
            <w:hideMark/>
          </w:tcPr>
          <w:p w14:paraId="762D6C24"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 or None</w:t>
            </w:r>
          </w:p>
        </w:tc>
        <w:tc>
          <w:tcPr>
            <w:tcW w:w="2578" w:type="dxa"/>
            <w:tcBorders>
              <w:top w:val="nil"/>
              <w:left w:val="nil"/>
              <w:bottom w:val="nil"/>
              <w:right w:val="nil"/>
            </w:tcBorders>
            <w:shd w:val="clear" w:color="auto" w:fill="auto"/>
            <w:noWrap/>
            <w:vAlign w:val="bottom"/>
            <w:hideMark/>
          </w:tcPr>
          <w:p w14:paraId="10B469B8" w14:textId="4CBCB43C" w:rsidR="005A2E47" w:rsidRPr="005A2E47" w:rsidRDefault="005A2E47"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0.29</w:t>
            </w:r>
          </w:p>
        </w:tc>
      </w:tr>
      <w:tr w:rsidR="005A2E47" w:rsidRPr="005A2E47" w14:paraId="458FD934" w14:textId="77777777" w:rsidTr="005A2E47">
        <w:trPr>
          <w:trHeight w:val="260"/>
        </w:trPr>
        <w:tc>
          <w:tcPr>
            <w:tcW w:w="1526" w:type="dxa"/>
            <w:tcBorders>
              <w:top w:val="nil"/>
              <w:left w:val="nil"/>
              <w:bottom w:val="nil"/>
              <w:right w:val="nil"/>
            </w:tcBorders>
            <w:shd w:val="clear" w:color="auto" w:fill="auto"/>
            <w:noWrap/>
            <w:vAlign w:val="bottom"/>
            <w:hideMark/>
          </w:tcPr>
          <w:p w14:paraId="7F14E4C9"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5F99E210" w14:textId="77777777" w:rsidR="005A2E47" w:rsidRPr="005A2E47" w:rsidRDefault="005A2E47" w:rsidP="005A2E47">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2D826125" w14:textId="4D7CF842"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B53</w:t>
            </w:r>
          </w:p>
        </w:tc>
        <w:tc>
          <w:tcPr>
            <w:tcW w:w="2443" w:type="dxa"/>
            <w:tcBorders>
              <w:top w:val="nil"/>
              <w:left w:val="nil"/>
              <w:bottom w:val="nil"/>
              <w:right w:val="nil"/>
            </w:tcBorders>
            <w:shd w:val="clear" w:color="auto" w:fill="auto"/>
            <w:noWrap/>
            <w:vAlign w:val="bottom"/>
            <w:hideMark/>
          </w:tcPr>
          <w:p w14:paraId="7DD5A067"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Successful </w:t>
            </w:r>
          </w:p>
        </w:tc>
        <w:tc>
          <w:tcPr>
            <w:tcW w:w="2443" w:type="dxa"/>
            <w:tcBorders>
              <w:top w:val="nil"/>
              <w:left w:val="nil"/>
              <w:bottom w:val="nil"/>
              <w:right w:val="nil"/>
            </w:tcBorders>
            <w:shd w:val="clear" w:color="auto" w:fill="auto"/>
            <w:noWrap/>
            <w:vAlign w:val="bottom"/>
            <w:hideMark/>
          </w:tcPr>
          <w:p w14:paraId="07779911"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 or None</w:t>
            </w:r>
          </w:p>
        </w:tc>
        <w:tc>
          <w:tcPr>
            <w:tcW w:w="2578" w:type="dxa"/>
            <w:tcBorders>
              <w:top w:val="nil"/>
              <w:left w:val="nil"/>
              <w:bottom w:val="nil"/>
              <w:right w:val="nil"/>
            </w:tcBorders>
            <w:shd w:val="clear" w:color="auto" w:fill="auto"/>
            <w:noWrap/>
            <w:vAlign w:val="bottom"/>
            <w:hideMark/>
          </w:tcPr>
          <w:p w14:paraId="0108B1D0" w14:textId="104D4863" w:rsidR="005A2E47" w:rsidRPr="005A2E47" w:rsidRDefault="005A2E47"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0.53</w:t>
            </w:r>
          </w:p>
        </w:tc>
      </w:tr>
      <w:tr w:rsidR="005A2E47" w:rsidRPr="005A2E47" w14:paraId="0F9B5B04" w14:textId="77777777" w:rsidTr="005A2E47">
        <w:trPr>
          <w:trHeight w:val="260"/>
        </w:trPr>
        <w:tc>
          <w:tcPr>
            <w:tcW w:w="1526" w:type="dxa"/>
            <w:tcBorders>
              <w:top w:val="nil"/>
              <w:left w:val="nil"/>
              <w:bottom w:val="nil"/>
              <w:right w:val="nil"/>
            </w:tcBorders>
            <w:shd w:val="clear" w:color="auto" w:fill="auto"/>
            <w:noWrap/>
            <w:vAlign w:val="bottom"/>
            <w:hideMark/>
          </w:tcPr>
          <w:p w14:paraId="3A8C8040"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3B20E15B" w14:textId="77777777" w:rsidR="005A2E47" w:rsidRPr="005A2E47" w:rsidRDefault="005A2E47" w:rsidP="005A2E47">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77722C2F" w14:textId="72B0FBBF"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B50</w:t>
            </w:r>
          </w:p>
        </w:tc>
        <w:tc>
          <w:tcPr>
            <w:tcW w:w="2443" w:type="dxa"/>
            <w:tcBorders>
              <w:top w:val="nil"/>
              <w:left w:val="nil"/>
              <w:bottom w:val="nil"/>
              <w:right w:val="nil"/>
            </w:tcBorders>
            <w:shd w:val="clear" w:color="auto" w:fill="auto"/>
            <w:noWrap/>
            <w:vAlign w:val="bottom"/>
            <w:hideMark/>
          </w:tcPr>
          <w:p w14:paraId="7215F5E4"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Successful </w:t>
            </w:r>
          </w:p>
        </w:tc>
        <w:tc>
          <w:tcPr>
            <w:tcW w:w="2443" w:type="dxa"/>
            <w:tcBorders>
              <w:top w:val="nil"/>
              <w:left w:val="nil"/>
              <w:bottom w:val="nil"/>
              <w:right w:val="nil"/>
            </w:tcBorders>
            <w:shd w:val="clear" w:color="auto" w:fill="auto"/>
            <w:noWrap/>
            <w:vAlign w:val="bottom"/>
            <w:hideMark/>
          </w:tcPr>
          <w:p w14:paraId="4F871E8B"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 or None</w:t>
            </w:r>
          </w:p>
        </w:tc>
        <w:tc>
          <w:tcPr>
            <w:tcW w:w="2578" w:type="dxa"/>
            <w:tcBorders>
              <w:top w:val="nil"/>
              <w:left w:val="nil"/>
              <w:bottom w:val="nil"/>
              <w:right w:val="nil"/>
            </w:tcBorders>
            <w:shd w:val="clear" w:color="auto" w:fill="auto"/>
            <w:noWrap/>
            <w:vAlign w:val="bottom"/>
            <w:hideMark/>
          </w:tcPr>
          <w:p w14:paraId="0AF072B6" w14:textId="1C589897" w:rsidR="005A2E47" w:rsidRPr="005A2E47" w:rsidRDefault="005A2E47"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0.59</w:t>
            </w:r>
          </w:p>
        </w:tc>
      </w:tr>
      <w:tr w:rsidR="005A2E47" w:rsidRPr="005A2E47" w14:paraId="4E56D5DB" w14:textId="77777777" w:rsidTr="005A2E47">
        <w:trPr>
          <w:trHeight w:val="260"/>
        </w:trPr>
        <w:tc>
          <w:tcPr>
            <w:tcW w:w="1526" w:type="dxa"/>
            <w:tcBorders>
              <w:top w:val="nil"/>
              <w:left w:val="nil"/>
              <w:bottom w:val="nil"/>
              <w:right w:val="nil"/>
            </w:tcBorders>
            <w:shd w:val="clear" w:color="auto" w:fill="auto"/>
            <w:noWrap/>
            <w:vAlign w:val="bottom"/>
            <w:hideMark/>
          </w:tcPr>
          <w:p w14:paraId="55FF649F"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41C3FC22" w14:textId="77777777" w:rsidR="005A2E47" w:rsidRPr="005A2E47" w:rsidRDefault="005A2E47" w:rsidP="005A2E47">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16AC6C10" w14:textId="1D9F9C8A"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LRNC B510 (Engl B50)</w:t>
            </w:r>
          </w:p>
        </w:tc>
        <w:tc>
          <w:tcPr>
            <w:tcW w:w="2443" w:type="dxa"/>
            <w:tcBorders>
              <w:top w:val="nil"/>
              <w:left w:val="nil"/>
              <w:bottom w:val="nil"/>
              <w:right w:val="nil"/>
            </w:tcBorders>
            <w:shd w:val="clear" w:color="auto" w:fill="auto"/>
            <w:noWrap/>
            <w:vAlign w:val="bottom"/>
            <w:hideMark/>
          </w:tcPr>
          <w:p w14:paraId="6FBA4EC4"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Successful </w:t>
            </w:r>
          </w:p>
        </w:tc>
        <w:tc>
          <w:tcPr>
            <w:tcW w:w="2443" w:type="dxa"/>
            <w:tcBorders>
              <w:top w:val="nil"/>
              <w:left w:val="nil"/>
              <w:bottom w:val="nil"/>
              <w:right w:val="nil"/>
            </w:tcBorders>
            <w:shd w:val="clear" w:color="auto" w:fill="auto"/>
            <w:noWrap/>
            <w:vAlign w:val="bottom"/>
            <w:hideMark/>
          </w:tcPr>
          <w:p w14:paraId="596CB4CE"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 or None</w:t>
            </w:r>
          </w:p>
        </w:tc>
        <w:tc>
          <w:tcPr>
            <w:tcW w:w="2578" w:type="dxa"/>
            <w:tcBorders>
              <w:top w:val="nil"/>
              <w:left w:val="nil"/>
              <w:bottom w:val="nil"/>
              <w:right w:val="nil"/>
            </w:tcBorders>
            <w:shd w:val="clear" w:color="auto" w:fill="auto"/>
            <w:noWrap/>
            <w:vAlign w:val="bottom"/>
            <w:hideMark/>
          </w:tcPr>
          <w:p w14:paraId="3C845447" w14:textId="47456984" w:rsidR="005A2E47" w:rsidRPr="005A2E47" w:rsidRDefault="005A2E47"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0.71</w:t>
            </w:r>
          </w:p>
        </w:tc>
      </w:tr>
      <w:tr w:rsidR="0027590F" w:rsidRPr="005A2E47" w14:paraId="0DD7510F" w14:textId="77777777" w:rsidTr="005A2E47">
        <w:trPr>
          <w:trHeight w:val="260"/>
        </w:trPr>
        <w:tc>
          <w:tcPr>
            <w:tcW w:w="1526" w:type="dxa"/>
            <w:tcBorders>
              <w:top w:val="nil"/>
              <w:left w:val="nil"/>
              <w:bottom w:val="nil"/>
              <w:right w:val="nil"/>
            </w:tcBorders>
            <w:shd w:val="clear" w:color="auto" w:fill="auto"/>
            <w:noWrap/>
            <w:vAlign w:val="bottom"/>
            <w:hideMark/>
          </w:tcPr>
          <w:p w14:paraId="74570667"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499D8113"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3A6D7FDB"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15CED91E" w14:textId="77777777" w:rsidR="0027590F" w:rsidRPr="005A2E47" w:rsidRDefault="0027590F" w:rsidP="0027590F">
            <w:pPr>
              <w:spacing w:after="0" w:line="240" w:lineRule="auto"/>
              <w:jc w:val="right"/>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3B6BFE3C" w14:textId="77777777" w:rsidR="0027590F" w:rsidRPr="005A2E47" w:rsidRDefault="0027590F" w:rsidP="0027590F">
            <w:pPr>
              <w:spacing w:after="0" w:line="240" w:lineRule="auto"/>
              <w:jc w:val="right"/>
              <w:rPr>
                <w:rFonts w:ascii="Times New Roman" w:eastAsia="Times New Roman" w:hAnsi="Times New Roman" w:cs="Times New Roman"/>
                <w:sz w:val="20"/>
                <w:szCs w:val="20"/>
              </w:rPr>
            </w:pPr>
            <w:r w:rsidRPr="005A2E47">
              <w:rPr>
                <w:rFonts w:ascii="Times New Roman" w:eastAsia="Times New Roman" w:hAnsi="Times New Roman" w:cs="Times New Roman"/>
                <w:b/>
                <w:sz w:val="20"/>
                <w:szCs w:val="20"/>
              </w:rPr>
              <w:t>N</w:t>
            </w:r>
          </w:p>
        </w:tc>
        <w:tc>
          <w:tcPr>
            <w:tcW w:w="2578" w:type="dxa"/>
            <w:tcBorders>
              <w:top w:val="nil"/>
              <w:left w:val="nil"/>
              <w:bottom w:val="nil"/>
              <w:right w:val="nil"/>
            </w:tcBorders>
            <w:shd w:val="clear" w:color="auto" w:fill="auto"/>
            <w:noWrap/>
            <w:vAlign w:val="bottom"/>
            <w:hideMark/>
          </w:tcPr>
          <w:p w14:paraId="1229C097" w14:textId="44FB0E9A" w:rsidR="0027590F" w:rsidRPr="005A2E47" w:rsidRDefault="0027590F" w:rsidP="005A2E47">
            <w:pPr>
              <w:spacing w:after="0" w:line="240" w:lineRule="auto"/>
              <w:jc w:val="center"/>
              <w:rPr>
                <w:rFonts w:ascii="Times New Roman" w:eastAsia="Times New Roman" w:hAnsi="Times New Roman" w:cs="Times New Roman"/>
                <w:b/>
                <w:bCs/>
                <w:color w:val="000000"/>
                <w:sz w:val="20"/>
                <w:szCs w:val="20"/>
              </w:rPr>
            </w:pPr>
            <w:r w:rsidRPr="005A2E47">
              <w:rPr>
                <w:rFonts w:ascii="Times New Roman" w:eastAsia="Times New Roman" w:hAnsi="Times New Roman" w:cs="Times New Roman"/>
                <w:b/>
                <w:bCs/>
                <w:color w:val="000000"/>
                <w:sz w:val="20"/>
                <w:szCs w:val="20"/>
              </w:rPr>
              <w:t>1,</w:t>
            </w:r>
            <w:r w:rsidR="005A2E47" w:rsidRPr="005A2E47">
              <w:rPr>
                <w:rFonts w:ascii="Times New Roman" w:eastAsia="Times New Roman" w:hAnsi="Times New Roman" w:cs="Times New Roman"/>
                <w:b/>
                <w:bCs/>
                <w:color w:val="000000"/>
                <w:sz w:val="20"/>
                <w:szCs w:val="20"/>
              </w:rPr>
              <w:t>428</w:t>
            </w:r>
          </w:p>
        </w:tc>
      </w:tr>
      <w:tr w:rsidR="0027590F" w:rsidRPr="005A2E47" w14:paraId="21F72CF1" w14:textId="77777777" w:rsidTr="005A2E47">
        <w:trPr>
          <w:trHeight w:val="260"/>
        </w:trPr>
        <w:tc>
          <w:tcPr>
            <w:tcW w:w="1526" w:type="dxa"/>
            <w:tcBorders>
              <w:top w:val="nil"/>
              <w:left w:val="nil"/>
              <w:bottom w:val="nil"/>
              <w:right w:val="nil"/>
            </w:tcBorders>
            <w:shd w:val="clear" w:color="auto" w:fill="auto"/>
            <w:noWrap/>
            <w:vAlign w:val="bottom"/>
            <w:hideMark/>
          </w:tcPr>
          <w:p w14:paraId="184D664C" w14:textId="77777777" w:rsidR="0027590F" w:rsidRPr="005A2E47" w:rsidRDefault="0027590F" w:rsidP="0027590F">
            <w:pPr>
              <w:spacing w:after="0" w:line="240" w:lineRule="auto"/>
              <w:rPr>
                <w:rFonts w:ascii="Times New Roman" w:eastAsia="Times New Roman" w:hAnsi="Times New Roman" w:cs="Times New Roman"/>
                <w:b/>
                <w:bCs/>
                <w:color w:val="000000"/>
                <w:sz w:val="20"/>
                <w:szCs w:val="20"/>
              </w:rPr>
            </w:pPr>
          </w:p>
        </w:tc>
        <w:tc>
          <w:tcPr>
            <w:tcW w:w="1527" w:type="dxa"/>
            <w:tcBorders>
              <w:top w:val="nil"/>
              <w:left w:val="nil"/>
              <w:bottom w:val="nil"/>
              <w:right w:val="nil"/>
            </w:tcBorders>
            <w:shd w:val="clear" w:color="auto" w:fill="auto"/>
            <w:noWrap/>
            <w:vAlign w:val="bottom"/>
            <w:hideMark/>
          </w:tcPr>
          <w:p w14:paraId="6C5A2DC6"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5A9AFFA9"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074EE49E" w14:textId="77777777" w:rsidR="0027590F" w:rsidRPr="005A2E47" w:rsidRDefault="0027590F" w:rsidP="0027590F">
            <w:pPr>
              <w:spacing w:after="0" w:line="240" w:lineRule="auto"/>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78A53C4A" w14:textId="77777777" w:rsidR="0027590F" w:rsidRPr="005A2E47" w:rsidRDefault="0027590F" w:rsidP="0027590F">
            <w:pPr>
              <w:spacing w:after="0" w:line="240" w:lineRule="auto"/>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noWrap/>
            <w:vAlign w:val="bottom"/>
            <w:hideMark/>
          </w:tcPr>
          <w:p w14:paraId="7FEF63FF"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r>
      <w:tr w:rsidR="005A2E47" w:rsidRPr="005A2E47" w14:paraId="3653DB04" w14:textId="77777777" w:rsidTr="005A2E47">
        <w:trPr>
          <w:trHeight w:val="260"/>
        </w:trPr>
        <w:tc>
          <w:tcPr>
            <w:tcW w:w="1526" w:type="dxa"/>
            <w:tcBorders>
              <w:top w:val="nil"/>
              <w:left w:val="nil"/>
              <w:bottom w:val="nil"/>
              <w:right w:val="nil"/>
            </w:tcBorders>
            <w:shd w:val="clear" w:color="auto" w:fill="auto"/>
            <w:noWrap/>
            <w:vAlign w:val="bottom"/>
            <w:hideMark/>
          </w:tcPr>
          <w:p w14:paraId="2283E215" w14:textId="77777777" w:rsidR="005A2E47" w:rsidRPr="005A2E47" w:rsidRDefault="005A2E47" w:rsidP="005A2E47">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3</w:t>
            </w:r>
          </w:p>
        </w:tc>
        <w:tc>
          <w:tcPr>
            <w:tcW w:w="1527" w:type="dxa"/>
            <w:tcBorders>
              <w:top w:val="nil"/>
              <w:left w:val="nil"/>
              <w:bottom w:val="nil"/>
              <w:right w:val="nil"/>
            </w:tcBorders>
            <w:shd w:val="clear" w:color="auto" w:fill="auto"/>
            <w:noWrap/>
            <w:vAlign w:val="bottom"/>
            <w:hideMark/>
          </w:tcPr>
          <w:p w14:paraId="388512E0" w14:textId="096870DB" w:rsidR="005A2E47" w:rsidRPr="005A2E47" w:rsidRDefault="005A2E47" w:rsidP="005A2E47">
            <w:pPr>
              <w:spacing w:after="0" w:line="240" w:lineRule="auto"/>
              <w:jc w:val="center"/>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Any</w:t>
            </w:r>
          </w:p>
        </w:tc>
        <w:tc>
          <w:tcPr>
            <w:tcW w:w="2443" w:type="dxa"/>
            <w:tcBorders>
              <w:top w:val="nil"/>
              <w:left w:val="nil"/>
              <w:bottom w:val="nil"/>
              <w:right w:val="nil"/>
            </w:tcBorders>
            <w:shd w:val="clear" w:color="auto" w:fill="auto"/>
            <w:noWrap/>
            <w:vAlign w:val="bottom"/>
            <w:hideMark/>
          </w:tcPr>
          <w:p w14:paraId="6431EDA5" w14:textId="01CB5B1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B60</w:t>
            </w:r>
          </w:p>
        </w:tc>
        <w:tc>
          <w:tcPr>
            <w:tcW w:w="2443" w:type="dxa"/>
            <w:tcBorders>
              <w:top w:val="nil"/>
              <w:left w:val="nil"/>
              <w:bottom w:val="nil"/>
              <w:right w:val="nil"/>
            </w:tcBorders>
            <w:shd w:val="clear" w:color="auto" w:fill="auto"/>
            <w:noWrap/>
            <w:vAlign w:val="bottom"/>
            <w:hideMark/>
          </w:tcPr>
          <w:p w14:paraId="6A76BDB6"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Successful </w:t>
            </w:r>
          </w:p>
        </w:tc>
        <w:tc>
          <w:tcPr>
            <w:tcW w:w="2443" w:type="dxa"/>
            <w:tcBorders>
              <w:top w:val="nil"/>
              <w:left w:val="nil"/>
              <w:bottom w:val="nil"/>
              <w:right w:val="nil"/>
            </w:tcBorders>
            <w:shd w:val="clear" w:color="auto" w:fill="auto"/>
            <w:noWrap/>
            <w:vAlign w:val="bottom"/>
            <w:hideMark/>
          </w:tcPr>
          <w:p w14:paraId="6858E919" w14:textId="486F58B4"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B50</w:t>
            </w:r>
          </w:p>
        </w:tc>
        <w:tc>
          <w:tcPr>
            <w:tcW w:w="2578" w:type="dxa"/>
            <w:tcBorders>
              <w:top w:val="nil"/>
              <w:left w:val="nil"/>
              <w:bottom w:val="nil"/>
              <w:right w:val="nil"/>
            </w:tcBorders>
            <w:shd w:val="clear" w:color="auto" w:fill="auto"/>
            <w:noWrap/>
            <w:vAlign w:val="bottom"/>
            <w:hideMark/>
          </w:tcPr>
          <w:p w14:paraId="53B1A955" w14:textId="0CC665FF" w:rsidR="005A2E47" w:rsidRPr="005A2E47" w:rsidRDefault="005A2E47"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0.34</w:t>
            </w:r>
          </w:p>
        </w:tc>
      </w:tr>
      <w:tr w:rsidR="005A2E47" w:rsidRPr="005A2E47" w14:paraId="177906F4" w14:textId="77777777" w:rsidTr="005A2E47">
        <w:trPr>
          <w:trHeight w:val="260"/>
        </w:trPr>
        <w:tc>
          <w:tcPr>
            <w:tcW w:w="1526" w:type="dxa"/>
            <w:tcBorders>
              <w:top w:val="nil"/>
              <w:left w:val="nil"/>
              <w:bottom w:val="nil"/>
              <w:right w:val="nil"/>
            </w:tcBorders>
            <w:shd w:val="clear" w:color="auto" w:fill="auto"/>
            <w:noWrap/>
            <w:vAlign w:val="bottom"/>
            <w:hideMark/>
          </w:tcPr>
          <w:p w14:paraId="4A060AAF"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64D4BA6E" w14:textId="77777777" w:rsidR="005A2E47" w:rsidRPr="005A2E47" w:rsidRDefault="005A2E47" w:rsidP="005A2E47">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50010C84" w14:textId="46C33125"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B53</w:t>
            </w:r>
          </w:p>
        </w:tc>
        <w:tc>
          <w:tcPr>
            <w:tcW w:w="2443" w:type="dxa"/>
            <w:tcBorders>
              <w:top w:val="nil"/>
              <w:left w:val="nil"/>
              <w:bottom w:val="nil"/>
              <w:right w:val="nil"/>
            </w:tcBorders>
            <w:shd w:val="clear" w:color="auto" w:fill="auto"/>
            <w:noWrap/>
            <w:vAlign w:val="bottom"/>
            <w:hideMark/>
          </w:tcPr>
          <w:p w14:paraId="5349F5C6"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Successful </w:t>
            </w:r>
          </w:p>
        </w:tc>
        <w:tc>
          <w:tcPr>
            <w:tcW w:w="2443" w:type="dxa"/>
            <w:tcBorders>
              <w:top w:val="nil"/>
              <w:left w:val="nil"/>
              <w:bottom w:val="nil"/>
              <w:right w:val="nil"/>
            </w:tcBorders>
            <w:shd w:val="clear" w:color="auto" w:fill="auto"/>
            <w:noWrap/>
            <w:vAlign w:val="bottom"/>
            <w:hideMark/>
          </w:tcPr>
          <w:p w14:paraId="57669441" w14:textId="070923EB"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B1A</w:t>
            </w:r>
          </w:p>
        </w:tc>
        <w:tc>
          <w:tcPr>
            <w:tcW w:w="2578" w:type="dxa"/>
            <w:tcBorders>
              <w:top w:val="nil"/>
              <w:left w:val="nil"/>
              <w:bottom w:val="nil"/>
              <w:right w:val="nil"/>
            </w:tcBorders>
            <w:shd w:val="clear" w:color="auto" w:fill="auto"/>
            <w:noWrap/>
            <w:vAlign w:val="bottom"/>
            <w:hideMark/>
          </w:tcPr>
          <w:p w14:paraId="165142DF" w14:textId="67299320" w:rsidR="005A2E47" w:rsidRPr="005A2E47" w:rsidRDefault="005A2E47"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0.61</w:t>
            </w:r>
          </w:p>
        </w:tc>
      </w:tr>
      <w:tr w:rsidR="005A2E47" w:rsidRPr="005A2E47" w14:paraId="7DF6FF89" w14:textId="77777777" w:rsidTr="005A2E47">
        <w:trPr>
          <w:trHeight w:val="260"/>
        </w:trPr>
        <w:tc>
          <w:tcPr>
            <w:tcW w:w="1526" w:type="dxa"/>
            <w:tcBorders>
              <w:top w:val="nil"/>
              <w:left w:val="nil"/>
              <w:bottom w:val="nil"/>
              <w:right w:val="nil"/>
            </w:tcBorders>
            <w:shd w:val="clear" w:color="auto" w:fill="auto"/>
            <w:noWrap/>
            <w:vAlign w:val="bottom"/>
            <w:hideMark/>
          </w:tcPr>
          <w:p w14:paraId="190C708C" w14:textId="77777777" w:rsidR="005A2E47" w:rsidRPr="005A2E47" w:rsidRDefault="005A2E47" w:rsidP="005A2E47">
            <w:pPr>
              <w:spacing w:after="0" w:line="240" w:lineRule="auto"/>
              <w:jc w:val="center"/>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0D465D4A" w14:textId="77777777" w:rsidR="005A2E47" w:rsidRPr="005A2E47" w:rsidRDefault="005A2E47" w:rsidP="005A2E47">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5F759CB9" w14:textId="675AACFF"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B50</w:t>
            </w:r>
          </w:p>
        </w:tc>
        <w:tc>
          <w:tcPr>
            <w:tcW w:w="2443" w:type="dxa"/>
            <w:tcBorders>
              <w:top w:val="nil"/>
              <w:left w:val="nil"/>
              <w:bottom w:val="nil"/>
              <w:right w:val="nil"/>
            </w:tcBorders>
            <w:shd w:val="clear" w:color="auto" w:fill="auto"/>
            <w:noWrap/>
            <w:vAlign w:val="bottom"/>
            <w:hideMark/>
          </w:tcPr>
          <w:p w14:paraId="3E0A51EE"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Successful </w:t>
            </w:r>
          </w:p>
        </w:tc>
        <w:tc>
          <w:tcPr>
            <w:tcW w:w="2443" w:type="dxa"/>
            <w:tcBorders>
              <w:top w:val="nil"/>
              <w:left w:val="nil"/>
              <w:bottom w:val="nil"/>
              <w:right w:val="nil"/>
            </w:tcBorders>
            <w:shd w:val="clear" w:color="auto" w:fill="auto"/>
            <w:noWrap/>
            <w:vAlign w:val="bottom"/>
            <w:hideMark/>
          </w:tcPr>
          <w:p w14:paraId="2CF5E071" w14:textId="56C042C9"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Engl B1A</w:t>
            </w:r>
          </w:p>
        </w:tc>
        <w:tc>
          <w:tcPr>
            <w:tcW w:w="2578" w:type="dxa"/>
            <w:tcBorders>
              <w:top w:val="nil"/>
              <w:left w:val="nil"/>
              <w:bottom w:val="nil"/>
              <w:right w:val="nil"/>
            </w:tcBorders>
            <w:shd w:val="clear" w:color="auto" w:fill="auto"/>
            <w:noWrap/>
            <w:vAlign w:val="bottom"/>
            <w:hideMark/>
          </w:tcPr>
          <w:p w14:paraId="53A4C9EE" w14:textId="7297A4B2" w:rsidR="005A2E47" w:rsidRPr="005A2E47" w:rsidRDefault="005A2E47"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0.71</w:t>
            </w:r>
          </w:p>
        </w:tc>
      </w:tr>
      <w:tr w:rsidR="005A2E47" w:rsidRPr="005A2E47" w14:paraId="378A52CE" w14:textId="77777777" w:rsidTr="005A2E47">
        <w:trPr>
          <w:trHeight w:val="260"/>
        </w:trPr>
        <w:tc>
          <w:tcPr>
            <w:tcW w:w="1526" w:type="dxa"/>
            <w:tcBorders>
              <w:top w:val="nil"/>
              <w:left w:val="nil"/>
              <w:bottom w:val="nil"/>
              <w:right w:val="nil"/>
            </w:tcBorders>
            <w:shd w:val="clear" w:color="auto" w:fill="auto"/>
            <w:noWrap/>
            <w:vAlign w:val="bottom"/>
            <w:hideMark/>
          </w:tcPr>
          <w:p w14:paraId="07B6177F" w14:textId="77777777" w:rsidR="005A2E47" w:rsidRPr="005A2E47" w:rsidRDefault="005A2E47" w:rsidP="005A2E47">
            <w:pPr>
              <w:spacing w:after="0" w:line="240" w:lineRule="auto"/>
              <w:jc w:val="center"/>
              <w:rPr>
                <w:rFonts w:ascii="Times New Roman" w:eastAsia="Times New Roman" w:hAnsi="Times New Roman" w:cs="Times New Roman"/>
                <w:color w:val="000000"/>
                <w:sz w:val="20"/>
                <w:szCs w:val="20"/>
              </w:rPr>
            </w:pPr>
          </w:p>
        </w:tc>
        <w:tc>
          <w:tcPr>
            <w:tcW w:w="1527" w:type="dxa"/>
            <w:tcBorders>
              <w:top w:val="nil"/>
              <w:left w:val="nil"/>
              <w:bottom w:val="nil"/>
              <w:right w:val="nil"/>
            </w:tcBorders>
            <w:shd w:val="clear" w:color="auto" w:fill="auto"/>
            <w:noWrap/>
            <w:vAlign w:val="bottom"/>
            <w:hideMark/>
          </w:tcPr>
          <w:p w14:paraId="6FB005D3" w14:textId="77777777" w:rsidR="005A2E47" w:rsidRPr="005A2E47" w:rsidRDefault="005A2E47" w:rsidP="005A2E47">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4EDC73AD" w14:textId="7E4F9DEF"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LRNC B510 (Engl B50)</w:t>
            </w:r>
          </w:p>
        </w:tc>
        <w:tc>
          <w:tcPr>
            <w:tcW w:w="2443" w:type="dxa"/>
            <w:tcBorders>
              <w:top w:val="nil"/>
              <w:left w:val="nil"/>
              <w:bottom w:val="nil"/>
              <w:right w:val="nil"/>
            </w:tcBorders>
            <w:shd w:val="clear" w:color="auto" w:fill="auto"/>
            <w:noWrap/>
            <w:vAlign w:val="bottom"/>
            <w:hideMark/>
          </w:tcPr>
          <w:p w14:paraId="7A4E8FC8" w14:textId="77777777" w:rsidR="005A2E47" w:rsidRPr="005A2E47" w:rsidRDefault="005A2E47" w:rsidP="005A2E47">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Successful </w:t>
            </w:r>
          </w:p>
        </w:tc>
        <w:tc>
          <w:tcPr>
            <w:tcW w:w="2443" w:type="dxa"/>
            <w:tcBorders>
              <w:top w:val="nil"/>
              <w:left w:val="nil"/>
              <w:bottom w:val="nil"/>
              <w:right w:val="nil"/>
            </w:tcBorders>
            <w:shd w:val="clear" w:color="auto" w:fill="auto"/>
            <w:noWrap/>
            <w:vAlign w:val="bottom"/>
            <w:hideMark/>
          </w:tcPr>
          <w:p w14:paraId="32EEE6FD" w14:textId="2F8B7D09" w:rsidR="005A2E47" w:rsidRPr="005A2E47" w:rsidRDefault="005A2E47" w:rsidP="0072729B">
            <w:pPr>
              <w:spacing w:after="0" w:line="240" w:lineRule="auto"/>
              <w:jc w:val="right"/>
              <w:rPr>
                <w:rFonts w:ascii="Times New Roman" w:eastAsia="Times New Roman" w:hAnsi="Times New Roman" w:cs="Times New Roman"/>
                <w:color w:val="000000"/>
                <w:sz w:val="20"/>
                <w:szCs w:val="20"/>
              </w:rPr>
            </w:pPr>
            <w:r w:rsidRPr="005A2E47">
              <w:rPr>
                <w:rFonts w:ascii="Times New Roman" w:eastAsia="Times New Roman" w:hAnsi="Times New Roman" w:cs="Times New Roman"/>
                <w:color w:val="000000"/>
                <w:sz w:val="20"/>
                <w:szCs w:val="20"/>
              </w:rPr>
              <w:t xml:space="preserve">LRNC </w:t>
            </w:r>
            <w:r w:rsidR="00AB4C13">
              <w:rPr>
                <w:rFonts w:ascii="Times New Roman" w:eastAsia="Times New Roman" w:hAnsi="Times New Roman" w:cs="Times New Roman"/>
                <w:color w:val="000000"/>
                <w:sz w:val="20"/>
                <w:szCs w:val="20"/>
              </w:rPr>
              <w:t>510</w:t>
            </w:r>
            <w:r w:rsidR="00AB4C13" w:rsidRPr="005A2E47">
              <w:rPr>
                <w:rFonts w:ascii="Times New Roman" w:eastAsia="Times New Roman" w:hAnsi="Times New Roman" w:cs="Times New Roman"/>
                <w:color w:val="000000"/>
                <w:sz w:val="20"/>
                <w:szCs w:val="20"/>
              </w:rPr>
              <w:t xml:space="preserve"> </w:t>
            </w:r>
            <w:r w:rsidRPr="005A2E47">
              <w:rPr>
                <w:rFonts w:ascii="Times New Roman" w:eastAsia="Times New Roman" w:hAnsi="Times New Roman" w:cs="Times New Roman"/>
                <w:color w:val="000000"/>
                <w:sz w:val="20"/>
                <w:szCs w:val="20"/>
              </w:rPr>
              <w:t>(Engl B1A)</w:t>
            </w:r>
          </w:p>
        </w:tc>
        <w:tc>
          <w:tcPr>
            <w:tcW w:w="2578" w:type="dxa"/>
            <w:tcBorders>
              <w:top w:val="nil"/>
              <w:left w:val="nil"/>
              <w:bottom w:val="nil"/>
              <w:right w:val="nil"/>
            </w:tcBorders>
            <w:shd w:val="clear" w:color="auto" w:fill="auto"/>
            <w:noWrap/>
            <w:vAlign w:val="bottom"/>
            <w:hideMark/>
          </w:tcPr>
          <w:p w14:paraId="7CD60574" w14:textId="2158239B" w:rsidR="005A2E47" w:rsidRPr="005A2E47" w:rsidRDefault="005A2E47" w:rsidP="005A2E47">
            <w:pPr>
              <w:tabs>
                <w:tab w:val="decimal" w:pos="1113"/>
              </w:tabs>
              <w:spacing w:after="0" w:line="240" w:lineRule="auto"/>
              <w:rPr>
                <w:rFonts w:ascii="Times New Roman" w:eastAsia="Times New Roman" w:hAnsi="Times New Roman" w:cs="Times New Roman"/>
                <w:color w:val="000000"/>
                <w:sz w:val="20"/>
                <w:szCs w:val="20"/>
              </w:rPr>
            </w:pPr>
            <w:r w:rsidRPr="005A2E47">
              <w:rPr>
                <w:rFonts w:ascii="Times New Roman" w:hAnsi="Times New Roman" w:cs="Times New Roman"/>
                <w:color w:val="000000"/>
                <w:sz w:val="20"/>
                <w:szCs w:val="20"/>
              </w:rPr>
              <w:t>0.70</w:t>
            </w:r>
          </w:p>
        </w:tc>
      </w:tr>
      <w:tr w:rsidR="0027590F" w:rsidRPr="005A2E47" w14:paraId="431950C2" w14:textId="77777777" w:rsidTr="005A2E47">
        <w:trPr>
          <w:trHeight w:val="260"/>
        </w:trPr>
        <w:tc>
          <w:tcPr>
            <w:tcW w:w="1526" w:type="dxa"/>
            <w:tcBorders>
              <w:top w:val="nil"/>
              <w:left w:val="nil"/>
              <w:right w:val="nil"/>
            </w:tcBorders>
            <w:shd w:val="clear" w:color="auto" w:fill="auto"/>
            <w:noWrap/>
            <w:vAlign w:val="bottom"/>
            <w:hideMark/>
          </w:tcPr>
          <w:p w14:paraId="5CA3CB35" w14:textId="77777777" w:rsidR="0027590F" w:rsidRPr="005A2E47" w:rsidRDefault="0027590F" w:rsidP="0027590F">
            <w:pPr>
              <w:spacing w:after="0" w:line="240" w:lineRule="auto"/>
              <w:jc w:val="right"/>
              <w:rPr>
                <w:rFonts w:ascii="Times New Roman" w:eastAsia="Times New Roman" w:hAnsi="Times New Roman" w:cs="Times New Roman"/>
                <w:color w:val="000000"/>
                <w:sz w:val="20"/>
                <w:szCs w:val="20"/>
              </w:rPr>
            </w:pPr>
          </w:p>
        </w:tc>
        <w:tc>
          <w:tcPr>
            <w:tcW w:w="1527" w:type="dxa"/>
            <w:tcBorders>
              <w:top w:val="nil"/>
              <w:left w:val="nil"/>
              <w:right w:val="nil"/>
            </w:tcBorders>
            <w:shd w:val="clear" w:color="auto" w:fill="auto"/>
            <w:noWrap/>
            <w:vAlign w:val="bottom"/>
            <w:hideMark/>
          </w:tcPr>
          <w:p w14:paraId="12B78AB2"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right w:val="nil"/>
            </w:tcBorders>
            <w:shd w:val="clear" w:color="auto" w:fill="auto"/>
            <w:noWrap/>
            <w:vAlign w:val="bottom"/>
            <w:hideMark/>
          </w:tcPr>
          <w:p w14:paraId="26508B5C"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right w:val="nil"/>
            </w:tcBorders>
            <w:shd w:val="clear" w:color="auto" w:fill="auto"/>
            <w:noWrap/>
            <w:vAlign w:val="bottom"/>
            <w:hideMark/>
          </w:tcPr>
          <w:p w14:paraId="7AFF00D7" w14:textId="77777777" w:rsidR="0027590F" w:rsidRPr="005A2E47" w:rsidRDefault="0027590F" w:rsidP="0027590F">
            <w:pPr>
              <w:spacing w:after="0" w:line="240" w:lineRule="auto"/>
              <w:jc w:val="right"/>
              <w:rPr>
                <w:rFonts w:ascii="Times New Roman" w:eastAsia="Times New Roman" w:hAnsi="Times New Roman" w:cs="Times New Roman"/>
                <w:sz w:val="20"/>
                <w:szCs w:val="20"/>
              </w:rPr>
            </w:pPr>
          </w:p>
        </w:tc>
        <w:tc>
          <w:tcPr>
            <w:tcW w:w="2443" w:type="dxa"/>
            <w:tcBorders>
              <w:top w:val="nil"/>
              <w:left w:val="nil"/>
              <w:right w:val="nil"/>
            </w:tcBorders>
            <w:shd w:val="clear" w:color="auto" w:fill="auto"/>
            <w:noWrap/>
            <w:vAlign w:val="bottom"/>
            <w:hideMark/>
          </w:tcPr>
          <w:p w14:paraId="23D02FB1" w14:textId="77777777" w:rsidR="0027590F" w:rsidRPr="005A2E47" w:rsidRDefault="0027590F" w:rsidP="0027590F">
            <w:pPr>
              <w:spacing w:after="0" w:line="240" w:lineRule="auto"/>
              <w:jc w:val="right"/>
              <w:rPr>
                <w:rFonts w:ascii="Times New Roman" w:eastAsia="Times New Roman" w:hAnsi="Times New Roman" w:cs="Times New Roman"/>
                <w:sz w:val="20"/>
                <w:szCs w:val="20"/>
              </w:rPr>
            </w:pPr>
            <w:r w:rsidRPr="005A2E47">
              <w:rPr>
                <w:rFonts w:ascii="Times New Roman" w:eastAsia="Times New Roman" w:hAnsi="Times New Roman" w:cs="Times New Roman"/>
                <w:b/>
                <w:sz w:val="20"/>
                <w:szCs w:val="20"/>
              </w:rPr>
              <w:t>N</w:t>
            </w:r>
          </w:p>
        </w:tc>
        <w:tc>
          <w:tcPr>
            <w:tcW w:w="2578" w:type="dxa"/>
            <w:tcBorders>
              <w:top w:val="nil"/>
              <w:left w:val="nil"/>
              <w:right w:val="nil"/>
            </w:tcBorders>
            <w:shd w:val="clear" w:color="auto" w:fill="auto"/>
            <w:noWrap/>
            <w:vAlign w:val="bottom"/>
            <w:hideMark/>
          </w:tcPr>
          <w:p w14:paraId="3232847A" w14:textId="3829535B" w:rsidR="0027590F" w:rsidRPr="005A2E47" w:rsidRDefault="005A2E47" w:rsidP="0027590F">
            <w:pPr>
              <w:spacing w:after="0" w:line="240" w:lineRule="auto"/>
              <w:jc w:val="center"/>
              <w:rPr>
                <w:rFonts w:ascii="Times New Roman" w:eastAsia="Times New Roman" w:hAnsi="Times New Roman" w:cs="Times New Roman"/>
                <w:b/>
                <w:bCs/>
                <w:color w:val="000000"/>
                <w:sz w:val="20"/>
                <w:szCs w:val="20"/>
              </w:rPr>
            </w:pPr>
            <w:r w:rsidRPr="005A2E47">
              <w:rPr>
                <w:rFonts w:ascii="Times New Roman" w:eastAsia="Times New Roman" w:hAnsi="Times New Roman" w:cs="Times New Roman"/>
                <w:b/>
                <w:bCs/>
                <w:color w:val="000000"/>
                <w:sz w:val="20"/>
                <w:szCs w:val="20"/>
              </w:rPr>
              <w:t>1,150</w:t>
            </w:r>
          </w:p>
        </w:tc>
      </w:tr>
      <w:tr w:rsidR="0027590F" w:rsidRPr="005A2E47" w14:paraId="3CDC34F7" w14:textId="77777777" w:rsidTr="005A2E47">
        <w:trPr>
          <w:trHeight w:val="260"/>
        </w:trPr>
        <w:tc>
          <w:tcPr>
            <w:tcW w:w="1526" w:type="dxa"/>
            <w:tcBorders>
              <w:top w:val="nil"/>
              <w:left w:val="nil"/>
              <w:bottom w:val="single" w:sz="4" w:space="0" w:color="auto"/>
              <w:right w:val="nil"/>
            </w:tcBorders>
            <w:shd w:val="clear" w:color="auto" w:fill="auto"/>
            <w:noWrap/>
            <w:vAlign w:val="bottom"/>
            <w:hideMark/>
          </w:tcPr>
          <w:p w14:paraId="3D3C0BE7" w14:textId="77777777" w:rsidR="0027590F" w:rsidRPr="005A2E47" w:rsidRDefault="0027590F" w:rsidP="0027590F">
            <w:pPr>
              <w:spacing w:after="0" w:line="240" w:lineRule="auto"/>
              <w:jc w:val="right"/>
              <w:rPr>
                <w:rFonts w:ascii="Times New Roman" w:eastAsia="Times New Roman" w:hAnsi="Times New Roman" w:cs="Times New Roman"/>
                <w:b/>
                <w:bCs/>
                <w:color w:val="000000"/>
                <w:sz w:val="20"/>
                <w:szCs w:val="20"/>
              </w:rPr>
            </w:pPr>
          </w:p>
        </w:tc>
        <w:tc>
          <w:tcPr>
            <w:tcW w:w="1527" w:type="dxa"/>
            <w:tcBorders>
              <w:top w:val="nil"/>
              <w:left w:val="nil"/>
              <w:bottom w:val="single" w:sz="4" w:space="0" w:color="auto"/>
              <w:right w:val="nil"/>
            </w:tcBorders>
            <w:shd w:val="clear" w:color="auto" w:fill="auto"/>
            <w:noWrap/>
            <w:vAlign w:val="bottom"/>
            <w:hideMark/>
          </w:tcPr>
          <w:p w14:paraId="43A16633"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single" w:sz="4" w:space="0" w:color="auto"/>
              <w:right w:val="nil"/>
            </w:tcBorders>
            <w:shd w:val="clear" w:color="auto" w:fill="auto"/>
            <w:noWrap/>
            <w:vAlign w:val="bottom"/>
            <w:hideMark/>
          </w:tcPr>
          <w:p w14:paraId="21DA7EBB" w14:textId="77777777" w:rsidR="0027590F" w:rsidRPr="005A2E47" w:rsidRDefault="0027590F" w:rsidP="0027590F">
            <w:pPr>
              <w:spacing w:after="0" w:line="240" w:lineRule="auto"/>
              <w:jc w:val="center"/>
              <w:rPr>
                <w:rFonts w:ascii="Times New Roman" w:eastAsia="Times New Roman" w:hAnsi="Times New Roman" w:cs="Times New Roman"/>
                <w:sz w:val="20"/>
                <w:szCs w:val="20"/>
              </w:rPr>
            </w:pPr>
          </w:p>
        </w:tc>
        <w:tc>
          <w:tcPr>
            <w:tcW w:w="2443" w:type="dxa"/>
            <w:tcBorders>
              <w:top w:val="nil"/>
              <w:left w:val="nil"/>
              <w:bottom w:val="single" w:sz="4" w:space="0" w:color="auto"/>
              <w:right w:val="nil"/>
            </w:tcBorders>
            <w:shd w:val="clear" w:color="auto" w:fill="auto"/>
            <w:noWrap/>
            <w:vAlign w:val="bottom"/>
            <w:hideMark/>
          </w:tcPr>
          <w:p w14:paraId="563C9B5B" w14:textId="77777777" w:rsidR="0027590F" w:rsidRPr="005A2E47" w:rsidRDefault="0027590F" w:rsidP="0027590F">
            <w:pPr>
              <w:spacing w:after="0" w:line="240" w:lineRule="auto"/>
              <w:rPr>
                <w:rFonts w:ascii="Times New Roman" w:eastAsia="Times New Roman" w:hAnsi="Times New Roman" w:cs="Times New Roman"/>
                <w:sz w:val="20"/>
                <w:szCs w:val="20"/>
              </w:rPr>
            </w:pPr>
          </w:p>
        </w:tc>
        <w:tc>
          <w:tcPr>
            <w:tcW w:w="2443" w:type="dxa"/>
            <w:tcBorders>
              <w:top w:val="nil"/>
              <w:left w:val="nil"/>
              <w:bottom w:val="single" w:sz="4" w:space="0" w:color="auto"/>
              <w:right w:val="nil"/>
            </w:tcBorders>
            <w:shd w:val="clear" w:color="auto" w:fill="auto"/>
            <w:noWrap/>
            <w:vAlign w:val="bottom"/>
            <w:hideMark/>
          </w:tcPr>
          <w:p w14:paraId="6E20E093" w14:textId="77777777" w:rsidR="0027590F" w:rsidRPr="005A2E47" w:rsidRDefault="0027590F" w:rsidP="0027590F">
            <w:pPr>
              <w:spacing w:after="0" w:line="240" w:lineRule="auto"/>
              <w:rPr>
                <w:rFonts w:ascii="Times New Roman" w:eastAsia="Times New Roman" w:hAnsi="Times New Roman" w:cs="Times New Roman"/>
                <w:sz w:val="20"/>
                <w:szCs w:val="20"/>
              </w:rPr>
            </w:pPr>
          </w:p>
        </w:tc>
        <w:tc>
          <w:tcPr>
            <w:tcW w:w="2578" w:type="dxa"/>
            <w:tcBorders>
              <w:top w:val="nil"/>
              <w:left w:val="nil"/>
              <w:bottom w:val="single" w:sz="4" w:space="0" w:color="auto"/>
              <w:right w:val="nil"/>
            </w:tcBorders>
            <w:shd w:val="clear" w:color="auto" w:fill="auto"/>
            <w:noWrap/>
            <w:vAlign w:val="bottom"/>
            <w:hideMark/>
          </w:tcPr>
          <w:p w14:paraId="06A19C70" w14:textId="77777777" w:rsidR="0027590F" w:rsidRPr="005A2E47" w:rsidRDefault="0027590F" w:rsidP="0027590F">
            <w:pPr>
              <w:spacing w:after="0" w:line="240" w:lineRule="auto"/>
              <w:rPr>
                <w:rFonts w:ascii="Times New Roman" w:eastAsia="Times New Roman" w:hAnsi="Times New Roman" w:cs="Times New Roman"/>
                <w:sz w:val="20"/>
                <w:szCs w:val="20"/>
              </w:rPr>
            </w:pPr>
          </w:p>
        </w:tc>
      </w:tr>
    </w:tbl>
    <w:p w14:paraId="12CF7E5A" w14:textId="240B12E1" w:rsidR="00655DAE" w:rsidRDefault="00655DAE" w:rsidP="0072729B">
      <w:pPr>
        <w:spacing w:after="0" w:line="240" w:lineRule="auto"/>
        <w:rPr>
          <w:rFonts w:ascii="Times New Roman" w:hAnsi="Times New Roman" w:cs="Times New Roman"/>
          <w:sz w:val="24"/>
          <w:szCs w:val="24"/>
        </w:rPr>
      </w:pPr>
    </w:p>
    <w:p w14:paraId="57F4F89A" w14:textId="77777777" w:rsidR="006D2D9A" w:rsidRDefault="006D2D9A" w:rsidP="0072729B">
      <w:pPr>
        <w:spacing w:after="0" w:line="240" w:lineRule="auto"/>
        <w:rPr>
          <w:rFonts w:ascii="Times New Roman" w:hAnsi="Times New Roman" w:cs="Times New Roman"/>
          <w:sz w:val="24"/>
          <w:szCs w:val="24"/>
        </w:rPr>
      </w:pPr>
    </w:p>
    <w:p w14:paraId="6BF21990" w14:textId="77777777" w:rsidR="006D2D9A" w:rsidRDefault="006D2D9A" w:rsidP="0072729B">
      <w:pPr>
        <w:spacing w:after="0" w:line="240" w:lineRule="auto"/>
        <w:rPr>
          <w:rFonts w:ascii="Times New Roman" w:hAnsi="Times New Roman" w:cs="Times New Roman"/>
          <w:sz w:val="24"/>
          <w:szCs w:val="24"/>
        </w:rPr>
      </w:pPr>
    </w:p>
    <w:p w14:paraId="41CB9F8D" w14:textId="3BB4AFFA" w:rsidR="006D2D9A" w:rsidRDefault="006D2D9A" w:rsidP="0072729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0ADF473" w14:textId="61378500" w:rsidR="000E0BC8" w:rsidRDefault="000E0BC8" w:rsidP="007272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15: </w:t>
      </w:r>
      <w:r w:rsidR="006C421B">
        <w:rPr>
          <w:rFonts w:ascii="Times New Roman" w:hAnsi="Times New Roman" w:cs="Times New Roman"/>
          <w:sz w:val="24"/>
          <w:szCs w:val="24"/>
        </w:rPr>
        <w:t>Cross-tabulation</w:t>
      </w:r>
      <w:r>
        <w:rPr>
          <w:rFonts w:ascii="Times New Roman" w:hAnsi="Times New Roman" w:cs="Times New Roman"/>
          <w:sz w:val="24"/>
          <w:szCs w:val="24"/>
        </w:rPr>
        <w:t xml:space="preserve"> of cumulative high school GPA by first quantitative course</w:t>
      </w:r>
    </w:p>
    <w:p w14:paraId="1953E8D7" w14:textId="77777777" w:rsidR="000E0BC8" w:rsidRDefault="000E0BC8" w:rsidP="0072729B">
      <w:pPr>
        <w:spacing w:after="0" w:line="240" w:lineRule="auto"/>
        <w:rPr>
          <w:rFonts w:ascii="Times New Roman" w:hAnsi="Times New Roman" w:cs="Times New Roman"/>
          <w:sz w:val="24"/>
          <w:szCs w:val="24"/>
        </w:rPr>
      </w:pPr>
    </w:p>
    <w:tbl>
      <w:tblPr>
        <w:tblW w:w="10800" w:type="dxa"/>
        <w:tblLook w:val="04A0" w:firstRow="1" w:lastRow="0" w:firstColumn="1" w:lastColumn="0" w:noHBand="0" w:noVBand="1"/>
      </w:tblPr>
      <w:tblGrid>
        <w:gridCol w:w="2160"/>
        <w:gridCol w:w="2160"/>
        <w:gridCol w:w="2160"/>
        <w:gridCol w:w="2160"/>
        <w:gridCol w:w="2160"/>
      </w:tblGrid>
      <w:tr w:rsidR="00A1035D" w:rsidRPr="0072729B" w14:paraId="2E24918C" w14:textId="77777777" w:rsidTr="0072729B">
        <w:trPr>
          <w:trHeight w:val="300"/>
        </w:trPr>
        <w:tc>
          <w:tcPr>
            <w:tcW w:w="2160" w:type="dxa"/>
            <w:tcBorders>
              <w:top w:val="single" w:sz="4" w:space="0" w:color="auto"/>
              <w:left w:val="nil"/>
              <w:bottom w:val="nil"/>
              <w:right w:val="nil"/>
            </w:tcBorders>
            <w:shd w:val="clear" w:color="auto" w:fill="auto"/>
            <w:noWrap/>
            <w:vAlign w:val="bottom"/>
            <w:hideMark/>
          </w:tcPr>
          <w:p w14:paraId="7DC04755" w14:textId="77777777" w:rsidR="000E0BC8" w:rsidRPr="0072729B" w:rsidRDefault="000E0BC8" w:rsidP="000E0BC8">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nil"/>
              <w:bottom w:val="single" w:sz="4" w:space="0" w:color="auto"/>
              <w:right w:val="nil"/>
            </w:tcBorders>
            <w:shd w:val="clear" w:color="auto" w:fill="auto"/>
            <w:noWrap/>
            <w:vAlign w:val="bottom"/>
            <w:hideMark/>
          </w:tcPr>
          <w:p w14:paraId="547D8B14" w14:textId="2AE5BBDC" w:rsidR="000E0BC8" w:rsidRPr="0072729B" w:rsidRDefault="000E0BC8" w:rsidP="0072729B">
            <w:pPr>
              <w:spacing w:after="0" w:line="240" w:lineRule="auto"/>
              <w:jc w:val="center"/>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&lt; 2.30</w:t>
            </w:r>
          </w:p>
        </w:tc>
        <w:tc>
          <w:tcPr>
            <w:tcW w:w="2160" w:type="dxa"/>
            <w:tcBorders>
              <w:top w:val="single" w:sz="4" w:space="0" w:color="auto"/>
              <w:left w:val="nil"/>
              <w:bottom w:val="single" w:sz="4" w:space="0" w:color="auto"/>
              <w:right w:val="nil"/>
            </w:tcBorders>
            <w:shd w:val="clear" w:color="auto" w:fill="auto"/>
            <w:noWrap/>
            <w:vAlign w:val="bottom"/>
            <w:hideMark/>
          </w:tcPr>
          <w:p w14:paraId="6F4D5A33" w14:textId="4A64BA77" w:rsidR="000E0BC8" w:rsidRPr="0072729B" w:rsidRDefault="000E0BC8" w:rsidP="0072729B">
            <w:pPr>
              <w:spacing w:after="0" w:line="240" w:lineRule="auto"/>
              <w:jc w:val="center"/>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2.30-2.99</w:t>
            </w:r>
          </w:p>
        </w:tc>
        <w:tc>
          <w:tcPr>
            <w:tcW w:w="2160" w:type="dxa"/>
            <w:tcBorders>
              <w:top w:val="single" w:sz="4" w:space="0" w:color="auto"/>
              <w:left w:val="nil"/>
              <w:bottom w:val="single" w:sz="4" w:space="0" w:color="auto"/>
              <w:right w:val="nil"/>
            </w:tcBorders>
            <w:shd w:val="clear" w:color="auto" w:fill="auto"/>
            <w:noWrap/>
            <w:vAlign w:val="bottom"/>
            <w:hideMark/>
          </w:tcPr>
          <w:p w14:paraId="058A51DD" w14:textId="15525561" w:rsidR="000E0BC8" w:rsidRPr="0072729B" w:rsidRDefault="000E0BC8" w:rsidP="0072729B">
            <w:pPr>
              <w:spacing w:after="0" w:line="240" w:lineRule="auto"/>
              <w:jc w:val="center"/>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3.00-4.00</w:t>
            </w:r>
          </w:p>
        </w:tc>
        <w:tc>
          <w:tcPr>
            <w:tcW w:w="2160" w:type="dxa"/>
            <w:tcBorders>
              <w:top w:val="single" w:sz="4" w:space="0" w:color="auto"/>
              <w:left w:val="nil"/>
              <w:bottom w:val="single" w:sz="4" w:space="0" w:color="auto"/>
              <w:right w:val="nil"/>
            </w:tcBorders>
            <w:shd w:val="clear" w:color="auto" w:fill="auto"/>
            <w:noWrap/>
            <w:vAlign w:val="bottom"/>
            <w:hideMark/>
          </w:tcPr>
          <w:p w14:paraId="26733E2A" w14:textId="77777777" w:rsidR="000E0BC8" w:rsidRPr="0072729B" w:rsidRDefault="000E0BC8" w:rsidP="0072729B">
            <w:pPr>
              <w:spacing w:after="0" w:line="240" w:lineRule="auto"/>
              <w:jc w:val="center"/>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Total</w:t>
            </w:r>
          </w:p>
        </w:tc>
      </w:tr>
      <w:tr w:rsidR="00A1035D" w:rsidRPr="0072729B" w14:paraId="55C51904" w14:textId="77777777" w:rsidTr="0072729B">
        <w:trPr>
          <w:trHeight w:val="300"/>
        </w:trPr>
        <w:tc>
          <w:tcPr>
            <w:tcW w:w="2160" w:type="dxa"/>
            <w:tcBorders>
              <w:top w:val="nil"/>
              <w:left w:val="nil"/>
              <w:bottom w:val="nil"/>
              <w:right w:val="nil"/>
            </w:tcBorders>
            <w:shd w:val="clear" w:color="auto" w:fill="auto"/>
            <w:noWrap/>
            <w:vAlign w:val="bottom"/>
            <w:hideMark/>
          </w:tcPr>
          <w:p w14:paraId="4BF07BDB" w14:textId="77777777" w:rsidR="000E0BC8" w:rsidRPr="0072729B" w:rsidRDefault="000E0BC8" w:rsidP="000E0BC8">
            <w:pPr>
              <w:spacing w:after="0" w:line="240" w:lineRule="auto"/>
              <w:rPr>
                <w:rFonts w:ascii="Times New Roman" w:eastAsia="Times New Roman" w:hAnsi="Times New Roman" w:cs="Times New Roman"/>
                <w:color w:val="000000"/>
                <w:sz w:val="20"/>
                <w:szCs w:val="20"/>
              </w:rPr>
            </w:pPr>
          </w:p>
        </w:tc>
        <w:tc>
          <w:tcPr>
            <w:tcW w:w="2160" w:type="dxa"/>
            <w:tcBorders>
              <w:top w:val="single" w:sz="4" w:space="0" w:color="auto"/>
              <w:left w:val="nil"/>
              <w:bottom w:val="nil"/>
              <w:right w:val="nil"/>
            </w:tcBorders>
            <w:shd w:val="clear" w:color="auto" w:fill="auto"/>
            <w:noWrap/>
            <w:vAlign w:val="bottom"/>
            <w:hideMark/>
          </w:tcPr>
          <w:p w14:paraId="63CC4BC9" w14:textId="77777777" w:rsidR="000E0BC8" w:rsidRPr="0072729B" w:rsidRDefault="000E0BC8" w:rsidP="000E0BC8">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nil"/>
              <w:bottom w:val="nil"/>
              <w:right w:val="nil"/>
            </w:tcBorders>
            <w:shd w:val="clear" w:color="auto" w:fill="auto"/>
            <w:noWrap/>
            <w:vAlign w:val="bottom"/>
            <w:hideMark/>
          </w:tcPr>
          <w:p w14:paraId="2F8445F2" w14:textId="77777777" w:rsidR="000E0BC8" w:rsidRPr="0072729B" w:rsidRDefault="000E0BC8" w:rsidP="000E0BC8">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nil"/>
              <w:bottom w:val="nil"/>
              <w:right w:val="nil"/>
            </w:tcBorders>
            <w:shd w:val="clear" w:color="auto" w:fill="auto"/>
            <w:noWrap/>
            <w:vAlign w:val="bottom"/>
            <w:hideMark/>
          </w:tcPr>
          <w:p w14:paraId="007C2C49" w14:textId="77777777" w:rsidR="000E0BC8" w:rsidRPr="0072729B" w:rsidRDefault="000E0BC8" w:rsidP="000E0BC8">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nil"/>
              <w:bottom w:val="nil"/>
              <w:right w:val="nil"/>
            </w:tcBorders>
            <w:shd w:val="clear" w:color="auto" w:fill="auto"/>
            <w:noWrap/>
            <w:vAlign w:val="bottom"/>
            <w:hideMark/>
          </w:tcPr>
          <w:p w14:paraId="36BB980E" w14:textId="77777777" w:rsidR="000E0BC8" w:rsidRPr="0072729B" w:rsidRDefault="000E0BC8" w:rsidP="000E0BC8">
            <w:pPr>
              <w:spacing w:after="0" w:line="240" w:lineRule="auto"/>
              <w:rPr>
                <w:rFonts w:ascii="Times New Roman" w:eastAsia="Times New Roman" w:hAnsi="Times New Roman" w:cs="Times New Roman"/>
                <w:sz w:val="20"/>
                <w:szCs w:val="20"/>
              </w:rPr>
            </w:pPr>
          </w:p>
        </w:tc>
      </w:tr>
      <w:tr w:rsidR="00A1035D" w:rsidRPr="0072729B" w14:paraId="216134F2" w14:textId="77777777" w:rsidTr="0072729B">
        <w:trPr>
          <w:trHeight w:val="300"/>
        </w:trPr>
        <w:tc>
          <w:tcPr>
            <w:tcW w:w="2160" w:type="dxa"/>
            <w:tcBorders>
              <w:top w:val="nil"/>
              <w:left w:val="nil"/>
              <w:bottom w:val="nil"/>
              <w:right w:val="nil"/>
            </w:tcBorders>
            <w:shd w:val="clear" w:color="auto" w:fill="auto"/>
            <w:noWrap/>
            <w:vAlign w:val="bottom"/>
            <w:hideMark/>
          </w:tcPr>
          <w:p w14:paraId="055DA225" w14:textId="6E8E204F" w:rsidR="000E0BC8" w:rsidRPr="0072729B" w:rsidRDefault="000E0BC8" w:rsidP="0072729B">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Math B60</w:t>
            </w:r>
          </w:p>
        </w:tc>
        <w:tc>
          <w:tcPr>
            <w:tcW w:w="2160" w:type="dxa"/>
            <w:tcBorders>
              <w:top w:val="nil"/>
              <w:left w:val="nil"/>
              <w:bottom w:val="nil"/>
              <w:right w:val="nil"/>
            </w:tcBorders>
            <w:shd w:val="clear" w:color="auto" w:fill="auto"/>
            <w:noWrap/>
            <w:vAlign w:val="bottom"/>
            <w:hideMark/>
          </w:tcPr>
          <w:p w14:paraId="74222A4C"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274</w:t>
            </w:r>
          </w:p>
        </w:tc>
        <w:tc>
          <w:tcPr>
            <w:tcW w:w="2160" w:type="dxa"/>
            <w:tcBorders>
              <w:top w:val="nil"/>
              <w:left w:val="nil"/>
              <w:bottom w:val="nil"/>
              <w:right w:val="nil"/>
            </w:tcBorders>
            <w:shd w:val="clear" w:color="auto" w:fill="auto"/>
            <w:noWrap/>
            <w:vAlign w:val="bottom"/>
            <w:hideMark/>
          </w:tcPr>
          <w:p w14:paraId="5DBDA30A"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445</w:t>
            </w:r>
          </w:p>
        </w:tc>
        <w:tc>
          <w:tcPr>
            <w:tcW w:w="2160" w:type="dxa"/>
            <w:tcBorders>
              <w:top w:val="nil"/>
              <w:left w:val="nil"/>
              <w:bottom w:val="nil"/>
              <w:right w:val="nil"/>
            </w:tcBorders>
            <w:shd w:val="clear" w:color="auto" w:fill="auto"/>
            <w:noWrap/>
            <w:vAlign w:val="bottom"/>
            <w:hideMark/>
          </w:tcPr>
          <w:p w14:paraId="4F24932B"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96</w:t>
            </w:r>
          </w:p>
        </w:tc>
        <w:tc>
          <w:tcPr>
            <w:tcW w:w="2160" w:type="dxa"/>
            <w:tcBorders>
              <w:top w:val="nil"/>
              <w:left w:val="nil"/>
              <w:bottom w:val="nil"/>
              <w:right w:val="nil"/>
            </w:tcBorders>
            <w:shd w:val="clear" w:color="auto" w:fill="auto"/>
            <w:noWrap/>
            <w:vAlign w:val="bottom"/>
            <w:hideMark/>
          </w:tcPr>
          <w:p w14:paraId="492EBEF9"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815</w:t>
            </w:r>
          </w:p>
        </w:tc>
      </w:tr>
      <w:tr w:rsidR="00A1035D" w:rsidRPr="0072729B" w14:paraId="5C11093E" w14:textId="77777777" w:rsidTr="0072729B">
        <w:trPr>
          <w:trHeight w:val="300"/>
        </w:trPr>
        <w:tc>
          <w:tcPr>
            <w:tcW w:w="2160" w:type="dxa"/>
            <w:tcBorders>
              <w:top w:val="nil"/>
              <w:left w:val="nil"/>
              <w:bottom w:val="nil"/>
              <w:right w:val="nil"/>
            </w:tcBorders>
            <w:shd w:val="clear" w:color="auto" w:fill="auto"/>
            <w:noWrap/>
            <w:vAlign w:val="bottom"/>
            <w:hideMark/>
          </w:tcPr>
          <w:p w14:paraId="2938DD44" w14:textId="3E194EB3" w:rsidR="000E0BC8" w:rsidRPr="0072729B" w:rsidRDefault="000E0BC8" w:rsidP="0072729B">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Math B65</w:t>
            </w:r>
          </w:p>
        </w:tc>
        <w:tc>
          <w:tcPr>
            <w:tcW w:w="2160" w:type="dxa"/>
            <w:tcBorders>
              <w:top w:val="nil"/>
              <w:left w:val="nil"/>
              <w:bottom w:val="nil"/>
              <w:right w:val="nil"/>
            </w:tcBorders>
            <w:shd w:val="clear" w:color="auto" w:fill="auto"/>
            <w:noWrap/>
            <w:vAlign w:val="bottom"/>
            <w:hideMark/>
          </w:tcPr>
          <w:p w14:paraId="058D39C5"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31</w:t>
            </w:r>
          </w:p>
        </w:tc>
        <w:tc>
          <w:tcPr>
            <w:tcW w:w="2160" w:type="dxa"/>
            <w:tcBorders>
              <w:top w:val="nil"/>
              <w:left w:val="nil"/>
              <w:bottom w:val="nil"/>
              <w:right w:val="nil"/>
            </w:tcBorders>
            <w:shd w:val="clear" w:color="auto" w:fill="auto"/>
            <w:noWrap/>
            <w:vAlign w:val="bottom"/>
            <w:hideMark/>
          </w:tcPr>
          <w:p w14:paraId="15EDF9A9"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72</w:t>
            </w:r>
          </w:p>
        </w:tc>
        <w:tc>
          <w:tcPr>
            <w:tcW w:w="2160" w:type="dxa"/>
            <w:tcBorders>
              <w:top w:val="nil"/>
              <w:left w:val="nil"/>
              <w:bottom w:val="nil"/>
              <w:right w:val="nil"/>
            </w:tcBorders>
            <w:shd w:val="clear" w:color="auto" w:fill="auto"/>
            <w:noWrap/>
            <w:vAlign w:val="bottom"/>
            <w:hideMark/>
          </w:tcPr>
          <w:p w14:paraId="658F799F"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7</w:t>
            </w:r>
          </w:p>
        </w:tc>
        <w:tc>
          <w:tcPr>
            <w:tcW w:w="2160" w:type="dxa"/>
            <w:tcBorders>
              <w:top w:val="nil"/>
              <w:left w:val="nil"/>
              <w:bottom w:val="nil"/>
              <w:right w:val="nil"/>
            </w:tcBorders>
            <w:shd w:val="clear" w:color="auto" w:fill="auto"/>
            <w:noWrap/>
            <w:vAlign w:val="bottom"/>
            <w:hideMark/>
          </w:tcPr>
          <w:p w14:paraId="4C39AF90"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110</w:t>
            </w:r>
          </w:p>
        </w:tc>
      </w:tr>
      <w:tr w:rsidR="00A1035D" w:rsidRPr="0072729B" w14:paraId="146FE5BD" w14:textId="77777777" w:rsidTr="0072729B">
        <w:trPr>
          <w:trHeight w:val="300"/>
        </w:trPr>
        <w:tc>
          <w:tcPr>
            <w:tcW w:w="2160" w:type="dxa"/>
            <w:tcBorders>
              <w:top w:val="nil"/>
              <w:left w:val="nil"/>
              <w:bottom w:val="nil"/>
              <w:right w:val="nil"/>
            </w:tcBorders>
            <w:shd w:val="clear" w:color="auto" w:fill="auto"/>
            <w:noWrap/>
            <w:vAlign w:val="bottom"/>
            <w:hideMark/>
          </w:tcPr>
          <w:p w14:paraId="149C78E0" w14:textId="7EBEEE60" w:rsidR="000E0BC8" w:rsidRPr="0072729B" w:rsidRDefault="000E0BC8" w:rsidP="0072729B">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LRNC B530</w:t>
            </w:r>
          </w:p>
        </w:tc>
        <w:tc>
          <w:tcPr>
            <w:tcW w:w="2160" w:type="dxa"/>
            <w:tcBorders>
              <w:top w:val="nil"/>
              <w:left w:val="nil"/>
              <w:bottom w:val="nil"/>
              <w:right w:val="nil"/>
            </w:tcBorders>
            <w:shd w:val="clear" w:color="auto" w:fill="auto"/>
            <w:noWrap/>
            <w:vAlign w:val="bottom"/>
            <w:hideMark/>
          </w:tcPr>
          <w:p w14:paraId="51D5EBB0"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8</w:t>
            </w:r>
          </w:p>
        </w:tc>
        <w:tc>
          <w:tcPr>
            <w:tcW w:w="2160" w:type="dxa"/>
            <w:tcBorders>
              <w:top w:val="nil"/>
              <w:left w:val="nil"/>
              <w:bottom w:val="nil"/>
              <w:right w:val="nil"/>
            </w:tcBorders>
            <w:shd w:val="clear" w:color="auto" w:fill="auto"/>
            <w:noWrap/>
            <w:vAlign w:val="bottom"/>
            <w:hideMark/>
          </w:tcPr>
          <w:p w14:paraId="16BF8F43"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12</w:t>
            </w:r>
          </w:p>
        </w:tc>
        <w:tc>
          <w:tcPr>
            <w:tcW w:w="2160" w:type="dxa"/>
            <w:tcBorders>
              <w:top w:val="nil"/>
              <w:left w:val="nil"/>
              <w:bottom w:val="nil"/>
              <w:right w:val="nil"/>
            </w:tcBorders>
            <w:shd w:val="clear" w:color="auto" w:fill="auto"/>
            <w:noWrap/>
            <w:vAlign w:val="bottom"/>
            <w:hideMark/>
          </w:tcPr>
          <w:p w14:paraId="4DE7CC63"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4</w:t>
            </w:r>
          </w:p>
        </w:tc>
        <w:tc>
          <w:tcPr>
            <w:tcW w:w="2160" w:type="dxa"/>
            <w:tcBorders>
              <w:top w:val="nil"/>
              <w:left w:val="nil"/>
              <w:bottom w:val="nil"/>
              <w:right w:val="nil"/>
            </w:tcBorders>
            <w:shd w:val="clear" w:color="auto" w:fill="auto"/>
            <w:noWrap/>
            <w:vAlign w:val="bottom"/>
            <w:hideMark/>
          </w:tcPr>
          <w:p w14:paraId="5098E401"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24</w:t>
            </w:r>
          </w:p>
        </w:tc>
      </w:tr>
      <w:tr w:rsidR="00A1035D" w:rsidRPr="0072729B" w14:paraId="37278557" w14:textId="77777777" w:rsidTr="0072729B">
        <w:trPr>
          <w:trHeight w:val="300"/>
        </w:trPr>
        <w:tc>
          <w:tcPr>
            <w:tcW w:w="2160" w:type="dxa"/>
            <w:tcBorders>
              <w:top w:val="nil"/>
              <w:left w:val="nil"/>
              <w:bottom w:val="nil"/>
              <w:right w:val="nil"/>
            </w:tcBorders>
            <w:shd w:val="clear" w:color="auto" w:fill="auto"/>
            <w:noWrap/>
            <w:vAlign w:val="bottom"/>
            <w:hideMark/>
          </w:tcPr>
          <w:p w14:paraId="23CD424D" w14:textId="12814CED" w:rsidR="000E0BC8" w:rsidRPr="0072729B" w:rsidRDefault="000E0BC8" w:rsidP="0072729B">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Math B70</w:t>
            </w:r>
          </w:p>
        </w:tc>
        <w:tc>
          <w:tcPr>
            <w:tcW w:w="2160" w:type="dxa"/>
            <w:tcBorders>
              <w:top w:val="nil"/>
              <w:left w:val="nil"/>
              <w:bottom w:val="nil"/>
              <w:right w:val="nil"/>
            </w:tcBorders>
            <w:shd w:val="clear" w:color="auto" w:fill="auto"/>
            <w:noWrap/>
            <w:vAlign w:val="bottom"/>
            <w:hideMark/>
          </w:tcPr>
          <w:p w14:paraId="1475581F"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82</w:t>
            </w:r>
          </w:p>
        </w:tc>
        <w:tc>
          <w:tcPr>
            <w:tcW w:w="2160" w:type="dxa"/>
            <w:tcBorders>
              <w:top w:val="nil"/>
              <w:left w:val="nil"/>
              <w:bottom w:val="nil"/>
              <w:right w:val="nil"/>
            </w:tcBorders>
            <w:shd w:val="clear" w:color="auto" w:fill="auto"/>
            <w:noWrap/>
            <w:vAlign w:val="bottom"/>
            <w:hideMark/>
          </w:tcPr>
          <w:p w14:paraId="74C2500F"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245</w:t>
            </w:r>
          </w:p>
        </w:tc>
        <w:tc>
          <w:tcPr>
            <w:tcW w:w="2160" w:type="dxa"/>
            <w:tcBorders>
              <w:top w:val="nil"/>
              <w:left w:val="nil"/>
              <w:bottom w:val="nil"/>
              <w:right w:val="nil"/>
            </w:tcBorders>
            <w:shd w:val="clear" w:color="auto" w:fill="auto"/>
            <w:noWrap/>
            <w:vAlign w:val="bottom"/>
            <w:hideMark/>
          </w:tcPr>
          <w:p w14:paraId="5D86557F"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112</w:t>
            </w:r>
          </w:p>
        </w:tc>
        <w:tc>
          <w:tcPr>
            <w:tcW w:w="2160" w:type="dxa"/>
            <w:tcBorders>
              <w:top w:val="nil"/>
              <w:left w:val="nil"/>
              <w:bottom w:val="nil"/>
              <w:right w:val="nil"/>
            </w:tcBorders>
            <w:shd w:val="clear" w:color="auto" w:fill="auto"/>
            <w:noWrap/>
            <w:vAlign w:val="bottom"/>
            <w:hideMark/>
          </w:tcPr>
          <w:p w14:paraId="058AC155"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439</w:t>
            </w:r>
          </w:p>
        </w:tc>
      </w:tr>
      <w:tr w:rsidR="00A1035D" w:rsidRPr="0072729B" w14:paraId="72957209" w14:textId="77777777" w:rsidTr="0072729B">
        <w:trPr>
          <w:trHeight w:val="300"/>
        </w:trPr>
        <w:tc>
          <w:tcPr>
            <w:tcW w:w="2160" w:type="dxa"/>
            <w:tcBorders>
              <w:top w:val="nil"/>
              <w:left w:val="nil"/>
              <w:bottom w:val="nil"/>
              <w:right w:val="nil"/>
            </w:tcBorders>
            <w:shd w:val="clear" w:color="auto" w:fill="auto"/>
            <w:noWrap/>
            <w:vAlign w:val="bottom"/>
            <w:hideMark/>
          </w:tcPr>
          <w:p w14:paraId="02331B93" w14:textId="565A2A16" w:rsidR="000E0BC8" w:rsidRPr="0072729B" w:rsidRDefault="000E0BC8" w:rsidP="0072729B">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Math B1A</w:t>
            </w:r>
          </w:p>
        </w:tc>
        <w:tc>
          <w:tcPr>
            <w:tcW w:w="2160" w:type="dxa"/>
            <w:tcBorders>
              <w:top w:val="nil"/>
              <w:left w:val="nil"/>
              <w:bottom w:val="nil"/>
              <w:right w:val="nil"/>
            </w:tcBorders>
            <w:shd w:val="clear" w:color="auto" w:fill="auto"/>
            <w:noWrap/>
            <w:vAlign w:val="bottom"/>
            <w:hideMark/>
          </w:tcPr>
          <w:p w14:paraId="7DB57605"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5</w:t>
            </w:r>
          </w:p>
        </w:tc>
        <w:tc>
          <w:tcPr>
            <w:tcW w:w="2160" w:type="dxa"/>
            <w:tcBorders>
              <w:top w:val="nil"/>
              <w:left w:val="nil"/>
              <w:bottom w:val="nil"/>
              <w:right w:val="nil"/>
            </w:tcBorders>
            <w:shd w:val="clear" w:color="auto" w:fill="auto"/>
            <w:noWrap/>
            <w:vAlign w:val="bottom"/>
            <w:hideMark/>
          </w:tcPr>
          <w:p w14:paraId="357D90AF"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36</w:t>
            </w:r>
          </w:p>
        </w:tc>
        <w:tc>
          <w:tcPr>
            <w:tcW w:w="2160" w:type="dxa"/>
            <w:tcBorders>
              <w:top w:val="nil"/>
              <w:left w:val="nil"/>
              <w:bottom w:val="nil"/>
              <w:right w:val="nil"/>
            </w:tcBorders>
            <w:shd w:val="clear" w:color="auto" w:fill="auto"/>
            <w:noWrap/>
            <w:vAlign w:val="bottom"/>
            <w:hideMark/>
          </w:tcPr>
          <w:p w14:paraId="2D246583"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47</w:t>
            </w:r>
          </w:p>
        </w:tc>
        <w:tc>
          <w:tcPr>
            <w:tcW w:w="2160" w:type="dxa"/>
            <w:tcBorders>
              <w:top w:val="nil"/>
              <w:left w:val="nil"/>
              <w:bottom w:val="nil"/>
              <w:right w:val="nil"/>
            </w:tcBorders>
            <w:shd w:val="clear" w:color="auto" w:fill="auto"/>
            <w:noWrap/>
            <w:vAlign w:val="bottom"/>
            <w:hideMark/>
          </w:tcPr>
          <w:p w14:paraId="6857278E"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88</w:t>
            </w:r>
          </w:p>
        </w:tc>
      </w:tr>
      <w:tr w:rsidR="00A1035D" w:rsidRPr="0072729B" w14:paraId="725EB035" w14:textId="77777777" w:rsidTr="0072729B">
        <w:trPr>
          <w:trHeight w:val="300"/>
        </w:trPr>
        <w:tc>
          <w:tcPr>
            <w:tcW w:w="2160" w:type="dxa"/>
            <w:tcBorders>
              <w:top w:val="nil"/>
              <w:left w:val="nil"/>
              <w:bottom w:val="nil"/>
              <w:right w:val="nil"/>
            </w:tcBorders>
            <w:shd w:val="clear" w:color="auto" w:fill="auto"/>
            <w:noWrap/>
            <w:vAlign w:val="bottom"/>
            <w:hideMark/>
          </w:tcPr>
          <w:p w14:paraId="6A44C258" w14:textId="0D8277F2" w:rsidR="000E0BC8" w:rsidRPr="0072729B" w:rsidRDefault="000E0BC8" w:rsidP="0072729B">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Math B22</w:t>
            </w:r>
          </w:p>
        </w:tc>
        <w:tc>
          <w:tcPr>
            <w:tcW w:w="2160" w:type="dxa"/>
            <w:tcBorders>
              <w:top w:val="nil"/>
              <w:left w:val="nil"/>
              <w:bottom w:val="nil"/>
              <w:right w:val="nil"/>
            </w:tcBorders>
            <w:shd w:val="clear" w:color="auto" w:fill="auto"/>
            <w:noWrap/>
            <w:vAlign w:val="bottom"/>
            <w:hideMark/>
          </w:tcPr>
          <w:p w14:paraId="6AE0AC91"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6</w:t>
            </w:r>
          </w:p>
        </w:tc>
        <w:tc>
          <w:tcPr>
            <w:tcW w:w="2160" w:type="dxa"/>
            <w:tcBorders>
              <w:top w:val="nil"/>
              <w:left w:val="nil"/>
              <w:bottom w:val="nil"/>
              <w:right w:val="nil"/>
            </w:tcBorders>
            <w:shd w:val="clear" w:color="auto" w:fill="auto"/>
            <w:noWrap/>
            <w:vAlign w:val="bottom"/>
            <w:hideMark/>
          </w:tcPr>
          <w:p w14:paraId="48492785"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62</w:t>
            </w:r>
          </w:p>
        </w:tc>
        <w:tc>
          <w:tcPr>
            <w:tcW w:w="2160" w:type="dxa"/>
            <w:tcBorders>
              <w:top w:val="nil"/>
              <w:left w:val="nil"/>
              <w:bottom w:val="nil"/>
              <w:right w:val="nil"/>
            </w:tcBorders>
            <w:shd w:val="clear" w:color="auto" w:fill="auto"/>
            <w:noWrap/>
            <w:vAlign w:val="bottom"/>
            <w:hideMark/>
          </w:tcPr>
          <w:p w14:paraId="397DE213"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97</w:t>
            </w:r>
          </w:p>
        </w:tc>
        <w:tc>
          <w:tcPr>
            <w:tcW w:w="2160" w:type="dxa"/>
            <w:tcBorders>
              <w:top w:val="nil"/>
              <w:left w:val="nil"/>
              <w:bottom w:val="nil"/>
              <w:right w:val="nil"/>
            </w:tcBorders>
            <w:shd w:val="clear" w:color="auto" w:fill="auto"/>
            <w:noWrap/>
            <w:vAlign w:val="bottom"/>
            <w:hideMark/>
          </w:tcPr>
          <w:p w14:paraId="2D56B4B1"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165</w:t>
            </w:r>
          </w:p>
        </w:tc>
      </w:tr>
      <w:tr w:rsidR="00A1035D" w:rsidRPr="0072729B" w14:paraId="0995C6AE" w14:textId="77777777" w:rsidTr="0072729B">
        <w:trPr>
          <w:trHeight w:val="300"/>
        </w:trPr>
        <w:tc>
          <w:tcPr>
            <w:tcW w:w="2160" w:type="dxa"/>
            <w:tcBorders>
              <w:top w:val="nil"/>
              <w:left w:val="nil"/>
              <w:bottom w:val="nil"/>
              <w:right w:val="nil"/>
            </w:tcBorders>
            <w:shd w:val="clear" w:color="auto" w:fill="auto"/>
            <w:noWrap/>
            <w:vAlign w:val="bottom"/>
            <w:hideMark/>
          </w:tcPr>
          <w:p w14:paraId="359ACD27" w14:textId="77023630" w:rsidR="000E0BC8" w:rsidRPr="0072729B" w:rsidRDefault="000E0BC8" w:rsidP="0072729B">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Psyc B5</w:t>
            </w:r>
          </w:p>
        </w:tc>
        <w:tc>
          <w:tcPr>
            <w:tcW w:w="2160" w:type="dxa"/>
            <w:tcBorders>
              <w:top w:val="nil"/>
              <w:left w:val="nil"/>
              <w:bottom w:val="nil"/>
              <w:right w:val="nil"/>
            </w:tcBorders>
            <w:shd w:val="clear" w:color="auto" w:fill="auto"/>
            <w:noWrap/>
            <w:vAlign w:val="bottom"/>
            <w:hideMark/>
          </w:tcPr>
          <w:p w14:paraId="0EBD1A3A"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1</w:t>
            </w:r>
          </w:p>
        </w:tc>
        <w:tc>
          <w:tcPr>
            <w:tcW w:w="2160" w:type="dxa"/>
            <w:tcBorders>
              <w:top w:val="nil"/>
              <w:left w:val="nil"/>
              <w:bottom w:val="nil"/>
              <w:right w:val="nil"/>
            </w:tcBorders>
            <w:shd w:val="clear" w:color="auto" w:fill="auto"/>
            <w:noWrap/>
            <w:vAlign w:val="bottom"/>
            <w:hideMark/>
          </w:tcPr>
          <w:p w14:paraId="07A3DA5F"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13</w:t>
            </w:r>
          </w:p>
        </w:tc>
        <w:tc>
          <w:tcPr>
            <w:tcW w:w="2160" w:type="dxa"/>
            <w:tcBorders>
              <w:top w:val="nil"/>
              <w:left w:val="nil"/>
              <w:bottom w:val="nil"/>
              <w:right w:val="nil"/>
            </w:tcBorders>
            <w:shd w:val="clear" w:color="auto" w:fill="auto"/>
            <w:noWrap/>
            <w:vAlign w:val="bottom"/>
            <w:hideMark/>
          </w:tcPr>
          <w:p w14:paraId="33FD23F0"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17</w:t>
            </w:r>
          </w:p>
        </w:tc>
        <w:tc>
          <w:tcPr>
            <w:tcW w:w="2160" w:type="dxa"/>
            <w:tcBorders>
              <w:top w:val="nil"/>
              <w:left w:val="nil"/>
              <w:bottom w:val="nil"/>
              <w:right w:val="nil"/>
            </w:tcBorders>
            <w:shd w:val="clear" w:color="auto" w:fill="auto"/>
            <w:noWrap/>
            <w:vAlign w:val="bottom"/>
            <w:hideMark/>
          </w:tcPr>
          <w:p w14:paraId="11587539"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31</w:t>
            </w:r>
          </w:p>
        </w:tc>
      </w:tr>
      <w:tr w:rsidR="00A1035D" w:rsidRPr="0072729B" w14:paraId="06A55522" w14:textId="77777777" w:rsidTr="0072729B">
        <w:trPr>
          <w:trHeight w:val="300"/>
        </w:trPr>
        <w:tc>
          <w:tcPr>
            <w:tcW w:w="2160" w:type="dxa"/>
            <w:tcBorders>
              <w:top w:val="nil"/>
              <w:left w:val="nil"/>
              <w:bottom w:val="single" w:sz="4" w:space="0" w:color="auto"/>
              <w:right w:val="nil"/>
            </w:tcBorders>
            <w:shd w:val="clear" w:color="auto" w:fill="auto"/>
            <w:noWrap/>
            <w:vAlign w:val="bottom"/>
          </w:tcPr>
          <w:p w14:paraId="55C7FE0B" w14:textId="77777777" w:rsidR="00A1035D" w:rsidRPr="0072729B" w:rsidRDefault="00A1035D" w:rsidP="000E0BC8">
            <w:pPr>
              <w:spacing w:after="0" w:line="240" w:lineRule="auto"/>
              <w:jc w:val="right"/>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7469DAE4"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1BFF4714"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2B56939F"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336A0DEF"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r>
      <w:tr w:rsidR="00A1035D" w:rsidRPr="0072729B" w14:paraId="0090409A" w14:textId="77777777" w:rsidTr="0072729B">
        <w:trPr>
          <w:trHeight w:val="300"/>
        </w:trPr>
        <w:tc>
          <w:tcPr>
            <w:tcW w:w="2160" w:type="dxa"/>
            <w:tcBorders>
              <w:top w:val="single" w:sz="4" w:space="0" w:color="auto"/>
              <w:left w:val="nil"/>
              <w:right w:val="nil"/>
            </w:tcBorders>
            <w:shd w:val="clear" w:color="auto" w:fill="auto"/>
            <w:noWrap/>
            <w:vAlign w:val="bottom"/>
          </w:tcPr>
          <w:p w14:paraId="3AE736EF" w14:textId="77777777" w:rsidR="00A1035D" w:rsidRPr="0072729B" w:rsidRDefault="00A1035D" w:rsidP="000E0BC8">
            <w:pPr>
              <w:spacing w:after="0" w:line="240" w:lineRule="auto"/>
              <w:jc w:val="right"/>
              <w:rPr>
                <w:rFonts w:ascii="Times New Roman" w:eastAsia="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533345AA"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7104789A"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539390B9"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5F23EEE2"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r>
      <w:tr w:rsidR="00A1035D" w:rsidRPr="0072729B" w14:paraId="401BA3A3" w14:textId="77777777" w:rsidTr="0072729B">
        <w:trPr>
          <w:trHeight w:val="300"/>
        </w:trPr>
        <w:tc>
          <w:tcPr>
            <w:tcW w:w="2160" w:type="dxa"/>
            <w:tcBorders>
              <w:top w:val="nil"/>
              <w:left w:val="nil"/>
              <w:right w:val="nil"/>
            </w:tcBorders>
            <w:shd w:val="clear" w:color="auto" w:fill="auto"/>
            <w:noWrap/>
            <w:vAlign w:val="bottom"/>
            <w:hideMark/>
          </w:tcPr>
          <w:p w14:paraId="49D7E992" w14:textId="77777777" w:rsidR="000E0BC8" w:rsidRPr="0072729B" w:rsidRDefault="000E0BC8" w:rsidP="0072729B">
            <w:pPr>
              <w:spacing w:after="0" w:line="240" w:lineRule="auto"/>
              <w:jc w:val="right"/>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Total</w:t>
            </w:r>
          </w:p>
        </w:tc>
        <w:tc>
          <w:tcPr>
            <w:tcW w:w="2160" w:type="dxa"/>
            <w:tcBorders>
              <w:top w:val="nil"/>
              <w:left w:val="nil"/>
              <w:right w:val="nil"/>
            </w:tcBorders>
            <w:shd w:val="clear" w:color="auto" w:fill="auto"/>
            <w:noWrap/>
            <w:vAlign w:val="bottom"/>
            <w:hideMark/>
          </w:tcPr>
          <w:p w14:paraId="7B286CC3"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407</w:t>
            </w:r>
          </w:p>
        </w:tc>
        <w:tc>
          <w:tcPr>
            <w:tcW w:w="2160" w:type="dxa"/>
            <w:tcBorders>
              <w:top w:val="nil"/>
              <w:left w:val="nil"/>
              <w:right w:val="nil"/>
            </w:tcBorders>
            <w:shd w:val="clear" w:color="auto" w:fill="auto"/>
            <w:noWrap/>
            <w:vAlign w:val="bottom"/>
            <w:hideMark/>
          </w:tcPr>
          <w:p w14:paraId="58E1762A"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885</w:t>
            </w:r>
          </w:p>
        </w:tc>
        <w:tc>
          <w:tcPr>
            <w:tcW w:w="2160" w:type="dxa"/>
            <w:tcBorders>
              <w:top w:val="nil"/>
              <w:left w:val="nil"/>
              <w:right w:val="nil"/>
            </w:tcBorders>
            <w:shd w:val="clear" w:color="auto" w:fill="auto"/>
            <w:noWrap/>
            <w:vAlign w:val="bottom"/>
            <w:hideMark/>
          </w:tcPr>
          <w:p w14:paraId="5C7F16E0" w14:textId="77777777"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380</w:t>
            </w:r>
          </w:p>
        </w:tc>
        <w:tc>
          <w:tcPr>
            <w:tcW w:w="2160" w:type="dxa"/>
            <w:tcBorders>
              <w:top w:val="nil"/>
              <w:left w:val="nil"/>
              <w:right w:val="nil"/>
            </w:tcBorders>
            <w:shd w:val="clear" w:color="auto" w:fill="auto"/>
            <w:noWrap/>
            <w:vAlign w:val="bottom"/>
            <w:hideMark/>
          </w:tcPr>
          <w:p w14:paraId="129D859D" w14:textId="1C8ADFA3" w:rsidR="000E0BC8" w:rsidRPr="0072729B" w:rsidRDefault="000E0BC8"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1</w:t>
            </w:r>
            <w:r w:rsidR="00DF154A">
              <w:rPr>
                <w:rFonts w:ascii="Times New Roman" w:eastAsia="Times New Roman" w:hAnsi="Times New Roman" w:cs="Times New Roman"/>
                <w:color w:val="000000"/>
                <w:sz w:val="20"/>
                <w:szCs w:val="20"/>
              </w:rPr>
              <w:t>,</w:t>
            </w:r>
            <w:bookmarkStart w:id="0" w:name="_GoBack"/>
            <w:bookmarkEnd w:id="0"/>
            <w:r w:rsidRPr="0072729B">
              <w:rPr>
                <w:rFonts w:ascii="Times New Roman" w:eastAsia="Times New Roman" w:hAnsi="Times New Roman" w:cs="Times New Roman"/>
                <w:color w:val="000000"/>
                <w:sz w:val="20"/>
                <w:szCs w:val="20"/>
              </w:rPr>
              <w:t>672</w:t>
            </w:r>
          </w:p>
        </w:tc>
      </w:tr>
      <w:tr w:rsidR="00A1035D" w:rsidRPr="0072729B" w14:paraId="0D6110BA" w14:textId="77777777" w:rsidTr="0072729B">
        <w:trPr>
          <w:trHeight w:val="300"/>
        </w:trPr>
        <w:tc>
          <w:tcPr>
            <w:tcW w:w="2160" w:type="dxa"/>
            <w:tcBorders>
              <w:top w:val="nil"/>
              <w:left w:val="nil"/>
              <w:bottom w:val="single" w:sz="4" w:space="0" w:color="auto"/>
              <w:right w:val="nil"/>
            </w:tcBorders>
            <w:shd w:val="clear" w:color="auto" w:fill="auto"/>
            <w:noWrap/>
            <w:vAlign w:val="bottom"/>
          </w:tcPr>
          <w:p w14:paraId="4C613E3C" w14:textId="77777777" w:rsidR="00A1035D" w:rsidRPr="0072729B" w:rsidRDefault="00A1035D" w:rsidP="000E0BC8">
            <w:pPr>
              <w:spacing w:after="0" w:line="240" w:lineRule="auto"/>
              <w:jc w:val="right"/>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499D5E3C"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353506DA"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4E54B7FB"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2322E968" w14:textId="77777777" w:rsidR="00A1035D" w:rsidRPr="0072729B" w:rsidRDefault="00A1035D" w:rsidP="0072729B">
            <w:pPr>
              <w:tabs>
                <w:tab w:val="decimal" w:pos="1152"/>
              </w:tabs>
              <w:spacing w:after="0" w:line="240" w:lineRule="auto"/>
              <w:rPr>
                <w:rFonts w:ascii="Times New Roman" w:eastAsia="Times New Roman" w:hAnsi="Times New Roman" w:cs="Times New Roman"/>
                <w:color w:val="000000"/>
                <w:sz w:val="20"/>
                <w:szCs w:val="20"/>
              </w:rPr>
            </w:pPr>
          </w:p>
        </w:tc>
      </w:tr>
    </w:tbl>
    <w:p w14:paraId="117178F6" w14:textId="77777777" w:rsidR="000E0BC8" w:rsidRDefault="000E0BC8" w:rsidP="0072729B">
      <w:pPr>
        <w:spacing w:after="0" w:line="240" w:lineRule="auto"/>
        <w:rPr>
          <w:rFonts w:ascii="Times New Roman" w:hAnsi="Times New Roman" w:cs="Times New Roman"/>
          <w:sz w:val="24"/>
          <w:szCs w:val="24"/>
        </w:rPr>
      </w:pPr>
    </w:p>
    <w:p w14:paraId="1C879B0C" w14:textId="77777777" w:rsidR="000E0BC8" w:rsidRDefault="000E0BC8" w:rsidP="0072729B">
      <w:pPr>
        <w:spacing w:after="0" w:line="240" w:lineRule="auto"/>
        <w:rPr>
          <w:rFonts w:ascii="Times New Roman" w:hAnsi="Times New Roman" w:cs="Times New Roman"/>
          <w:sz w:val="24"/>
          <w:szCs w:val="24"/>
        </w:rPr>
      </w:pPr>
    </w:p>
    <w:p w14:paraId="58BA8676" w14:textId="77777777" w:rsidR="005B0B84" w:rsidRDefault="005B0B84">
      <w:pPr>
        <w:rPr>
          <w:rFonts w:ascii="Times New Roman" w:hAnsi="Times New Roman" w:cs="Times New Roman"/>
          <w:sz w:val="24"/>
          <w:szCs w:val="24"/>
        </w:rPr>
      </w:pPr>
      <w:r>
        <w:rPr>
          <w:rFonts w:ascii="Times New Roman" w:hAnsi="Times New Roman" w:cs="Times New Roman"/>
          <w:sz w:val="24"/>
          <w:szCs w:val="24"/>
        </w:rPr>
        <w:br w:type="page"/>
      </w:r>
    </w:p>
    <w:p w14:paraId="1DCFD5CD" w14:textId="08B667D8" w:rsidR="006D2D9A" w:rsidRDefault="006D2D9A" w:rsidP="007272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16:  Predicted probabilities of selected quantitative competency outcomes by point of entry to the curriculum and level of high school achievement, based on estimates </w:t>
      </w:r>
      <w:r w:rsidRPr="00D334A5">
        <w:rPr>
          <w:rFonts w:ascii="Times New Roman" w:hAnsi="Times New Roman" w:cs="Times New Roman"/>
          <w:sz w:val="24"/>
          <w:szCs w:val="24"/>
        </w:rPr>
        <w:t>derived from logistic regression analyses</w:t>
      </w:r>
      <w:r>
        <w:rPr>
          <w:rFonts w:ascii="Times New Roman" w:hAnsi="Times New Roman" w:cs="Times New Roman"/>
          <w:sz w:val="24"/>
          <w:szCs w:val="24"/>
        </w:rPr>
        <w:t xml:space="preserve"> (not shown)</w:t>
      </w:r>
    </w:p>
    <w:p w14:paraId="003DA90E" w14:textId="77777777" w:rsidR="00F17219" w:rsidRDefault="00F17219" w:rsidP="0072729B">
      <w:pPr>
        <w:spacing w:after="0" w:line="240" w:lineRule="auto"/>
        <w:rPr>
          <w:rFonts w:ascii="Times New Roman" w:hAnsi="Times New Roman" w:cs="Times New Roman"/>
          <w:sz w:val="24"/>
          <w:szCs w:val="24"/>
        </w:rPr>
      </w:pPr>
    </w:p>
    <w:tbl>
      <w:tblPr>
        <w:tblW w:w="12960" w:type="dxa"/>
        <w:tblLayout w:type="fixed"/>
        <w:tblCellMar>
          <w:left w:w="115" w:type="dxa"/>
          <w:right w:w="115" w:type="dxa"/>
        </w:tblCellMar>
        <w:tblLook w:val="04A0" w:firstRow="1" w:lastRow="0" w:firstColumn="1" w:lastColumn="0" w:noHBand="0" w:noVBand="1"/>
      </w:tblPr>
      <w:tblGrid>
        <w:gridCol w:w="1410"/>
        <w:gridCol w:w="1410"/>
        <w:gridCol w:w="1690"/>
        <w:gridCol w:w="1690"/>
        <w:gridCol w:w="1690"/>
        <w:gridCol w:w="1690"/>
        <w:gridCol w:w="1690"/>
        <w:gridCol w:w="1690"/>
      </w:tblGrid>
      <w:tr w:rsidR="00CC5E1B" w:rsidRPr="0072729B" w14:paraId="4BC28B08" w14:textId="77777777" w:rsidTr="0072729B">
        <w:trPr>
          <w:trHeight w:val="300"/>
        </w:trPr>
        <w:tc>
          <w:tcPr>
            <w:tcW w:w="1410" w:type="dxa"/>
            <w:tcBorders>
              <w:top w:val="single" w:sz="4" w:space="0" w:color="auto"/>
              <w:left w:val="nil"/>
              <w:right w:val="nil"/>
            </w:tcBorders>
            <w:shd w:val="clear" w:color="auto" w:fill="auto"/>
            <w:noWrap/>
            <w:vAlign w:val="bottom"/>
          </w:tcPr>
          <w:p w14:paraId="486D8276" w14:textId="77777777" w:rsidR="00CC5E1B" w:rsidRPr="0072729B" w:rsidRDefault="00CC5E1B" w:rsidP="002A55C2">
            <w:pPr>
              <w:spacing w:after="0" w:line="240" w:lineRule="auto"/>
              <w:rPr>
                <w:rFonts w:ascii="Times New Roman" w:eastAsia="Times New Roman" w:hAnsi="Times New Roman" w:cs="Times New Roman"/>
                <w:b/>
                <w:sz w:val="20"/>
                <w:szCs w:val="20"/>
              </w:rPr>
            </w:pPr>
          </w:p>
        </w:tc>
        <w:tc>
          <w:tcPr>
            <w:tcW w:w="1410" w:type="dxa"/>
            <w:tcBorders>
              <w:top w:val="single" w:sz="4" w:space="0" w:color="auto"/>
              <w:left w:val="nil"/>
              <w:right w:val="nil"/>
            </w:tcBorders>
            <w:shd w:val="clear" w:color="auto" w:fill="auto"/>
            <w:noWrap/>
            <w:vAlign w:val="bottom"/>
          </w:tcPr>
          <w:p w14:paraId="2C32B5D2" w14:textId="77777777" w:rsidR="00CC5E1B" w:rsidRPr="0072729B" w:rsidRDefault="00CC5E1B" w:rsidP="002A55C2">
            <w:pPr>
              <w:spacing w:after="0" w:line="240" w:lineRule="auto"/>
              <w:rPr>
                <w:rFonts w:ascii="Times New Roman" w:eastAsia="Times New Roman" w:hAnsi="Times New Roman" w:cs="Times New Roman"/>
                <w:b/>
                <w:sz w:val="20"/>
                <w:szCs w:val="20"/>
              </w:rPr>
            </w:pPr>
          </w:p>
        </w:tc>
        <w:tc>
          <w:tcPr>
            <w:tcW w:w="5070" w:type="dxa"/>
            <w:gridSpan w:val="3"/>
            <w:tcBorders>
              <w:top w:val="single" w:sz="4" w:space="0" w:color="auto"/>
              <w:left w:val="nil"/>
              <w:bottom w:val="single" w:sz="4" w:space="0" w:color="auto"/>
              <w:right w:val="nil"/>
            </w:tcBorders>
            <w:shd w:val="clear" w:color="auto" w:fill="auto"/>
            <w:noWrap/>
            <w:vAlign w:val="bottom"/>
          </w:tcPr>
          <w:p w14:paraId="1B318E43" w14:textId="5E8A5AB9" w:rsidR="00CC5E1B" w:rsidRDefault="00CC5E1B" w:rsidP="0072729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Achievement of Associate-level or Transfer-level Quantitative Competency</w:t>
            </w:r>
          </w:p>
        </w:tc>
        <w:tc>
          <w:tcPr>
            <w:tcW w:w="5070" w:type="dxa"/>
            <w:gridSpan w:val="3"/>
            <w:tcBorders>
              <w:top w:val="single" w:sz="4" w:space="0" w:color="auto"/>
              <w:left w:val="nil"/>
              <w:bottom w:val="single" w:sz="4" w:space="0" w:color="auto"/>
              <w:right w:val="nil"/>
            </w:tcBorders>
            <w:shd w:val="clear" w:color="auto" w:fill="auto"/>
            <w:noWrap/>
            <w:vAlign w:val="bottom"/>
          </w:tcPr>
          <w:p w14:paraId="5A8CB4AE" w14:textId="77777777" w:rsidR="00DF37BF" w:rsidRDefault="00CC5E1B" w:rsidP="0072729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Achievement of Transfer-level </w:t>
            </w:r>
          </w:p>
          <w:p w14:paraId="0D27D27C" w14:textId="62FC7071" w:rsidR="00CC5E1B" w:rsidRDefault="00CC5E1B" w:rsidP="0072729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Quantitative Competency</w:t>
            </w:r>
          </w:p>
        </w:tc>
      </w:tr>
      <w:tr w:rsidR="00CC5E1B" w:rsidRPr="0072729B" w14:paraId="463F3466" w14:textId="77777777" w:rsidTr="0072729B">
        <w:trPr>
          <w:trHeight w:val="300"/>
        </w:trPr>
        <w:tc>
          <w:tcPr>
            <w:tcW w:w="1410" w:type="dxa"/>
            <w:tcBorders>
              <w:top w:val="nil"/>
              <w:left w:val="nil"/>
              <w:bottom w:val="single" w:sz="4" w:space="0" w:color="auto"/>
              <w:right w:val="nil"/>
            </w:tcBorders>
            <w:shd w:val="clear" w:color="auto" w:fill="auto"/>
            <w:noWrap/>
            <w:vAlign w:val="bottom"/>
            <w:hideMark/>
          </w:tcPr>
          <w:p w14:paraId="2459E254" w14:textId="2A97A4C6" w:rsidR="002A55C2" w:rsidRPr="0072729B" w:rsidRDefault="002A55C2" w:rsidP="0072729B">
            <w:pPr>
              <w:spacing w:after="0" w:line="240" w:lineRule="auto"/>
              <w:jc w:val="center"/>
              <w:rPr>
                <w:rFonts w:ascii="Times New Roman" w:eastAsia="Times New Roman" w:hAnsi="Times New Roman" w:cs="Times New Roman"/>
                <w:b/>
                <w:sz w:val="20"/>
                <w:szCs w:val="20"/>
              </w:rPr>
            </w:pPr>
            <w:r w:rsidRPr="0072729B">
              <w:rPr>
                <w:rFonts w:ascii="Times New Roman" w:eastAsia="Times New Roman" w:hAnsi="Times New Roman" w:cs="Times New Roman"/>
                <w:b/>
                <w:sz w:val="20"/>
                <w:szCs w:val="20"/>
              </w:rPr>
              <w:t>Band of GPA</w:t>
            </w:r>
          </w:p>
        </w:tc>
        <w:tc>
          <w:tcPr>
            <w:tcW w:w="1410" w:type="dxa"/>
            <w:tcBorders>
              <w:top w:val="nil"/>
              <w:left w:val="nil"/>
              <w:bottom w:val="single" w:sz="4" w:space="0" w:color="auto"/>
              <w:right w:val="nil"/>
            </w:tcBorders>
            <w:shd w:val="clear" w:color="auto" w:fill="auto"/>
            <w:noWrap/>
            <w:vAlign w:val="bottom"/>
            <w:hideMark/>
          </w:tcPr>
          <w:p w14:paraId="274C7A66" w14:textId="0EF37FC4" w:rsidR="002A55C2" w:rsidRPr="0072729B" w:rsidRDefault="002A55C2" w:rsidP="0072729B">
            <w:pPr>
              <w:spacing w:after="0" w:line="240" w:lineRule="auto"/>
              <w:jc w:val="center"/>
              <w:rPr>
                <w:rFonts w:ascii="Times New Roman" w:eastAsia="Times New Roman" w:hAnsi="Times New Roman" w:cs="Times New Roman"/>
                <w:b/>
                <w:sz w:val="20"/>
                <w:szCs w:val="20"/>
              </w:rPr>
            </w:pPr>
            <w:r w:rsidRPr="0072729B">
              <w:rPr>
                <w:rFonts w:ascii="Times New Roman" w:eastAsia="Times New Roman" w:hAnsi="Times New Roman" w:cs="Times New Roman"/>
                <w:b/>
                <w:sz w:val="20"/>
                <w:szCs w:val="20"/>
              </w:rPr>
              <w:t>First Course</w:t>
            </w:r>
          </w:p>
        </w:tc>
        <w:tc>
          <w:tcPr>
            <w:tcW w:w="1690" w:type="dxa"/>
            <w:tcBorders>
              <w:top w:val="single" w:sz="4" w:space="0" w:color="auto"/>
              <w:left w:val="nil"/>
              <w:bottom w:val="single" w:sz="4" w:space="0" w:color="auto"/>
              <w:right w:val="nil"/>
            </w:tcBorders>
            <w:shd w:val="clear" w:color="auto" w:fill="auto"/>
            <w:noWrap/>
            <w:vAlign w:val="bottom"/>
            <w:hideMark/>
          </w:tcPr>
          <w:p w14:paraId="5A886EEC" w14:textId="3C7CCDD8" w:rsidR="00DF37BF" w:rsidRPr="0072729B" w:rsidRDefault="002A55C2"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25</w:t>
            </w:r>
            <w:r w:rsidRPr="0072729B">
              <w:rPr>
                <w:rFonts w:ascii="Times New Roman" w:eastAsia="Times New Roman" w:hAnsi="Times New Roman" w:cs="Times New Roman"/>
                <w:color w:val="000000"/>
                <w:sz w:val="20"/>
                <w:szCs w:val="20"/>
                <w:vertAlign w:val="superscript"/>
              </w:rPr>
              <w:t>th</w:t>
            </w:r>
            <w:r w:rsidRPr="0072729B">
              <w:rPr>
                <w:rFonts w:ascii="Times New Roman" w:eastAsia="Times New Roman" w:hAnsi="Times New Roman" w:cs="Times New Roman"/>
                <w:color w:val="000000"/>
                <w:sz w:val="20"/>
                <w:szCs w:val="20"/>
              </w:rPr>
              <w:t xml:space="preserve"> </w:t>
            </w:r>
            <w:r w:rsidR="00DF37BF">
              <w:rPr>
                <w:rFonts w:ascii="Times New Roman" w:eastAsia="Times New Roman" w:hAnsi="Times New Roman" w:cs="Times New Roman"/>
                <w:color w:val="000000"/>
                <w:sz w:val="20"/>
                <w:szCs w:val="20"/>
              </w:rPr>
              <w:t>Percentile</w:t>
            </w:r>
          </w:p>
          <w:p w14:paraId="3C005247" w14:textId="3F14385D"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GPA and Math Scaled Score</w:t>
            </w:r>
          </w:p>
        </w:tc>
        <w:tc>
          <w:tcPr>
            <w:tcW w:w="1690" w:type="dxa"/>
            <w:tcBorders>
              <w:top w:val="single" w:sz="4" w:space="0" w:color="auto"/>
              <w:left w:val="nil"/>
              <w:bottom w:val="single" w:sz="4" w:space="0" w:color="auto"/>
              <w:right w:val="nil"/>
            </w:tcBorders>
            <w:shd w:val="clear" w:color="auto" w:fill="auto"/>
            <w:noWrap/>
            <w:vAlign w:val="bottom"/>
            <w:hideMark/>
          </w:tcPr>
          <w:p w14:paraId="7361429C" w14:textId="1456962B"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50</w:t>
            </w:r>
            <w:r w:rsidRPr="0072729B">
              <w:rPr>
                <w:rFonts w:ascii="Times New Roman" w:eastAsia="Times New Roman" w:hAnsi="Times New Roman" w:cs="Times New Roman"/>
                <w:color w:val="000000"/>
                <w:sz w:val="20"/>
                <w:szCs w:val="20"/>
                <w:vertAlign w:val="superscript"/>
              </w:rPr>
              <w:t>th</w:t>
            </w:r>
            <w:r w:rsidRPr="0072729B">
              <w:rPr>
                <w:rFonts w:ascii="Times New Roman" w:eastAsia="Times New Roman" w:hAnsi="Times New Roman" w:cs="Times New Roman"/>
                <w:color w:val="000000"/>
                <w:sz w:val="20"/>
                <w:szCs w:val="20"/>
              </w:rPr>
              <w:t xml:space="preserve"> </w:t>
            </w:r>
            <w:r w:rsidR="00DF37BF">
              <w:rPr>
                <w:rFonts w:ascii="Times New Roman" w:eastAsia="Times New Roman" w:hAnsi="Times New Roman" w:cs="Times New Roman"/>
                <w:color w:val="000000"/>
                <w:sz w:val="20"/>
                <w:szCs w:val="20"/>
              </w:rPr>
              <w:t>Percentile</w:t>
            </w:r>
            <w:r w:rsidR="00DF37BF" w:rsidRPr="0072729B">
              <w:rPr>
                <w:rFonts w:ascii="Times New Roman" w:eastAsia="Times New Roman" w:hAnsi="Times New Roman" w:cs="Times New Roman"/>
                <w:color w:val="000000"/>
                <w:sz w:val="20"/>
                <w:szCs w:val="20"/>
              </w:rPr>
              <w:t xml:space="preserve"> </w:t>
            </w:r>
            <w:r w:rsidRPr="0072729B">
              <w:rPr>
                <w:rFonts w:ascii="Times New Roman" w:eastAsia="Times New Roman" w:hAnsi="Times New Roman" w:cs="Times New Roman"/>
                <w:color w:val="000000"/>
                <w:sz w:val="20"/>
                <w:szCs w:val="20"/>
              </w:rPr>
              <w:t>GPA and Math Scaled Score</w:t>
            </w:r>
          </w:p>
        </w:tc>
        <w:tc>
          <w:tcPr>
            <w:tcW w:w="1690" w:type="dxa"/>
            <w:tcBorders>
              <w:top w:val="single" w:sz="4" w:space="0" w:color="auto"/>
              <w:left w:val="nil"/>
              <w:bottom w:val="single" w:sz="4" w:space="0" w:color="auto"/>
              <w:right w:val="nil"/>
            </w:tcBorders>
            <w:shd w:val="clear" w:color="auto" w:fill="auto"/>
            <w:noWrap/>
            <w:vAlign w:val="bottom"/>
            <w:hideMark/>
          </w:tcPr>
          <w:p w14:paraId="75454C2F" w14:textId="5C3E15B0"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75</w:t>
            </w:r>
            <w:r w:rsidRPr="0072729B">
              <w:rPr>
                <w:rFonts w:ascii="Times New Roman" w:eastAsia="Times New Roman" w:hAnsi="Times New Roman" w:cs="Times New Roman"/>
                <w:color w:val="000000"/>
                <w:sz w:val="20"/>
                <w:szCs w:val="20"/>
                <w:vertAlign w:val="superscript"/>
              </w:rPr>
              <w:t>th</w:t>
            </w:r>
            <w:r w:rsidRPr="0072729B">
              <w:rPr>
                <w:rFonts w:ascii="Times New Roman" w:eastAsia="Times New Roman" w:hAnsi="Times New Roman" w:cs="Times New Roman"/>
                <w:color w:val="000000"/>
                <w:sz w:val="20"/>
                <w:szCs w:val="20"/>
              </w:rPr>
              <w:t xml:space="preserve"> </w:t>
            </w:r>
            <w:r w:rsidR="00770FC8">
              <w:rPr>
                <w:rFonts w:ascii="Times New Roman" w:eastAsia="Times New Roman" w:hAnsi="Times New Roman" w:cs="Times New Roman"/>
                <w:color w:val="000000"/>
                <w:sz w:val="20"/>
                <w:szCs w:val="20"/>
              </w:rPr>
              <w:t>Percentile</w:t>
            </w:r>
            <w:r w:rsidR="00770FC8" w:rsidRPr="0072729B">
              <w:rPr>
                <w:rFonts w:ascii="Times New Roman" w:eastAsia="Times New Roman" w:hAnsi="Times New Roman" w:cs="Times New Roman"/>
                <w:color w:val="000000"/>
                <w:sz w:val="20"/>
                <w:szCs w:val="20"/>
              </w:rPr>
              <w:t xml:space="preserve"> </w:t>
            </w:r>
            <w:r w:rsidRPr="0072729B">
              <w:rPr>
                <w:rFonts w:ascii="Times New Roman" w:eastAsia="Times New Roman" w:hAnsi="Times New Roman" w:cs="Times New Roman"/>
                <w:color w:val="000000"/>
                <w:sz w:val="20"/>
                <w:szCs w:val="20"/>
              </w:rPr>
              <w:t>GPA and Math Scaled Score</w:t>
            </w:r>
          </w:p>
        </w:tc>
        <w:tc>
          <w:tcPr>
            <w:tcW w:w="1690" w:type="dxa"/>
            <w:tcBorders>
              <w:top w:val="single" w:sz="4" w:space="0" w:color="auto"/>
              <w:left w:val="nil"/>
              <w:bottom w:val="single" w:sz="4" w:space="0" w:color="auto"/>
              <w:right w:val="nil"/>
            </w:tcBorders>
            <w:shd w:val="clear" w:color="auto" w:fill="auto"/>
            <w:noWrap/>
            <w:vAlign w:val="bottom"/>
            <w:hideMark/>
          </w:tcPr>
          <w:p w14:paraId="1E02E412" w14:textId="0F607B09"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25</w:t>
            </w:r>
            <w:r w:rsidRPr="0072729B">
              <w:rPr>
                <w:rFonts w:ascii="Times New Roman" w:eastAsia="Times New Roman" w:hAnsi="Times New Roman" w:cs="Times New Roman"/>
                <w:color w:val="000000"/>
                <w:sz w:val="20"/>
                <w:szCs w:val="20"/>
                <w:vertAlign w:val="superscript"/>
              </w:rPr>
              <w:t>th</w:t>
            </w:r>
            <w:r w:rsidRPr="0072729B">
              <w:rPr>
                <w:rFonts w:ascii="Times New Roman" w:eastAsia="Times New Roman" w:hAnsi="Times New Roman" w:cs="Times New Roman"/>
                <w:color w:val="000000"/>
                <w:sz w:val="20"/>
                <w:szCs w:val="20"/>
              </w:rPr>
              <w:t xml:space="preserve"> </w:t>
            </w:r>
            <w:r w:rsidR="00770FC8">
              <w:rPr>
                <w:rFonts w:ascii="Times New Roman" w:eastAsia="Times New Roman" w:hAnsi="Times New Roman" w:cs="Times New Roman"/>
                <w:color w:val="000000"/>
                <w:sz w:val="20"/>
                <w:szCs w:val="20"/>
              </w:rPr>
              <w:t>Percentile</w:t>
            </w:r>
            <w:r w:rsidR="00770FC8" w:rsidRPr="0072729B">
              <w:rPr>
                <w:rFonts w:ascii="Times New Roman" w:eastAsia="Times New Roman" w:hAnsi="Times New Roman" w:cs="Times New Roman"/>
                <w:color w:val="000000"/>
                <w:sz w:val="20"/>
                <w:szCs w:val="20"/>
              </w:rPr>
              <w:t xml:space="preserve"> </w:t>
            </w:r>
            <w:r w:rsidRPr="0072729B">
              <w:rPr>
                <w:rFonts w:ascii="Times New Roman" w:eastAsia="Times New Roman" w:hAnsi="Times New Roman" w:cs="Times New Roman"/>
                <w:color w:val="000000"/>
                <w:sz w:val="20"/>
                <w:szCs w:val="20"/>
              </w:rPr>
              <w:t>GPA and Math Scaled Score</w:t>
            </w:r>
          </w:p>
        </w:tc>
        <w:tc>
          <w:tcPr>
            <w:tcW w:w="1690" w:type="dxa"/>
            <w:tcBorders>
              <w:top w:val="single" w:sz="4" w:space="0" w:color="auto"/>
              <w:left w:val="nil"/>
              <w:bottom w:val="single" w:sz="4" w:space="0" w:color="auto"/>
              <w:right w:val="nil"/>
            </w:tcBorders>
            <w:shd w:val="clear" w:color="auto" w:fill="auto"/>
            <w:noWrap/>
            <w:vAlign w:val="bottom"/>
            <w:hideMark/>
          </w:tcPr>
          <w:p w14:paraId="6FF45536" w14:textId="4D400530"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50</w:t>
            </w:r>
            <w:r w:rsidRPr="0072729B">
              <w:rPr>
                <w:rFonts w:ascii="Times New Roman" w:eastAsia="Times New Roman" w:hAnsi="Times New Roman" w:cs="Times New Roman"/>
                <w:color w:val="000000"/>
                <w:sz w:val="20"/>
                <w:szCs w:val="20"/>
                <w:vertAlign w:val="superscript"/>
              </w:rPr>
              <w:t>th</w:t>
            </w:r>
            <w:r w:rsidRPr="0072729B">
              <w:rPr>
                <w:rFonts w:ascii="Times New Roman" w:eastAsia="Times New Roman" w:hAnsi="Times New Roman" w:cs="Times New Roman"/>
                <w:color w:val="000000"/>
                <w:sz w:val="20"/>
                <w:szCs w:val="20"/>
              </w:rPr>
              <w:t xml:space="preserve"> </w:t>
            </w:r>
            <w:r w:rsidR="00770FC8">
              <w:rPr>
                <w:rFonts w:ascii="Times New Roman" w:eastAsia="Times New Roman" w:hAnsi="Times New Roman" w:cs="Times New Roman"/>
                <w:color w:val="000000"/>
                <w:sz w:val="20"/>
                <w:szCs w:val="20"/>
              </w:rPr>
              <w:t>Percentile</w:t>
            </w:r>
            <w:r w:rsidR="00770FC8" w:rsidRPr="0072729B">
              <w:rPr>
                <w:rFonts w:ascii="Times New Roman" w:eastAsia="Times New Roman" w:hAnsi="Times New Roman" w:cs="Times New Roman"/>
                <w:color w:val="000000"/>
                <w:sz w:val="20"/>
                <w:szCs w:val="20"/>
              </w:rPr>
              <w:t xml:space="preserve"> </w:t>
            </w:r>
            <w:r w:rsidRPr="0072729B">
              <w:rPr>
                <w:rFonts w:ascii="Times New Roman" w:eastAsia="Times New Roman" w:hAnsi="Times New Roman" w:cs="Times New Roman"/>
                <w:color w:val="000000"/>
                <w:sz w:val="20"/>
                <w:szCs w:val="20"/>
              </w:rPr>
              <w:t>GPA and Math Scaled Score</w:t>
            </w:r>
          </w:p>
        </w:tc>
        <w:tc>
          <w:tcPr>
            <w:tcW w:w="1690" w:type="dxa"/>
            <w:tcBorders>
              <w:top w:val="single" w:sz="4" w:space="0" w:color="auto"/>
              <w:left w:val="nil"/>
              <w:bottom w:val="single" w:sz="4" w:space="0" w:color="auto"/>
              <w:right w:val="nil"/>
            </w:tcBorders>
            <w:shd w:val="clear" w:color="auto" w:fill="auto"/>
            <w:noWrap/>
            <w:vAlign w:val="bottom"/>
            <w:hideMark/>
          </w:tcPr>
          <w:p w14:paraId="0B75EE2F" w14:textId="35D5BE23"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75</w:t>
            </w:r>
            <w:r w:rsidRPr="0072729B">
              <w:rPr>
                <w:rFonts w:ascii="Times New Roman" w:eastAsia="Times New Roman" w:hAnsi="Times New Roman" w:cs="Times New Roman"/>
                <w:color w:val="000000"/>
                <w:sz w:val="20"/>
                <w:szCs w:val="20"/>
                <w:vertAlign w:val="superscript"/>
              </w:rPr>
              <w:t>th</w:t>
            </w:r>
            <w:r w:rsidRPr="0072729B">
              <w:rPr>
                <w:rFonts w:ascii="Times New Roman" w:eastAsia="Times New Roman" w:hAnsi="Times New Roman" w:cs="Times New Roman"/>
                <w:color w:val="000000"/>
                <w:sz w:val="20"/>
                <w:szCs w:val="20"/>
              </w:rPr>
              <w:t xml:space="preserve"> </w:t>
            </w:r>
            <w:r w:rsidR="00770FC8">
              <w:rPr>
                <w:rFonts w:ascii="Times New Roman" w:eastAsia="Times New Roman" w:hAnsi="Times New Roman" w:cs="Times New Roman"/>
                <w:color w:val="000000"/>
                <w:sz w:val="20"/>
                <w:szCs w:val="20"/>
              </w:rPr>
              <w:t>Percentile</w:t>
            </w:r>
            <w:r w:rsidR="00770FC8" w:rsidRPr="0072729B">
              <w:rPr>
                <w:rFonts w:ascii="Times New Roman" w:eastAsia="Times New Roman" w:hAnsi="Times New Roman" w:cs="Times New Roman"/>
                <w:color w:val="000000"/>
                <w:sz w:val="20"/>
                <w:szCs w:val="20"/>
              </w:rPr>
              <w:t xml:space="preserve"> </w:t>
            </w:r>
            <w:r w:rsidRPr="0072729B">
              <w:rPr>
                <w:rFonts w:ascii="Times New Roman" w:eastAsia="Times New Roman" w:hAnsi="Times New Roman" w:cs="Times New Roman"/>
                <w:color w:val="000000"/>
                <w:sz w:val="20"/>
                <w:szCs w:val="20"/>
              </w:rPr>
              <w:t>GPA and Math Scaled Score</w:t>
            </w:r>
          </w:p>
        </w:tc>
      </w:tr>
      <w:tr w:rsidR="00CC5E1B" w:rsidRPr="0072729B" w14:paraId="2EBC9265" w14:textId="77777777" w:rsidTr="0072729B">
        <w:trPr>
          <w:trHeight w:val="300"/>
        </w:trPr>
        <w:tc>
          <w:tcPr>
            <w:tcW w:w="1410" w:type="dxa"/>
            <w:tcBorders>
              <w:top w:val="single" w:sz="4" w:space="0" w:color="auto"/>
              <w:left w:val="nil"/>
              <w:bottom w:val="nil"/>
              <w:right w:val="nil"/>
            </w:tcBorders>
            <w:shd w:val="clear" w:color="auto" w:fill="auto"/>
            <w:noWrap/>
            <w:vAlign w:val="bottom"/>
            <w:hideMark/>
          </w:tcPr>
          <w:p w14:paraId="01CA1728" w14:textId="4F7357A3"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&lt; 2.30</w:t>
            </w:r>
          </w:p>
        </w:tc>
        <w:tc>
          <w:tcPr>
            <w:tcW w:w="1410" w:type="dxa"/>
            <w:tcBorders>
              <w:top w:val="single" w:sz="4" w:space="0" w:color="auto"/>
              <w:left w:val="nil"/>
              <w:bottom w:val="nil"/>
              <w:right w:val="nil"/>
            </w:tcBorders>
            <w:shd w:val="clear" w:color="auto" w:fill="auto"/>
            <w:noWrap/>
            <w:vAlign w:val="bottom"/>
            <w:hideMark/>
          </w:tcPr>
          <w:p w14:paraId="40E714CD" w14:textId="62155583" w:rsidR="002A55C2"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B60</w:t>
            </w:r>
          </w:p>
        </w:tc>
        <w:tc>
          <w:tcPr>
            <w:tcW w:w="1690" w:type="dxa"/>
            <w:tcBorders>
              <w:top w:val="single" w:sz="4" w:space="0" w:color="auto"/>
              <w:left w:val="nil"/>
              <w:bottom w:val="nil"/>
              <w:right w:val="nil"/>
            </w:tcBorders>
            <w:shd w:val="clear" w:color="auto" w:fill="auto"/>
            <w:noWrap/>
            <w:vAlign w:val="bottom"/>
            <w:hideMark/>
          </w:tcPr>
          <w:p w14:paraId="7C15C9F3"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0.09</w:t>
            </w:r>
          </w:p>
        </w:tc>
        <w:tc>
          <w:tcPr>
            <w:tcW w:w="1690" w:type="dxa"/>
            <w:tcBorders>
              <w:top w:val="single" w:sz="4" w:space="0" w:color="auto"/>
              <w:left w:val="nil"/>
              <w:bottom w:val="nil"/>
              <w:right w:val="nil"/>
            </w:tcBorders>
            <w:shd w:val="clear" w:color="auto" w:fill="auto"/>
            <w:noWrap/>
            <w:vAlign w:val="bottom"/>
            <w:hideMark/>
          </w:tcPr>
          <w:p w14:paraId="6AF15913"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0.12</w:t>
            </w:r>
          </w:p>
        </w:tc>
        <w:tc>
          <w:tcPr>
            <w:tcW w:w="1690" w:type="dxa"/>
            <w:tcBorders>
              <w:top w:val="single" w:sz="4" w:space="0" w:color="auto"/>
              <w:left w:val="nil"/>
              <w:bottom w:val="nil"/>
              <w:right w:val="nil"/>
            </w:tcBorders>
            <w:shd w:val="clear" w:color="auto" w:fill="auto"/>
            <w:noWrap/>
            <w:vAlign w:val="bottom"/>
            <w:hideMark/>
          </w:tcPr>
          <w:p w14:paraId="47F31A06"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0.17</w:t>
            </w:r>
          </w:p>
        </w:tc>
        <w:tc>
          <w:tcPr>
            <w:tcW w:w="1690" w:type="dxa"/>
            <w:tcBorders>
              <w:top w:val="single" w:sz="4" w:space="0" w:color="auto"/>
              <w:left w:val="nil"/>
              <w:bottom w:val="nil"/>
              <w:right w:val="nil"/>
            </w:tcBorders>
            <w:shd w:val="clear" w:color="auto" w:fill="auto"/>
            <w:noWrap/>
            <w:vAlign w:val="bottom"/>
            <w:hideMark/>
          </w:tcPr>
          <w:p w14:paraId="7895ADAC"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0.00</w:t>
            </w:r>
          </w:p>
        </w:tc>
        <w:tc>
          <w:tcPr>
            <w:tcW w:w="1690" w:type="dxa"/>
            <w:tcBorders>
              <w:top w:val="single" w:sz="4" w:space="0" w:color="auto"/>
              <w:left w:val="nil"/>
              <w:bottom w:val="nil"/>
              <w:right w:val="nil"/>
            </w:tcBorders>
            <w:shd w:val="clear" w:color="auto" w:fill="auto"/>
            <w:noWrap/>
            <w:vAlign w:val="bottom"/>
            <w:hideMark/>
          </w:tcPr>
          <w:p w14:paraId="2134A90E"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0.00</w:t>
            </w:r>
          </w:p>
        </w:tc>
        <w:tc>
          <w:tcPr>
            <w:tcW w:w="1690" w:type="dxa"/>
            <w:tcBorders>
              <w:top w:val="single" w:sz="4" w:space="0" w:color="auto"/>
              <w:left w:val="nil"/>
              <w:bottom w:val="nil"/>
              <w:right w:val="nil"/>
            </w:tcBorders>
            <w:shd w:val="clear" w:color="auto" w:fill="auto"/>
            <w:noWrap/>
            <w:vAlign w:val="bottom"/>
            <w:hideMark/>
          </w:tcPr>
          <w:p w14:paraId="7C464471"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0.01</w:t>
            </w:r>
          </w:p>
        </w:tc>
      </w:tr>
      <w:tr w:rsidR="00CC5E1B" w:rsidRPr="0072729B" w14:paraId="6CF81CAC" w14:textId="77777777" w:rsidTr="0072729B">
        <w:trPr>
          <w:trHeight w:val="300"/>
        </w:trPr>
        <w:tc>
          <w:tcPr>
            <w:tcW w:w="1410" w:type="dxa"/>
            <w:tcBorders>
              <w:top w:val="nil"/>
              <w:left w:val="nil"/>
              <w:bottom w:val="nil"/>
              <w:right w:val="nil"/>
            </w:tcBorders>
            <w:shd w:val="clear" w:color="auto" w:fill="auto"/>
            <w:noWrap/>
            <w:vAlign w:val="bottom"/>
            <w:hideMark/>
          </w:tcPr>
          <w:p w14:paraId="13490389" w14:textId="77777777"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73196640" w14:textId="0F3A1F9B" w:rsidR="002A55C2"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B65</w:t>
            </w:r>
          </w:p>
        </w:tc>
        <w:tc>
          <w:tcPr>
            <w:tcW w:w="1690" w:type="dxa"/>
            <w:tcBorders>
              <w:top w:val="nil"/>
              <w:left w:val="nil"/>
              <w:bottom w:val="nil"/>
              <w:right w:val="nil"/>
            </w:tcBorders>
            <w:shd w:val="clear" w:color="auto" w:fill="auto"/>
            <w:noWrap/>
            <w:vAlign w:val="bottom"/>
            <w:hideMark/>
          </w:tcPr>
          <w:p w14:paraId="30748A08"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0.07</w:t>
            </w:r>
          </w:p>
        </w:tc>
        <w:tc>
          <w:tcPr>
            <w:tcW w:w="1690" w:type="dxa"/>
            <w:tcBorders>
              <w:top w:val="nil"/>
              <w:left w:val="nil"/>
              <w:bottom w:val="nil"/>
              <w:right w:val="nil"/>
            </w:tcBorders>
            <w:shd w:val="clear" w:color="auto" w:fill="auto"/>
            <w:noWrap/>
            <w:vAlign w:val="bottom"/>
            <w:hideMark/>
          </w:tcPr>
          <w:p w14:paraId="01E0143A"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0.10</w:t>
            </w:r>
          </w:p>
        </w:tc>
        <w:tc>
          <w:tcPr>
            <w:tcW w:w="1690" w:type="dxa"/>
            <w:tcBorders>
              <w:top w:val="nil"/>
              <w:left w:val="nil"/>
              <w:bottom w:val="nil"/>
              <w:right w:val="nil"/>
            </w:tcBorders>
            <w:shd w:val="clear" w:color="auto" w:fill="auto"/>
            <w:noWrap/>
            <w:vAlign w:val="bottom"/>
            <w:hideMark/>
          </w:tcPr>
          <w:p w14:paraId="0C7494D8"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0.16</w:t>
            </w:r>
          </w:p>
        </w:tc>
        <w:tc>
          <w:tcPr>
            <w:tcW w:w="1690" w:type="dxa"/>
            <w:tcBorders>
              <w:top w:val="nil"/>
              <w:left w:val="nil"/>
              <w:bottom w:val="nil"/>
              <w:right w:val="nil"/>
            </w:tcBorders>
            <w:shd w:val="clear" w:color="auto" w:fill="auto"/>
            <w:noWrap/>
            <w:vAlign w:val="bottom"/>
            <w:hideMark/>
          </w:tcPr>
          <w:p w14:paraId="53919D5E"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0.04</w:t>
            </w:r>
          </w:p>
        </w:tc>
        <w:tc>
          <w:tcPr>
            <w:tcW w:w="1690" w:type="dxa"/>
            <w:tcBorders>
              <w:top w:val="nil"/>
              <w:left w:val="nil"/>
              <w:bottom w:val="nil"/>
              <w:right w:val="nil"/>
            </w:tcBorders>
            <w:shd w:val="clear" w:color="auto" w:fill="auto"/>
            <w:noWrap/>
            <w:vAlign w:val="bottom"/>
            <w:hideMark/>
          </w:tcPr>
          <w:p w14:paraId="144EF625"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0.07</w:t>
            </w:r>
          </w:p>
        </w:tc>
        <w:tc>
          <w:tcPr>
            <w:tcW w:w="1690" w:type="dxa"/>
            <w:tcBorders>
              <w:top w:val="nil"/>
              <w:left w:val="nil"/>
              <w:bottom w:val="nil"/>
              <w:right w:val="nil"/>
            </w:tcBorders>
            <w:shd w:val="clear" w:color="auto" w:fill="auto"/>
            <w:noWrap/>
            <w:vAlign w:val="bottom"/>
            <w:hideMark/>
          </w:tcPr>
          <w:p w14:paraId="3445987F"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0.13</w:t>
            </w:r>
          </w:p>
        </w:tc>
      </w:tr>
      <w:tr w:rsidR="00CC5E1B" w:rsidRPr="0072729B" w14:paraId="3319126F" w14:textId="77777777" w:rsidTr="0072729B">
        <w:trPr>
          <w:trHeight w:val="300"/>
        </w:trPr>
        <w:tc>
          <w:tcPr>
            <w:tcW w:w="1410" w:type="dxa"/>
            <w:tcBorders>
              <w:top w:val="nil"/>
              <w:left w:val="nil"/>
              <w:bottom w:val="nil"/>
              <w:right w:val="nil"/>
            </w:tcBorders>
            <w:shd w:val="clear" w:color="auto" w:fill="auto"/>
            <w:noWrap/>
            <w:vAlign w:val="bottom"/>
            <w:hideMark/>
          </w:tcPr>
          <w:p w14:paraId="0570D8D7" w14:textId="77777777"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553B6860" w14:textId="0D9D6042" w:rsidR="002A55C2"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LRNC B530</w:t>
            </w:r>
          </w:p>
        </w:tc>
        <w:tc>
          <w:tcPr>
            <w:tcW w:w="1690" w:type="dxa"/>
            <w:tcBorders>
              <w:top w:val="nil"/>
              <w:left w:val="nil"/>
              <w:bottom w:val="nil"/>
              <w:right w:val="nil"/>
            </w:tcBorders>
            <w:shd w:val="clear" w:color="auto" w:fill="auto"/>
            <w:noWrap/>
            <w:vAlign w:val="bottom"/>
            <w:hideMark/>
          </w:tcPr>
          <w:p w14:paraId="63201486"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0.32</w:t>
            </w:r>
          </w:p>
        </w:tc>
        <w:tc>
          <w:tcPr>
            <w:tcW w:w="1690" w:type="dxa"/>
            <w:tcBorders>
              <w:top w:val="nil"/>
              <w:left w:val="nil"/>
              <w:bottom w:val="nil"/>
              <w:right w:val="nil"/>
            </w:tcBorders>
            <w:shd w:val="clear" w:color="auto" w:fill="auto"/>
            <w:noWrap/>
            <w:vAlign w:val="bottom"/>
            <w:hideMark/>
          </w:tcPr>
          <w:p w14:paraId="60C036DD"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0.43</w:t>
            </w:r>
          </w:p>
        </w:tc>
        <w:tc>
          <w:tcPr>
            <w:tcW w:w="1690" w:type="dxa"/>
            <w:tcBorders>
              <w:top w:val="nil"/>
              <w:left w:val="nil"/>
              <w:bottom w:val="nil"/>
              <w:right w:val="nil"/>
            </w:tcBorders>
            <w:shd w:val="clear" w:color="auto" w:fill="auto"/>
            <w:noWrap/>
            <w:vAlign w:val="bottom"/>
            <w:hideMark/>
          </w:tcPr>
          <w:p w14:paraId="4905A27D"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0.57</w:t>
            </w:r>
          </w:p>
        </w:tc>
        <w:tc>
          <w:tcPr>
            <w:tcW w:w="1690" w:type="dxa"/>
            <w:tcBorders>
              <w:top w:val="nil"/>
              <w:left w:val="nil"/>
              <w:bottom w:val="nil"/>
              <w:right w:val="nil"/>
            </w:tcBorders>
            <w:shd w:val="clear" w:color="auto" w:fill="auto"/>
            <w:noWrap/>
            <w:vAlign w:val="bottom"/>
            <w:hideMark/>
          </w:tcPr>
          <w:p w14:paraId="7D21DBD4" w14:textId="1B515141" w:rsidR="002A55C2" w:rsidRPr="0072729B" w:rsidRDefault="002A55C2" w:rsidP="0072729B">
            <w:pPr>
              <w:tabs>
                <w:tab w:val="decimal" w:pos="665"/>
              </w:tabs>
              <w:spacing w:after="0" w:line="240" w:lineRule="auto"/>
              <w:jc w:val="center"/>
              <w:rPr>
                <w:rFonts w:ascii="Times New Roman" w:eastAsia="Times New Roman" w:hAnsi="Times New Roman" w:cs="Times New Roman"/>
                <w:color w:val="000000" w:themeColor="text1"/>
                <w:sz w:val="20"/>
                <w:szCs w:val="20"/>
              </w:rPr>
            </w:pPr>
            <w:r w:rsidRPr="0072729B">
              <w:rPr>
                <w:rFonts w:ascii="Times New Roman" w:eastAsia="Times New Roman" w:hAnsi="Times New Roman" w:cs="Times New Roman"/>
                <w:color w:val="000000" w:themeColor="text1"/>
                <w:sz w:val="20"/>
                <w:szCs w:val="20"/>
              </w:rPr>
              <w:t>----------</w:t>
            </w:r>
          </w:p>
        </w:tc>
        <w:tc>
          <w:tcPr>
            <w:tcW w:w="1690" w:type="dxa"/>
            <w:tcBorders>
              <w:top w:val="nil"/>
              <w:left w:val="nil"/>
              <w:bottom w:val="nil"/>
              <w:right w:val="nil"/>
            </w:tcBorders>
            <w:shd w:val="clear" w:color="auto" w:fill="auto"/>
            <w:noWrap/>
            <w:vAlign w:val="bottom"/>
            <w:hideMark/>
          </w:tcPr>
          <w:p w14:paraId="16FB4E74" w14:textId="08F1AC67" w:rsidR="002A55C2" w:rsidRPr="0072729B" w:rsidRDefault="002A55C2" w:rsidP="0072729B">
            <w:pPr>
              <w:tabs>
                <w:tab w:val="decimal" w:pos="665"/>
              </w:tabs>
              <w:spacing w:after="0" w:line="240" w:lineRule="auto"/>
              <w:jc w:val="center"/>
              <w:rPr>
                <w:rFonts w:ascii="Times New Roman" w:eastAsia="Times New Roman" w:hAnsi="Times New Roman" w:cs="Times New Roman"/>
                <w:color w:val="000000" w:themeColor="text1"/>
                <w:sz w:val="20"/>
                <w:szCs w:val="20"/>
              </w:rPr>
            </w:pPr>
            <w:r w:rsidRPr="0082328E">
              <w:rPr>
                <w:rFonts w:ascii="Times New Roman" w:eastAsia="Times New Roman" w:hAnsi="Times New Roman" w:cs="Times New Roman"/>
                <w:color w:val="000000" w:themeColor="text1"/>
                <w:sz w:val="20"/>
                <w:szCs w:val="20"/>
              </w:rPr>
              <w:t>----------</w:t>
            </w:r>
          </w:p>
        </w:tc>
        <w:tc>
          <w:tcPr>
            <w:tcW w:w="1690" w:type="dxa"/>
            <w:tcBorders>
              <w:top w:val="nil"/>
              <w:left w:val="nil"/>
              <w:bottom w:val="nil"/>
              <w:right w:val="nil"/>
            </w:tcBorders>
            <w:shd w:val="clear" w:color="auto" w:fill="auto"/>
            <w:noWrap/>
            <w:vAlign w:val="bottom"/>
            <w:hideMark/>
          </w:tcPr>
          <w:p w14:paraId="41FD725C" w14:textId="0010C07A" w:rsidR="002A55C2" w:rsidRPr="0072729B" w:rsidRDefault="002A55C2" w:rsidP="0072729B">
            <w:pPr>
              <w:tabs>
                <w:tab w:val="decimal" w:pos="665"/>
              </w:tabs>
              <w:spacing w:after="0" w:line="240" w:lineRule="auto"/>
              <w:jc w:val="center"/>
              <w:rPr>
                <w:rFonts w:ascii="Times New Roman" w:eastAsia="Times New Roman" w:hAnsi="Times New Roman" w:cs="Times New Roman"/>
                <w:color w:val="000000" w:themeColor="text1"/>
                <w:sz w:val="20"/>
                <w:szCs w:val="20"/>
              </w:rPr>
            </w:pPr>
            <w:r w:rsidRPr="0082328E">
              <w:rPr>
                <w:rFonts w:ascii="Times New Roman" w:eastAsia="Times New Roman" w:hAnsi="Times New Roman" w:cs="Times New Roman"/>
                <w:color w:val="000000" w:themeColor="text1"/>
                <w:sz w:val="20"/>
                <w:szCs w:val="20"/>
              </w:rPr>
              <w:t>----------</w:t>
            </w:r>
          </w:p>
        </w:tc>
      </w:tr>
      <w:tr w:rsidR="00CC5E1B" w:rsidRPr="0072729B" w14:paraId="22DC0221" w14:textId="77777777" w:rsidTr="0072729B">
        <w:trPr>
          <w:trHeight w:val="300"/>
        </w:trPr>
        <w:tc>
          <w:tcPr>
            <w:tcW w:w="1410" w:type="dxa"/>
            <w:tcBorders>
              <w:top w:val="nil"/>
              <w:left w:val="nil"/>
              <w:bottom w:val="nil"/>
              <w:right w:val="nil"/>
            </w:tcBorders>
            <w:shd w:val="clear" w:color="auto" w:fill="auto"/>
            <w:noWrap/>
            <w:vAlign w:val="bottom"/>
            <w:hideMark/>
          </w:tcPr>
          <w:p w14:paraId="63E4EC16" w14:textId="77777777" w:rsidR="002A55C2" w:rsidRPr="0072729B" w:rsidRDefault="002A55C2" w:rsidP="0072729B">
            <w:pPr>
              <w:spacing w:after="0" w:line="240" w:lineRule="auto"/>
              <w:jc w:val="center"/>
              <w:rPr>
                <w:rFonts w:ascii="Times New Roman" w:eastAsia="Times New Roman" w:hAnsi="Times New Roman" w:cs="Times New Roman"/>
                <w:color w:val="BFBFBF"/>
                <w:sz w:val="20"/>
                <w:szCs w:val="20"/>
              </w:rPr>
            </w:pPr>
          </w:p>
        </w:tc>
        <w:tc>
          <w:tcPr>
            <w:tcW w:w="1410" w:type="dxa"/>
            <w:tcBorders>
              <w:top w:val="nil"/>
              <w:left w:val="nil"/>
              <w:bottom w:val="nil"/>
              <w:right w:val="nil"/>
            </w:tcBorders>
            <w:shd w:val="clear" w:color="auto" w:fill="auto"/>
            <w:noWrap/>
            <w:vAlign w:val="bottom"/>
            <w:hideMark/>
          </w:tcPr>
          <w:p w14:paraId="6041F7EF" w14:textId="13E380BA" w:rsidR="002A55C2"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B70</w:t>
            </w:r>
          </w:p>
        </w:tc>
        <w:tc>
          <w:tcPr>
            <w:tcW w:w="1690" w:type="dxa"/>
            <w:tcBorders>
              <w:top w:val="nil"/>
              <w:left w:val="nil"/>
              <w:bottom w:val="nil"/>
              <w:right w:val="nil"/>
            </w:tcBorders>
            <w:shd w:val="clear" w:color="auto" w:fill="auto"/>
            <w:noWrap/>
            <w:vAlign w:val="bottom"/>
            <w:hideMark/>
          </w:tcPr>
          <w:p w14:paraId="5DD173E6"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0.19</w:t>
            </w:r>
          </w:p>
        </w:tc>
        <w:tc>
          <w:tcPr>
            <w:tcW w:w="1690" w:type="dxa"/>
            <w:tcBorders>
              <w:top w:val="nil"/>
              <w:left w:val="nil"/>
              <w:bottom w:val="nil"/>
              <w:right w:val="nil"/>
            </w:tcBorders>
            <w:shd w:val="clear" w:color="auto" w:fill="auto"/>
            <w:noWrap/>
            <w:vAlign w:val="bottom"/>
            <w:hideMark/>
          </w:tcPr>
          <w:p w14:paraId="475823DC"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0.26</w:t>
            </w:r>
          </w:p>
        </w:tc>
        <w:tc>
          <w:tcPr>
            <w:tcW w:w="1690" w:type="dxa"/>
            <w:tcBorders>
              <w:top w:val="nil"/>
              <w:left w:val="nil"/>
              <w:bottom w:val="nil"/>
              <w:right w:val="nil"/>
            </w:tcBorders>
            <w:shd w:val="clear" w:color="auto" w:fill="auto"/>
            <w:noWrap/>
            <w:vAlign w:val="bottom"/>
            <w:hideMark/>
          </w:tcPr>
          <w:p w14:paraId="1B647894"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0.35</w:t>
            </w:r>
          </w:p>
        </w:tc>
        <w:tc>
          <w:tcPr>
            <w:tcW w:w="1690" w:type="dxa"/>
            <w:tcBorders>
              <w:top w:val="nil"/>
              <w:left w:val="nil"/>
              <w:bottom w:val="nil"/>
              <w:right w:val="nil"/>
            </w:tcBorders>
            <w:shd w:val="clear" w:color="auto" w:fill="auto"/>
            <w:noWrap/>
            <w:vAlign w:val="bottom"/>
            <w:hideMark/>
          </w:tcPr>
          <w:p w14:paraId="7E5193AF"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0.04</w:t>
            </w:r>
          </w:p>
        </w:tc>
        <w:tc>
          <w:tcPr>
            <w:tcW w:w="1690" w:type="dxa"/>
            <w:tcBorders>
              <w:top w:val="nil"/>
              <w:left w:val="nil"/>
              <w:bottom w:val="nil"/>
              <w:right w:val="nil"/>
            </w:tcBorders>
            <w:shd w:val="clear" w:color="auto" w:fill="auto"/>
            <w:noWrap/>
            <w:vAlign w:val="bottom"/>
            <w:hideMark/>
          </w:tcPr>
          <w:p w14:paraId="1A9B9311"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0.05</w:t>
            </w:r>
          </w:p>
        </w:tc>
        <w:tc>
          <w:tcPr>
            <w:tcW w:w="1690" w:type="dxa"/>
            <w:tcBorders>
              <w:top w:val="nil"/>
              <w:left w:val="nil"/>
              <w:bottom w:val="nil"/>
              <w:right w:val="nil"/>
            </w:tcBorders>
            <w:shd w:val="clear" w:color="auto" w:fill="auto"/>
            <w:noWrap/>
            <w:vAlign w:val="bottom"/>
            <w:hideMark/>
          </w:tcPr>
          <w:p w14:paraId="5D65BBA1"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0.07</w:t>
            </w:r>
          </w:p>
        </w:tc>
      </w:tr>
      <w:tr w:rsidR="00CC5E1B" w:rsidRPr="0072729B" w14:paraId="63E26C81" w14:textId="77777777" w:rsidTr="0072729B">
        <w:trPr>
          <w:trHeight w:val="300"/>
        </w:trPr>
        <w:tc>
          <w:tcPr>
            <w:tcW w:w="1410" w:type="dxa"/>
            <w:tcBorders>
              <w:top w:val="nil"/>
              <w:left w:val="nil"/>
              <w:bottom w:val="nil"/>
              <w:right w:val="nil"/>
            </w:tcBorders>
            <w:shd w:val="clear" w:color="auto" w:fill="auto"/>
            <w:noWrap/>
            <w:vAlign w:val="bottom"/>
            <w:hideMark/>
          </w:tcPr>
          <w:p w14:paraId="6D4A8261" w14:textId="77777777"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5E78ADA3" w14:textId="519C1516" w:rsidR="002A55C2"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B1A</w:t>
            </w:r>
          </w:p>
        </w:tc>
        <w:tc>
          <w:tcPr>
            <w:tcW w:w="1690" w:type="dxa"/>
            <w:tcBorders>
              <w:top w:val="nil"/>
              <w:left w:val="nil"/>
              <w:bottom w:val="nil"/>
              <w:right w:val="nil"/>
            </w:tcBorders>
            <w:shd w:val="clear" w:color="auto" w:fill="auto"/>
            <w:noWrap/>
            <w:vAlign w:val="bottom"/>
            <w:hideMark/>
          </w:tcPr>
          <w:p w14:paraId="56AA1D5B"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0.13</w:t>
            </w:r>
          </w:p>
        </w:tc>
        <w:tc>
          <w:tcPr>
            <w:tcW w:w="1690" w:type="dxa"/>
            <w:tcBorders>
              <w:top w:val="nil"/>
              <w:left w:val="nil"/>
              <w:bottom w:val="nil"/>
              <w:right w:val="nil"/>
            </w:tcBorders>
            <w:shd w:val="clear" w:color="auto" w:fill="auto"/>
            <w:noWrap/>
            <w:vAlign w:val="bottom"/>
            <w:hideMark/>
          </w:tcPr>
          <w:p w14:paraId="57350F6A"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0.18</w:t>
            </w:r>
          </w:p>
        </w:tc>
        <w:tc>
          <w:tcPr>
            <w:tcW w:w="1690" w:type="dxa"/>
            <w:tcBorders>
              <w:top w:val="nil"/>
              <w:left w:val="nil"/>
              <w:bottom w:val="nil"/>
              <w:right w:val="nil"/>
            </w:tcBorders>
            <w:shd w:val="clear" w:color="auto" w:fill="auto"/>
            <w:noWrap/>
            <w:vAlign w:val="bottom"/>
            <w:hideMark/>
          </w:tcPr>
          <w:p w14:paraId="299D29CE"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0.26</w:t>
            </w:r>
          </w:p>
        </w:tc>
        <w:tc>
          <w:tcPr>
            <w:tcW w:w="1690" w:type="dxa"/>
            <w:tcBorders>
              <w:top w:val="nil"/>
              <w:left w:val="nil"/>
              <w:bottom w:val="nil"/>
              <w:right w:val="nil"/>
            </w:tcBorders>
            <w:shd w:val="clear" w:color="auto" w:fill="auto"/>
            <w:noWrap/>
            <w:vAlign w:val="bottom"/>
            <w:hideMark/>
          </w:tcPr>
          <w:p w14:paraId="31888156"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0.04</w:t>
            </w:r>
          </w:p>
        </w:tc>
        <w:tc>
          <w:tcPr>
            <w:tcW w:w="1690" w:type="dxa"/>
            <w:tcBorders>
              <w:top w:val="nil"/>
              <w:left w:val="nil"/>
              <w:bottom w:val="nil"/>
              <w:right w:val="nil"/>
            </w:tcBorders>
            <w:shd w:val="clear" w:color="auto" w:fill="auto"/>
            <w:noWrap/>
            <w:vAlign w:val="bottom"/>
            <w:hideMark/>
          </w:tcPr>
          <w:p w14:paraId="5CD6840D"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0.07</w:t>
            </w:r>
          </w:p>
        </w:tc>
        <w:tc>
          <w:tcPr>
            <w:tcW w:w="1690" w:type="dxa"/>
            <w:tcBorders>
              <w:top w:val="nil"/>
              <w:left w:val="nil"/>
              <w:bottom w:val="nil"/>
              <w:right w:val="nil"/>
            </w:tcBorders>
            <w:shd w:val="clear" w:color="auto" w:fill="auto"/>
            <w:noWrap/>
            <w:vAlign w:val="bottom"/>
            <w:hideMark/>
          </w:tcPr>
          <w:p w14:paraId="2C94CF53"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0.13</w:t>
            </w:r>
          </w:p>
        </w:tc>
      </w:tr>
      <w:tr w:rsidR="00CC5E1B" w:rsidRPr="0072729B" w14:paraId="30A2AD80" w14:textId="77777777" w:rsidTr="0072729B">
        <w:trPr>
          <w:trHeight w:val="300"/>
        </w:trPr>
        <w:tc>
          <w:tcPr>
            <w:tcW w:w="1410" w:type="dxa"/>
            <w:tcBorders>
              <w:top w:val="nil"/>
              <w:left w:val="nil"/>
              <w:bottom w:val="nil"/>
              <w:right w:val="nil"/>
            </w:tcBorders>
            <w:shd w:val="clear" w:color="auto" w:fill="auto"/>
            <w:noWrap/>
            <w:vAlign w:val="bottom"/>
            <w:hideMark/>
          </w:tcPr>
          <w:p w14:paraId="00698A67" w14:textId="77777777"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6BEF365B" w14:textId="0C57D50E" w:rsidR="002A55C2"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B22</w:t>
            </w:r>
          </w:p>
        </w:tc>
        <w:tc>
          <w:tcPr>
            <w:tcW w:w="1690" w:type="dxa"/>
            <w:tcBorders>
              <w:top w:val="nil"/>
              <w:left w:val="nil"/>
              <w:bottom w:val="nil"/>
              <w:right w:val="nil"/>
            </w:tcBorders>
            <w:shd w:val="clear" w:color="auto" w:fill="auto"/>
            <w:noWrap/>
            <w:vAlign w:val="bottom"/>
            <w:hideMark/>
          </w:tcPr>
          <w:p w14:paraId="53052FF4"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0.11</w:t>
            </w:r>
          </w:p>
        </w:tc>
        <w:tc>
          <w:tcPr>
            <w:tcW w:w="1690" w:type="dxa"/>
            <w:tcBorders>
              <w:top w:val="nil"/>
              <w:left w:val="nil"/>
              <w:bottom w:val="nil"/>
              <w:right w:val="nil"/>
            </w:tcBorders>
            <w:shd w:val="clear" w:color="auto" w:fill="auto"/>
            <w:noWrap/>
            <w:vAlign w:val="bottom"/>
            <w:hideMark/>
          </w:tcPr>
          <w:p w14:paraId="090D8547"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0.16</w:t>
            </w:r>
          </w:p>
        </w:tc>
        <w:tc>
          <w:tcPr>
            <w:tcW w:w="1690" w:type="dxa"/>
            <w:tcBorders>
              <w:top w:val="nil"/>
              <w:left w:val="nil"/>
              <w:bottom w:val="nil"/>
              <w:right w:val="nil"/>
            </w:tcBorders>
            <w:shd w:val="clear" w:color="auto" w:fill="auto"/>
            <w:noWrap/>
            <w:vAlign w:val="bottom"/>
            <w:hideMark/>
          </w:tcPr>
          <w:p w14:paraId="66BE9BE7"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0.23</w:t>
            </w:r>
          </w:p>
        </w:tc>
        <w:tc>
          <w:tcPr>
            <w:tcW w:w="1690" w:type="dxa"/>
            <w:tcBorders>
              <w:top w:val="nil"/>
              <w:left w:val="nil"/>
              <w:bottom w:val="nil"/>
              <w:right w:val="nil"/>
            </w:tcBorders>
            <w:shd w:val="clear" w:color="auto" w:fill="auto"/>
            <w:noWrap/>
            <w:vAlign w:val="bottom"/>
            <w:hideMark/>
          </w:tcPr>
          <w:p w14:paraId="180BBB7E"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0.05</w:t>
            </w:r>
          </w:p>
        </w:tc>
        <w:tc>
          <w:tcPr>
            <w:tcW w:w="1690" w:type="dxa"/>
            <w:tcBorders>
              <w:top w:val="nil"/>
              <w:left w:val="nil"/>
              <w:bottom w:val="nil"/>
              <w:right w:val="nil"/>
            </w:tcBorders>
            <w:shd w:val="clear" w:color="auto" w:fill="auto"/>
            <w:noWrap/>
            <w:vAlign w:val="bottom"/>
            <w:hideMark/>
          </w:tcPr>
          <w:p w14:paraId="1524A226"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0.08</w:t>
            </w:r>
          </w:p>
        </w:tc>
        <w:tc>
          <w:tcPr>
            <w:tcW w:w="1690" w:type="dxa"/>
            <w:tcBorders>
              <w:top w:val="nil"/>
              <w:left w:val="nil"/>
              <w:bottom w:val="nil"/>
              <w:right w:val="nil"/>
            </w:tcBorders>
            <w:shd w:val="clear" w:color="auto" w:fill="auto"/>
            <w:noWrap/>
            <w:vAlign w:val="bottom"/>
            <w:hideMark/>
          </w:tcPr>
          <w:p w14:paraId="396D4952"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0.13</w:t>
            </w:r>
          </w:p>
        </w:tc>
      </w:tr>
      <w:tr w:rsidR="00CC5E1B" w:rsidRPr="0072729B" w14:paraId="624B09BE" w14:textId="77777777" w:rsidTr="0072729B">
        <w:trPr>
          <w:trHeight w:val="300"/>
        </w:trPr>
        <w:tc>
          <w:tcPr>
            <w:tcW w:w="1410" w:type="dxa"/>
            <w:tcBorders>
              <w:top w:val="nil"/>
              <w:left w:val="nil"/>
              <w:bottom w:val="nil"/>
              <w:right w:val="nil"/>
            </w:tcBorders>
            <w:shd w:val="clear" w:color="auto" w:fill="auto"/>
            <w:noWrap/>
            <w:vAlign w:val="bottom"/>
            <w:hideMark/>
          </w:tcPr>
          <w:p w14:paraId="6BE6D1C0" w14:textId="77777777"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1109B32E" w14:textId="2CCEC704" w:rsidR="002A55C2"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Psyc B5</w:t>
            </w:r>
          </w:p>
        </w:tc>
        <w:tc>
          <w:tcPr>
            <w:tcW w:w="1690" w:type="dxa"/>
            <w:tcBorders>
              <w:top w:val="nil"/>
              <w:left w:val="nil"/>
              <w:bottom w:val="nil"/>
              <w:right w:val="nil"/>
            </w:tcBorders>
            <w:shd w:val="clear" w:color="auto" w:fill="auto"/>
            <w:noWrap/>
            <w:vAlign w:val="bottom"/>
            <w:hideMark/>
          </w:tcPr>
          <w:p w14:paraId="3C2BAC13"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0.42</w:t>
            </w:r>
          </w:p>
        </w:tc>
        <w:tc>
          <w:tcPr>
            <w:tcW w:w="1690" w:type="dxa"/>
            <w:tcBorders>
              <w:top w:val="nil"/>
              <w:left w:val="nil"/>
              <w:bottom w:val="nil"/>
              <w:right w:val="nil"/>
            </w:tcBorders>
            <w:shd w:val="clear" w:color="auto" w:fill="auto"/>
            <w:noWrap/>
            <w:vAlign w:val="bottom"/>
            <w:hideMark/>
          </w:tcPr>
          <w:p w14:paraId="72752FDD"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0.54</w:t>
            </w:r>
          </w:p>
        </w:tc>
        <w:tc>
          <w:tcPr>
            <w:tcW w:w="1690" w:type="dxa"/>
            <w:tcBorders>
              <w:top w:val="nil"/>
              <w:left w:val="nil"/>
              <w:bottom w:val="nil"/>
              <w:right w:val="nil"/>
            </w:tcBorders>
            <w:shd w:val="clear" w:color="auto" w:fill="auto"/>
            <w:noWrap/>
            <w:vAlign w:val="bottom"/>
            <w:hideMark/>
          </w:tcPr>
          <w:p w14:paraId="14BA1EC2"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0.68</w:t>
            </w:r>
          </w:p>
        </w:tc>
        <w:tc>
          <w:tcPr>
            <w:tcW w:w="1690" w:type="dxa"/>
            <w:tcBorders>
              <w:top w:val="nil"/>
              <w:left w:val="nil"/>
              <w:bottom w:val="nil"/>
              <w:right w:val="nil"/>
            </w:tcBorders>
            <w:shd w:val="clear" w:color="auto" w:fill="auto"/>
            <w:noWrap/>
            <w:vAlign w:val="bottom"/>
            <w:hideMark/>
          </w:tcPr>
          <w:p w14:paraId="1040F23E"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0.49</w:t>
            </w:r>
          </w:p>
        </w:tc>
        <w:tc>
          <w:tcPr>
            <w:tcW w:w="1690" w:type="dxa"/>
            <w:tcBorders>
              <w:top w:val="nil"/>
              <w:left w:val="nil"/>
              <w:bottom w:val="nil"/>
              <w:right w:val="nil"/>
            </w:tcBorders>
            <w:shd w:val="clear" w:color="auto" w:fill="auto"/>
            <w:noWrap/>
            <w:vAlign w:val="bottom"/>
            <w:hideMark/>
          </w:tcPr>
          <w:p w14:paraId="2699FEB4"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0.60</w:t>
            </w:r>
          </w:p>
        </w:tc>
        <w:tc>
          <w:tcPr>
            <w:tcW w:w="1690" w:type="dxa"/>
            <w:tcBorders>
              <w:top w:val="nil"/>
              <w:left w:val="nil"/>
              <w:bottom w:val="nil"/>
              <w:right w:val="nil"/>
            </w:tcBorders>
            <w:shd w:val="clear" w:color="auto" w:fill="auto"/>
            <w:noWrap/>
            <w:vAlign w:val="bottom"/>
            <w:hideMark/>
          </w:tcPr>
          <w:p w14:paraId="7CCD127C" w14:textId="77777777" w:rsidR="002A55C2" w:rsidRPr="0072729B" w:rsidRDefault="002A55C2"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0.72</w:t>
            </w:r>
          </w:p>
        </w:tc>
      </w:tr>
      <w:tr w:rsidR="00CC5E1B" w:rsidRPr="0072729B" w14:paraId="4A88AB98" w14:textId="77777777" w:rsidTr="0072729B">
        <w:trPr>
          <w:trHeight w:val="300"/>
        </w:trPr>
        <w:tc>
          <w:tcPr>
            <w:tcW w:w="1410" w:type="dxa"/>
            <w:tcBorders>
              <w:top w:val="nil"/>
              <w:left w:val="nil"/>
              <w:bottom w:val="nil"/>
              <w:right w:val="nil"/>
            </w:tcBorders>
            <w:shd w:val="clear" w:color="auto" w:fill="auto"/>
            <w:noWrap/>
            <w:vAlign w:val="bottom"/>
            <w:hideMark/>
          </w:tcPr>
          <w:p w14:paraId="73C1B109" w14:textId="77777777"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68B19F80" w14:textId="77777777" w:rsidR="002A55C2" w:rsidRPr="0072729B" w:rsidRDefault="002A55C2" w:rsidP="0072729B">
            <w:pPr>
              <w:spacing w:after="0" w:line="240" w:lineRule="auto"/>
              <w:jc w:val="right"/>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0140EDCF"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32EFDECA"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3742B4E4"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1EC55FCB"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14F8BCF9"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25766836"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r>
      <w:tr w:rsidR="00CC5E1B" w:rsidRPr="0072729B" w14:paraId="54A5FC91" w14:textId="77777777" w:rsidTr="0072729B">
        <w:trPr>
          <w:trHeight w:val="300"/>
        </w:trPr>
        <w:tc>
          <w:tcPr>
            <w:tcW w:w="1410" w:type="dxa"/>
            <w:tcBorders>
              <w:top w:val="nil"/>
              <w:left w:val="nil"/>
              <w:bottom w:val="nil"/>
              <w:right w:val="nil"/>
            </w:tcBorders>
            <w:shd w:val="clear" w:color="auto" w:fill="auto"/>
            <w:noWrap/>
            <w:vAlign w:val="bottom"/>
            <w:hideMark/>
          </w:tcPr>
          <w:p w14:paraId="782BC719" w14:textId="05BFD670"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2.30-2.99</w:t>
            </w:r>
          </w:p>
        </w:tc>
        <w:tc>
          <w:tcPr>
            <w:tcW w:w="1410" w:type="dxa"/>
            <w:tcBorders>
              <w:top w:val="nil"/>
              <w:left w:val="nil"/>
              <w:bottom w:val="nil"/>
              <w:right w:val="nil"/>
            </w:tcBorders>
            <w:shd w:val="clear" w:color="auto" w:fill="auto"/>
            <w:noWrap/>
            <w:vAlign w:val="bottom"/>
            <w:hideMark/>
          </w:tcPr>
          <w:p w14:paraId="428204F7" w14:textId="680FC984"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B60</w:t>
            </w:r>
          </w:p>
        </w:tc>
        <w:tc>
          <w:tcPr>
            <w:tcW w:w="1690" w:type="dxa"/>
            <w:tcBorders>
              <w:top w:val="nil"/>
              <w:left w:val="nil"/>
              <w:bottom w:val="nil"/>
              <w:right w:val="nil"/>
            </w:tcBorders>
            <w:shd w:val="clear" w:color="auto" w:fill="auto"/>
            <w:noWrap/>
            <w:vAlign w:val="bottom"/>
            <w:hideMark/>
          </w:tcPr>
          <w:p w14:paraId="11054D60"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0.17</w:t>
            </w:r>
          </w:p>
        </w:tc>
        <w:tc>
          <w:tcPr>
            <w:tcW w:w="1690" w:type="dxa"/>
            <w:tcBorders>
              <w:top w:val="nil"/>
              <w:left w:val="nil"/>
              <w:bottom w:val="nil"/>
              <w:right w:val="nil"/>
            </w:tcBorders>
            <w:shd w:val="clear" w:color="auto" w:fill="auto"/>
            <w:noWrap/>
            <w:vAlign w:val="bottom"/>
            <w:hideMark/>
          </w:tcPr>
          <w:p w14:paraId="137626F5"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0.22</w:t>
            </w:r>
          </w:p>
        </w:tc>
        <w:tc>
          <w:tcPr>
            <w:tcW w:w="1690" w:type="dxa"/>
            <w:tcBorders>
              <w:top w:val="nil"/>
              <w:left w:val="nil"/>
              <w:bottom w:val="nil"/>
              <w:right w:val="nil"/>
            </w:tcBorders>
            <w:shd w:val="clear" w:color="auto" w:fill="auto"/>
            <w:noWrap/>
            <w:vAlign w:val="bottom"/>
            <w:hideMark/>
          </w:tcPr>
          <w:p w14:paraId="36C138A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0.30</w:t>
            </w:r>
          </w:p>
        </w:tc>
        <w:tc>
          <w:tcPr>
            <w:tcW w:w="1690" w:type="dxa"/>
            <w:tcBorders>
              <w:top w:val="nil"/>
              <w:left w:val="nil"/>
              <w:bottom w:val="nil"/>
              <w:right w:val="nil"/>
            </w:tcBorders>
            <w:shd w:val="clear" w:color="auto" w:fill="auto"/>
            <w:noWrap/>
            <w:vAlign w:val="bottom"/>
            <w:hideMark/>
          </w:tcPr>
          <w:p w14:paraId="340D0E69"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0.01</w:t>
            </w:r>
          </w:p>
        </w:tc>
        <w:tc>
          <w:tcPr>
            <w:tcW w:w="1690" w:type="dxa"/>
            <w:tcBorders>
              <w:top w:val="nil"/>
              <w:left w:val="nil"/>
              <w:bottom w:val="nil"/>
              <w:right w:val="nil"/>
            </w:tcBorders>
            <w:shd w:val="clear" w:color="auto" w:fill="auto"/>
            <w:noWrap/>
            <w:vAlign w:val="bottom"/>
            <w:hideMark/>
          </w:tcPr>
          <w:p w14:paraId="73EE96DA"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0.01</w:t>
            </w:r>
          </w:p>
        </w:tc>
        <w:tc>
          <w:tcPr>
            <w:tcW w:w="1690" w:type="dxa"/>
            <w:tcBorders>
              <w:top w:val="nil"/>
              <w:left w:val="nil"/>
              <w:bottom w:val="nil"/>
              <w:right w:val="nil"/>
            </w:tcBorders>
            <w:shd w:val="clear" w:color="auto" w:fill="auto"/>
            <w:noWrap/>
            <w:vAlign w:val="bottom"/>
            <w:hideMark/>
          </w:tcPr>
          <w:p w14:paraId="231E18B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0.02</w:t>
            </w:r>
          </w:p>
        </w:tc>
      </w:tr>
      <w:tr w:rsidR="00CC5E1B" w:rsidRPr="0072729B" w14:paraId="348178CD" w14:textId="77777777" w:rsidTr="0072729B">
        <w:trPr>
          <w:trHeight w:val="300"/>
        </w:trPr>
        <w:tc>
          <w:tcPr>
            <w:tcW w:w="1410" w:type="dxa"/>
            <w:tcBorders>
              <w:top w:val="nil"/>
              <w:left w:val="nil"/>
              <w:bottom w:val="nil"/>
              <w:right w:val="nil"/>
            </w:tcBorders>
            <w:shd w:val="clear" w:color="auto" w:fill="auto"/>
            <w:noWrap/>
            <w:vAlign w:val="bottom"/>
            <w:hideMark/>
          </w:tcPr>
          <w:p w14:paraId="7ED71E57" w14:textId="7777777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1DB3DD61" w14:textId="21D21E9E"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B65</w:t>
            </w:r>
          </w:p>
        </w:tc>
        <w:tc>
          <w:tcPr>
            <w:tcW w:w="1690" w:type="dxa"/>
            <w:tcBorders>
              <w:top w:val="nil"/>
              <w:left w:val="nil"/>
              <w:bottom w:val="nil"/>
              <w:right w:val="nil"/>
            </w:tcBorders>
            <w:shd w:val="clear" w:color="auto" w:fill="auto"/>
            <w:noWrap/>
            <w:vAlign w:val="bottom"/>
            <w:hideMark/>
          </w:tcPr>
          <w:p w14:paraId="184089C3"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0.12</w:t>
            </w:r>
          </w:p>
        </w:tc>
        <w:tc>
          <w:tcPr>
            <w:tcW w:w="1690" w:type="dxa"/>
            <w:tcBorders>
              <w:top w:val="nil"/>
              <w:left w:val="nil"/>
              <w:bottom w:val="nil"/>
              <w:right w:val="nil"/>
            </w:tcBorders>
            <w:shd w:val="clear" w:color="auto" w:fill="auto"/>
            <w:noWrap/>
            <w:vAlign w:val="bottom"/>
            <w:hideMark/>
          </w:tcPr>
          <w:p w14:paraId="7EF1C82A"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0.17</w:t>
            </w:r>
          </w:p>
        </w:tc>
        <w:tc>
          <w:tcPr>
            <w:tcW w:w="1690" w:type="dxa"/>
            <w:tcBorders>
              <w:top w:val="nil"/>
              <w:left w:val="nil"/>
              <w:bottom w:val="nil"/>
              <w:right w:val="nil"/>
            </w:tcBorders>
            <w:shd w:val="clear" w:color="auto" w:fill="auto"/>
            <w:noWrap/>
            <w:vAlign w:val="bottom"/>
            <w:hideMark/>
          </w:tcPr>
          <w:p w14:paraId="1C98FAA8"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0.26</w:t>
            </w:r>
          </w:p>
        </w:tc>
        <w:tc>
          <w:tcPr>
            <w:tcW w:w="1690" w:type="dxa"/>
            <w:tcBorders>
              <w:top w:val="nil"/>
              <w:left w:val="nil"/>
              <w:bottom w:val="nil"/>
              <w:right w:val="nil"/>
            </w:tcBorders>
            <w:shd w:val="clear" w:color="auto" w:fill="auto"/>
            <w:noWrap/>
            <w:vAlign w:val="bottom"/>
            <w:hideMark/>
          </w:tcPr>
          <w:p w14:paraId="4084AA43"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0.08</w:t>
            </w:r>
          </w:p>
        </w:tc>
        <w:tc>
          <w:tcPr>
            <w:tcW w:w="1690" w:type="dxa"/>
            <w:tcBorders>
              <w:top w:val="nil"/>
              <w:left w:val="nil"/>
              <w:bottom w:val="nil"/>
              <w:right w:val="nil"/>
            </w:tcBorders>
            <w:shd w:val="clear" w:color="auto" w:fill="auto"/>
            <w:noWrap/>
            <w:vAlign w:val="bottom"/>
            <w:hideMark/>
          </w:tcPr>
          <w:p w14:paraId="3C849FAA"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0.12</w:t>
            </w:r>
          </w:p>
        </w:tc>
        <w:tc>
          <w:tcPr>
            <w:tcW w:w="1690" w:type="dxa"/>
            <w:tcBorders>
              <w:top w:val="nil"/>
              <w:left w:val="nil"/>
              <w:bottom w:val="nil"/>
              <w:right w:val="nil"/>
            </w:tcBorders>
            <w:shd w:val="clear" w:color="auto" w:fill="auto"/>
            <w:noWrap/>
            <w:vAlign w:val="bottom"/>
            <w:hideMark/>
          </w:tcPr>
          <w:p w14:paraId="46EE06A3"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0.21</w:t>
            </w:r>
          </w:p>
        </w:tc>
      </w:tr>
      <w:tr w:rsidR="00CC5E1B" w:rsidRPr="0072729B" w14:paraId="3C2AEAA5" w14:textId="77777777" w:rsidTr="0072729B">
        <w:trPr>
          <w:trHeight w:val="300"/>
        </w:trPr>
        <w:tc>
          <w:tcPr>
            <w:tcW w:w="1410" w:type="dxa"/>
            <w:tcBorders>
              <w:top w:val="nil"/>
              <w:left w:val="nil"/>
              <w:bottom w:val="nil"/>
              <w:right w:val="nil"/>
            </w:tcBorders>
            <w:shd w:val="clear" w:color="auto" w:fill="auto"/>
            <w:noWrap/>
            <w:vAlign w:val="bottom"/>
            <w:hideMark/>
          </w:tcPr>
          <w:p w14:paraId="6604254A" w14:textId="7777777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48177966" w14:textId="6FCD19A3"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LRNC B530</w:t>
            </w:r>
          </w:p>
        </w:tc>
        <w:tc>
          <w:tcPr>
            <w:tcW w:w="1690" w:type="dxa"/>
            <w:tcBorders>
              <w:top w:val="nil"/>
              <w:left w:val="nil"/>
              <w:bottom w:val="nil"/>
              <w:right w:val="nil"/>
            </w:tcBorders>
            <w:shd w:val="clear" w:color="auto" w:fill="auto"/>
            <w:noWrap/>
            <w:vAlign w:val="bottom"/>
            <w:hideMark/>
          </w:tcPr>
          <w:p w14:paraId="47991F03"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0.54</w:t>
            </w:r>
          </w:p>
        </w:tc>
        <w:tc>
          <w:tcPr>
            <w:tcW w:w="1690" w:type="dxa"/>
            <w:tcBorders>
              <w:top w:val="nil"/>
              <w:left w:val="nil"/>
              <w:bottom w:val="nil"/>
              <w:right w:val="nil"/>
            </w:tcBorders>
            <w:shd w:val="clear" w:color="auto" w:fill="auto"/>
            <w:noWrap/>
            <w:vAlign w:val="bottom"/>
            <w:hideMark/>
          </w:tcPr>
          <w:p w14:paraId="58479193"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0.66</w:t>
            </w:r>
          </w:p>
        </w:tc>
        <w:tc>
          <w:tcPr>
            <w:tcW w:w="1690" w:type="dxa"/>
            <w:tcBorders>
              <w:top w:val="nil"/>
              <w:left w:val="nil"/>
              <w:bottom w:val="nil"/>
              <w:right w:val="nil"/>
            </w:tcBorders>
            <w:shd w:val="clear" w:color="auto" w:fill="auto"/>
            <w:noWrap/>
            <w:vAlign w:val="bottom"/>
            <w:hideMark/>
          </w:tcPr>
          <w:p w14:paraId="4CA8AC4A"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0.77</w:t>
            </w:r>
          </w:p>
        </w:tc>
        <w:tc>
          <w:tcPr>
            <w:tcW w:w="1690" w:type="dxa"/>
            <w:tcBorders>
              <w:top w:val="nil"/>
              <w:left w:val="nil"/>
              <w:bottom w:val="nil"/>
              <w:right w:val="nil"/>
            </w:tcBorders>
            <w:shd w:val="clear" w:color="auto" w:fill="auto"/>
            <w:noWrap/>
            <w:vAlign w:val="bottom"/>
            <w:hideMark/>
          </w:tcPr>
          <w:p w14:paraId="543C1445" w14:textId="583091D4" w:rsidR="00CC5E1B" w:rsidRPr="0072729B" w:rsidRDefault="00CC5E1B" w:rsidP="0072729B">
            <w:pPr>
              <w:tabs>
                <w:tab w:val="decimal" w:pos="665"/>
              </w:tabs>
              <w:spacing w:after="0" w:line="240" w:lineRule="auto"/>
              <w:jc w:val="center"/>
              <w:rPr>
                <w:rFonts w:ascii="Times New Roman" w:eastAsia="Times New Roman" w:hAnsi="Times New Roman" w:cs="Times New Roman"/>
                <w:color w:val="BFBFBF"/>
                <w:sz w:val="20"/>
                <w:szCs w:val="20"/>
              </w:rPr>
            </w:pPr>
            <w:r w:rsidRPr="0082328E">
              <w:rPr>
                <w:rFonts w:ascii="Times New Roman" w:eastAsia="Times New Roman" w:hAnsi="Times New Roman" w:cs="Times New Roman"/>
                <w:color w:val="000000" w:themeColor="text1"/>
                <w:sz w:val="20"/>
                <w:szCs w:val="20"/>
              </w:rPr>
              <w:t>----------</w:t>
            </w:r>
          </w:p>
        </w:tc>
        <w:tc>
          <w:tcPr>
            <w:tcW w:w="1690" w:type="dxa"/>
            <w:tcBorders>
              <w:top w:val="nil"/>
              <w:left w:val="nil"/>
              <w:bottom w:val="nil"/>
              <w:right w:val="nil"/>
            </w:tcBorders>
            <w:shd w:val="clear" w:color="auto" w:fill="auto"/>
            <w:noWrap/>
            <w:vAlign w:val="bottom"/>
            <w:hideMark/>
          </w:tcPr>
          <w:p w14:paraId="1FE27C07" w14:textId="5B905647" w:rsidR="00CC5E1B" w:rsidRPr="0072729B" w:rsidRDefault="00CC5E1B" w:rsidP="0072729B">
            <w:pPr>
              <w:tabs>
                <w:tab w:val="decimal" w:pos="665"/>
              </w:tabs>
              <w:spacing w:after="0" w:line="240" w:lineRule="auto"/>
              <w:jc w:val="center"/>
              <w:rPr>
                <w:rFonts w:ascii="Times New Roman" w:eastAsia="Times New Roman" w:hAnsi="Times New Roman" w:cs="Times New Roman"/>
                <w:color w:val="BFBFBF"/>
                <w:sz w:val="20"/>
                <w:szCs w:val="20"/>
              </w:rPr>
            </w:pPr>
            <w:r w:rsidRPr="0082328E">
              <w:rPr>
                <w:rFonts w:ascii="Times New Roman" w:eastAsia="Times New Roman" w:hAnsi="Times New Roman" w:cs="Times New Roman"/>
                <w:color w:val="000000" w:themeColor="text1"/>
                <w:sz w:val="20"/>
                <w:szCs w:val="20"/>
              </w:rPr>
              <w:t>----------</w:t>
            </w:r>
          </w:p>
        </w:tc>
        <w:tc>
          <w:tcPr>
            <w:tcW w:w="1690" w:type="dxa"/>
            <w:tcBorders>
              <w:top w:val="nil"/>
              <w:left w:val="nil"/>
              <w:bottom w:val="nil"/>
              <w:right w:val="nil"/>
            </w:tcBorders>
            <w:shd w:val="clear" w:color="auto" w:fill="auto"/>
            <w:noWrap/>
            <w:vAlign w:val="bottom"/>
            <w:hideMark/>
          </w:tcPr>
          <w:p w14:paraId="4EBCCDAB" w14:textId="58E429F1" w:rsidR="00CC5E1B" w:rsidRPr="0072729B" w:rsidRDefault="00CC5E1B" w:rsidP="0072729B">
            <w:pPr>
              <w:tabs>
                <w:tab w:val="decimal" w:pos="665"/>
              </w:tabs>
              <w:spacing w:after="0" w:line="240" w:lineRule="auto"/>
              <w:jc w:val="center"/>
              <w:rPr>
                <w:rFonts w:ascii="Times New Roman" w:eastAsia="Times New Roman" w:hAnsi="Times New Roman" w:cs="Times New Roman"/>
                <w:color w:val="BFBFBF"/>
                <w:sz w:val="20"/>
                <w:szCs w:val="20"/>
              </w:rPr>
            </w:pPr>
            <w:r w:rsidRPr="0082328E">
              <w:rPr>
                <w:rFonts w:ascii="Times New Roman" w:eastAsia="Times New Roman" w:hAnsi="Times New Roman" w:cs="Times New Roman"/>
                <w:color w:val="000000" w:themeColor="text1"/>
                <w:sz w:val="20"/>
                <w:szCs w:val="20"/>
              </w:rPr>
              <w:t>----------</w:t>
            </w:r>
          </w:p>
        </w:tc>
      </w:tr>
      <w:tr w:rsidR="00CC5E1B" w:rsidRPr="0072729B" w14:paraId="6182D0D6" w14:textId="77777777" w:rsidTr="0072729B">
        <w:trPr>
          <w:trHeight w:val="300"/>
        </w:trPr>
        <w:tc>
          <w:tcPr>
            <w:tcW w:w="1410" w:type="dxa"/>
            <w:tcBorders>
              <w:top w:val="nil"/>
              <w:left w:val="nil"/>
              <w:bottom w:val="nil"/>
              <w:right w:val="nil"/>
            </w:tcBorders>
            <w:shd w:val="clear" w:color="auto" w:fill="auto"/>
            <w:noWrap/>
            <w:vAlign w:val="bottom"/>
            <w:hideMark/>
          </w:tcPr>
          <w:p w14:paraId="55788765" w14:textId="77777777" w:rsidR="00CC5E1B" w:rsidRPr="0072729B" w:rsidRDefault="00CC5E1B" w:rsidP="0072729B">
            <w:pPr>
              <w:spacing w:after="0" w:line="240" w:lineRule="auto"/>
              <w:jc w:val="center"/>
              <w:rPr>
                <w:rFonts w:ascii="Times New Roman" w:eastAsia="Times New Roman" w:hAnsi="Times New Roman" w:cs="Times New Roman"/>
                <w:color w:val="BFBFBF"/>
                <w:sz w:val="20"/>
                <w:szCs w:val="20"/>
              </w:rPr>
            </w:pPr>
          </w:p>
        </w:tc>
        <w:tc>
          <w:tcPr>
            <w:tcW w:w="1410" w:type="dxa"/>
            <w:tcBorders>
              <w:top w:val="nil"/>
              <w:left w:val="nil"/>
              <w:bottom w:val="nil"/>
              <w:right w:val="nil"/>
            </w:tcBorders>
            <w:shd w:val="clear" w:color="auto" w:fill="auto"/>
            <w:noWrap/>
            <w:vAlign w:val="bottom"/>
            <w:hideMark/>
          </w:tcPr>
          <w:p w14:paraId="0BEF042A" w14:textId="5DC352D3"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B70</w:t>
            </w:r>
          </w:p>
        </w:tc>
        <w:tc>
          <w:tcPr>
            <w:tcW w:w="1690" w:type="dxa"/>
            <w:tcBorders>
              <w:top w:val="nil"/>
              <w:left w:val="nil"/>
              <w:bottom w:val="nil"/>
              <w:right w:val="nil"/>
            </w:tcBorders>
            <w:shd w:val="clear" w:color="auto" w:fill="auto"/>
            <w:noWrap/>
            <w:vAlign w:val="bottom"/>
            <w:hideMark/>
          </w:tcPr>
          <w:p w14:paraId="6B7F63E5"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0.36</w:t>
            </w:r>
          </w:p>
        </w:tc>
        <w:tc>
          <w:tcPr>
            <w:tcW w:w="1690" w:type="dxa"/>
            <w:tcBorders>
              <w:top w:val="nil"/>
              <w:left w:val="nil"/>
              <w:bottom w:val="nil"/>
              <w:right w:val="nil"/>
            </w:tcBorders>
            <w:shd w:val="clear" w:color="auto" w:fill="auto"/>
            <w:noWrap/>
            <w:vAlign w:val="bottom"/>
            <w:hideMark/>
          </w:tcPr>
          <w:p w14:paraId="11284194"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0.46</w:t>
            </w:r>
          </w:p>
        </w:tc>
        <w:tc>
          <w:tcPr>
            <w:tcW w:w="1690" w:type="dxa"/>
            <w:tcBorders>
              <w:top w:val="nil"/>
              <w:left w:val="nil"/>
              <w:bottom w:val="nil"/>
              <w:right w:val="nil"/>
            </w:tcBorders>
            <w:shd w:val="clear" w:color="auto" w:fill="auto"/>
            <w:noWrap/>
            <w:vAlign w:val="bottom"/>
            <w:hideMark/>
          </w:tcPr>
          <w:p w14:paraId="50688822"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0.57</w:t>
            </w:r>
          </w:p>
        </w:tc>
        <w:tc>
          <w:tcPr>
            <w:tcW w:w="1690" w:type="dxa"/>
            <w:tcBorders>
              <w:top w:val="nil"/>
              <w:left w:val="nil"/>
              <w:bottom w:val="nil"/>
              <w:right w:val="nil"/>
            </w:tcBorders>
            <w:shd w:val="clear" w:color="auto" w:fill="auto"/>
            <w:noWrap/>
            <w:vAlign w:val="bottom"/>
            <w:hideMark/>
          </w:tcPr>
          <w:p w14:paraId="334B7D94"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0.07</w:t>
            </w:r>
          </w:p>
        </w:tc>
        <w:tc>
          <w:tcPr>
            <w:tcW w:w="1690" w:type="dxa"/>
            <w:tcBorders>
              <w:top w:val="nil"/>
              <w:left w:val="nil"/>
              <w:bottom w:val="nil"/>
              <w:right w:val="nil"/>
            </w:tcBorders>
            <w:shd w:val="clear" w:color="auto" w:fill="auto"/>
            <w:noWrap/>
            <w:vAlign w:val="bottom"/>
            <w:hideMark/>
          </w:tcPr>
          <w:p w14:paraId="721D5E05"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0.09</w:t>
            </w:r>
          </w:p>
        </w:tc>
        <w:tc>
          <w:tcPr>
            <w:tcW w:w="1690" w:type="dxa"/>
            <w:tcBorders>
              <w:top w:val="nil"/>
              <w:left w:val="nil"/>
              <w:bottom w:val="nil"/>
              <w:right w:val="nil"/>
            </w:tcBorders>
            <w:shd w:val="clear" w:color="auto" w:fill="auto"/>
            <w:noWrap/>
            <w:vAlign w:val="bottom"/>
            <w:hideMark/>
          </w:tcPr>
          <w:p w14:paraId="6BACDC0D"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0.12</w:t>
            </w:r>
          </w:p>
        </w:tc>
      </w:tr>
      <w:tr w:rsidR="00CC5E1B" w:rsidRPr="0072729B" w14:paraId="7F11EC7B" w14:textId="77777777" w:rsidTr="0072729B">
        <w:trPr>
          <w:trHeight w:val="300"/>
        </w:trPr>
        <w:tc>
          <w:tcPr>
            <w:tcW w:w="1410" w:type="dxa"/>
            <w:tcBorders>
              <w:top w:val="nil"/>
              <w:left w:val="nil"/>
              <w:bottom w:val="nil"/>
              <w:right w:val="nil"/>
            </w:tcBorders>
            <w:shd w:val="clear" w:color="auto" w:fill="auto"/>
            <w:noWrap/>
            <w:vAlign w:val="bottom"/>
            <w:hideMark/>
          </w:tcPr>
          <w:p w14:paraId="72929428" w14:textId="7777777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7C4AAA61" w14:textId="162D343B"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B1A</w:t>
            </w:r>
          </w:p>
        </w:tc>
        <w:tc>
          <w:tcPr>
            <w:tcW w:w="1690" w:type="dxa"/>
            <w:tcBorders>
              <w:top w:val="nil"/>
              <w:left w:val="nil"/>
              <w:bottom w:val="nil"/>
              <w:right w:val="nil"/>
            </w:tcBorders>
            <w:shd w:val="clear" w:color="auto" w:fill="auto"/>
            <w:noWrap/>
            <w:vAlign w:val="bottom"/>
            <w:hideMark/>
          </w:tcPr>
          <w:p w14:paraId="57774226"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0.28</w:t>
            </w:r>
          </w:p>
        </w:tc>
        <w:tc>
          <w:tcPr>
            <w:tcW w:w="1690" w:type="dxa"/>
            <w:tcBorders>
              <w:top w:val="nil"/>
              <w:left w:val="nil"/>
              <w:bottom w:val="nil"/>
              <w:right w:val="nil"/>
            </w:tcBorders>
            <w:shd w:val="clear" w:color="auto" w:fill="auto"/>
            <w:noWrap/>
            <w:vAlign w:val="bottom"/>
            <w:hideMark/>
          </w:tcPr>
          <w:p w14:paraId="15318FD6"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0.37</w:t>
            </w:r>
          </w:p>
        </w:tc>
        <w:tc>
          <w:tcPr>
            <w:tcW w:w="1690" w:type="dxa"/>
            <w:tcBorders>
              <w:top w:val="nil"/>
              <w:left w:val="nil"/>
              <w:bottom w:val="nil"/>
              <w:right w:val="nil"/>
            </w:tcBorders>
            <w:shd w:val="clear" w:color="auto" w:fill="auto"/>
            <w:noWrap/>
            <w:vAlign w:val="bottom"/>
            <w:hideMark/>
          </w:tcPr>
          <w:p w14:paraId="2967CB07"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0.48</w:t>
            </w:r>
          </w:p>
        </w:tc>
        <w:tc>
          <w:tcPr>
            <w:tcW w:w="1690" w:type="dxa"/>
            <w:tcBorders>
              <w:top w:val="nil"/>
              <w:left w:val="nil"/>
              <w:bottom w:val="nil"/>
              <w:right w:val="nil"/>
            </w:tcBorders>
            <w:shd w:val="clear" w:color="auto" w:fill="auto"/>
            <w:noWrap/>
            <w:vAlign w:val="bottom"/>
            <w:hideMark/>
          </w:tcPr>
          <w:p w14:paraId="5F1A3796"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0.14</w:t>
            </w:r>
          </w:p>
        </w:tc>
        <w:tc>
          <w:tcPr>
            <w:tcW w:w="1690" w:type="dxa"/>
            <w:tcBorders>
              <w:top w:val="nil"/>
              <w:left w:val="nil"/>
              <w:bottom w:val="nil"/>
              <w:right w:val="nil"/>
            </w:tcBorders>
            <w:shd w:val="clear" w:color="auto" w:fill="auto"/>
            <w:noWrap/>
            <w:vAlign w:val="bottom"/>
            <w:hideMark/>
          </w:tcPr>
          <w:p w14:paraId="0BD3660A"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0.23</w:t>
            </w:r>
          </w:p>
        </w:tc>
        <w:tc>
          <w:tcPr>
            <w:tcW w:w="1690" w:type="dxa"/>
            <w:tcBorders>
              <w:top w:val="nil"/>
              <w:left w:val="nil"/>
              <w:bottom w:val="nil"/>
              <w:right w:val="nil"/>
            </w:tcBorders>
            <w:shd w:val="clear" w:color="auto" w:fill="auto"/>
            <w:noWrap/>
            <w:vAlign w:val="bottom"/>
            <w:hideMark/>
          </w:tcPr>
          <w:p w14:paraId="47FE3A5D"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0.39</w:t>
            </w:r>
          </w:p>
        </w:tc>
      </w:tr>
      <w:tr w:rsidR="00CC5E1B" w:rsidRPr="0072729B" w14:paraId="648FA858" w14:textId="77777777" w:rsidTr="0072729B">
        <w:trPr>
          <w:trHeight w:val="300"/>
        </w:trPr>
        <w:tc>
          <w:tcPr>
            <w:tcW w:w="1410" w:type="dxa"/>
            <w:tcBorders>
              <w:top w:val="nil"/>
              <w:left w:val="nil"/>
              <w:bottom w:val="nil"/>
              <w:right w:val="nil"/>
            </w:tcBorders>
            <w:shd w:val="clear" w:color="auto" w:fill="auto"/>
            <w:noWrap/>
            <w:vAlign w:val="bottom"/>
            <w:hideMark/>
          </w:tcPr>
          <w:p w14:paraId="6DAA1DB2" w14:textId="7777777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32422EF9" w14:textId="399D0F9A"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B22</w:t>
            </w:r>
          </w:p>
        </w:tc>
        <w:tc>
          <w:tcPr>
            <w:tcW w:w="1690" w:type="dxa"/>
            <w:tcBorders>
              <w:top w:val="nil"/>
              <w:left w:val="nil"/>
              <w:bottom w:val="nil"/>
              <w:right w:val="nil"/>
            </w:tcBorders>
            <w:shd w:val="clear" w:color="auto" w:fill="auto"/>
            <w:noWrap/>
            <w:vAlign w:val="bottom"/>
            <w:hideMark/>
          </w:tcPr>
          <w:p w14:paraId="3010E34B"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0.25</w:t>
            </w:r>
          </w:p>
        </w:tc>
        <w:tc>
          <w:tcPr>
            <w:tcW w:w="1690" w:type="dxa"/>
            <w:tcBorders>
              <w:top w:val="nil"/>
              <w:left w:val="nil"/>
              <w:bottom w:val="nil"/>
              <w:right w:val="nil"/>
            </w:tcBorders>
            <w:shd w:val="clear" w:color="auto" w:fill="auto"/>
            <w:noWrap/>
            <w:vAlign w:val="bottom"/>
            <w:hideMark/>
          </w:tcPr>
          <w:p w14:paraId="12EC901C"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0.35</w:t>
            </w:r>
          </w:p>
        </w:tc>
        <w:tc>
          <w:tcPr>
            <w:tcW w:w="1690" w:type="dxa"/>
            <w:tcBorders>
              <w:top w:val="nil"/>
              <w:left w:val="nil"/>
              <w:bottom w:val="nil"/>
              <w:right w:val="nil"/>
            </w:tcBorders>
            <w:shd w:val="clear" w:color="auto" w:fill="auto"/>
            <w:noWrap/>
            <w:vAlign w:val="bottom"/>
            <w:hideMark/>
          </w:tcPr>
          <w:p w14:paraId="1861502D"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0.47</w:t>
            </w:r>
          </w:p>
        </w:tc>
        <w:tc>
          <w:tcPr>
            <w:tcW w:w="1690" w:type="dxa"/>
            <w:tcBorders>
              <w:top w:val="nil"/>
              <w:left w:val="nil"/>
              <w:bottom w:val="nil"/>
              <w:right w:val="nil"/>
            </w:tcBorders>
            <w:shd w:val="clear" w:color="auto" w:fill="auto"/>
            <w:noWrap/>
            <w:vAlign w:val="bottom"/>
            <w:hideMark/>
          </w:tcPr>
          <w:p w14:paraId="5155DF9F"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0.18</w:t>
            </w:r>
          </w:p>
        </w:tc>
        <w:tc>
          <w:tcPr>
            <w:tcW w:w="1690" w:type="dxa"/>
            <w:tcBorders>
              <w:top w:val="nil"/>
              <w:left w:val="nil"/>
              <w:bottom w:val="nil"/>
              <w:right w:val="nil"/>
            </w:tcBorders>
            <w:shd w:val="clear" w:color="auto" w:fill="auto"/>
            <w:noWrap/>
            <w:vAlign w:val="bottom"/>
            <w:hideMark/>
          </w:tcPr>
          <w:p w14:paraId="6670B5D8"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0.27</w:t>
            </w:r>
          </w:p>
        </w:tc>
        <w:tc>
          <w:tcPr>
            <w:tcW w:w="1690" w:type="dxa"/>
            <w:tcBorders>
              <w:top w:val="nil"/>
              <w:left w:val="nil"/>
              <w:bottom w:val="nil"/>
              <w:right w:val="nil"/>
            </w:tcBorders>
            <w:shd w:val="clear" w:color="auto" w:fill="auto"/>
            <w:noWrap/>
            <w:vAlign w:val="bottom"/>
            <w:hideMark/>
          </w:tcPr>
          <w:p w14:paraId="0CFD1808"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0.42</w:t>
            </w:r>
          </w:p>
        </w:tc>
      </w:tr>
      <w:tr w:rsidR="00CC5E1B" w:rsidRPr="0072729B" w14:paraId="531233CF" w14:textId="77777777" w:rsidTr="0072729B">
        <w:trPr>
          <w:trHeight w:val="300"/>
        </w:trPr>
        <w:tc>
          <w:tcPr>
            <w:tcW w:w="1410" w:type="dxa"/>
            <w:tcBorders>
              <w:top w:val="nil"/>
              <w:left w:val="nil"/>
              <w:bottom w:val="nil"/>
              <w:right w:val="nil"/>
            </w:tcBorders>
            <w:shd w:val="clear" w:color="auto" w:fill="auto"/>
            <w:noWrap/>
            <w:vAlign w:val="bottom"/>
            <w:hideMark/>
          </w:tcPr>
          <w:p w14:paraId="763A3612" w14:textId="7777777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32394547" w14:textId="2C400269"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Psyc B5</w:t>
            </w:r>
          </w:p>
        </w:tc>
        <w:tc>
          <w:tcPr>
            <w:tcW w:w="1690" w:type="dxa"/>
            <w:tcBorders>
              <w:top w:val="nil"/>
              <w:left w:val="nil"/>
              <w:bottom w:val="nil"/>
              <w:right w:val="nil"/>
            </w:tcBorders>
            <w:shd w:val="clear" w:color="auto" w:fill="auto"/>
            <w:noWrap/>
            <w:vAlign w:val="bottom"/>
            <w:hideMark/>
          </w:tcPr>
          <w:p w14:paraId="5A238EA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0.65</w:t>
            </w:r>
          </w:p>
        </w:tc>
        <w:tc>
          <w:tcPr>
            <w:tcW w:w="1690" w:type="dxa"/>
            <w:tcBorders>
              <w:top w:val="nil"/>
              <w:left w:val="nil"/>
              <w:bottom w:val="nil"/>
              <w:right w:val="nil"/>
            </w:tcBorders>
            <w:shd w:val="clear" w:color="auto" w:fill="auto"/>
            <w:noWrap/>
            <w:vAlign w:val="bottom"/>
            <w:hideMark/>
          </w:tcPr>
          <w:p w14:paraId="2123AE87"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0.76</w:t>
            </w:r>
          </w:p>
        </w:tc>
        <w:tc>
          <w:tcPr>
            <w:tcW w:w="1690" w:type="dxa"/>
            <w:tcBorders>
              <w:top w:val="nil"/>
              <w:left w:val="nil"/>
              <w:bottom w:val="nil"/>
              <w:right w:val="nil"/>
            </w:tcBorders>
            <w:shd w:val="clear" w:color="auto" w:fill="auto"/>
            <w:noWrap/>
            <w:vAlign w:val="bottom"/>
            <w:hideMark/>
          </w:tcPr>
          <w:p w14:paraId="70EB241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0.85</w:t>
            </w:r>
          </w:p>
        </w:tc>
        <w:tc>
          <w:tcPr>
            <w:tcW w:w="1690" w:type="dxa"/>
            <w:tcBorders>
              <w:top w:val="nil"/>
              <w:left w:val="nil"/>
              <w:bottom w:val="nil"/>
              <w:right w:val="nil"/>
            </w:tcBorders>
            <w:shd w:val="clear" w:color="auto" w:fill="auto"/>
            <w:noWrap/>
            <w:vAlign w:val="bottom"/>
            <w:hideMark/>
          </w:tcPr>
          <w:p w14:paraId="0121F8FC"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0.72</w:t>
            </w:r>
          </w:p>
        </w:tc>
        <w:tc>
          <w:tcPr>
            <w:tcW w:w="1690" w:type="dxa"/>
            <w:tcBorders>
              <w:top w:val="nil"/>
              <w:left w:val="nil"/>
              <w:bottom w:val="nil"/>
              <w:right w:val="nil"/>
            </w:tcBorders>
            <w:shd w:val="clear" w:color="auto" w:fill="auto"/>
            <w:noWrap/>
            <w:vAlign w:val="bottom"/>
            <w:hideMark/>
          </w:tcPr>
          <w:p w14:paraId="0F599612"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0.81</w:t>
            </w:r>
          </w:p>
        </w:tc>
        <w:tc>
          <w:tcPr>
            <w:tcW w:w="1690" w:type="dxa"/>
            <w:tcBorders>
              <w:top w:val="nil"/>
              <w:left w:val="nil"/>
              <w:bottom w:val="nil"/>
              <w:right w:val="nil"/>
            </w:tcBorders>
            <w:shd w:val="clear" w:color="auto" w:fill="auto"/>
            <w:noWrap/>
            <w:vAlign w:val="bottom"/>
            <w:hideMark/>
          </w:tcPr>
          <w:p w14:paraId="7ADEDEB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0.88</w:t>
            </w:r>
          </w:p>
        </w:tc>
      </w:tr>
      <w:tr w:rsidR="00CC5E1B" w:rsidRPr="0072729B" w14:paraId="61A2B170" w14:textId="77777777" w:rsidTr="0072729B">
        <w:trPr>
          <w:trHeight w:val="300"/>
        </w:trPr>
        <w:tc>
          <w:tcPr>
            <w:tcW w:w="1410" w:type="dxa"/>
            <w:tcBorders>
              <w:top w:val="nil"/>
              <w:left w:val="nil"/>
              <w:bottom w:val="nil"/>
              <w:right w:val="nil"/>
            </w:tcBorders>
            <w:shd w:val="clear" w:color="auto" w:fill="auto"/>
            <w:noWrap/>
            <w:vAlign w:val="bottom"/>
            <w:hideMark/>
          </w:tcPr>
          <w:p w14:paraId="7C5A6609" w14:textId="77777777" w:rsidR="002A55C2" w:rsidRPr="0072729B" w:rsidRDefault="002A55C2"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33095F4E" w14:textId="77777777" w:rsidR="002A55C2" w:rsidRPr="0072729B" w:rsidRDefault="002A55C2" w:rsidP="0072729B">
            <w:pPr>
              <w:spacing w:after="0" w:line="240" w:lineRule="auto"/>
              <w:jc w:val="right"/>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099A0CE1"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75ECC989"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17FC76A5"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10EA91EF"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11ED313A"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538648C6" w14:textId="77777777" w:rsidR="002A55C2" w:rsidRPr="0072729B" w:rsidRDefault="002A55C2" w:rsidP="0072729B">
            <w:pPr>
              <w:tabs>
                <w:tab w:val="decimal" w:pos="665"/>
              </w:tabs>
              <w:spacing w:after="0" w:line="240" w:lineRule="auto"/>
              <w:rPr>
                <w:rFonts w:ascii="Times New Roman" w:eastAsia="Times New Roman" w:hAnsi="Times New Roman" w:cs="Times New Roman"/>
                <w:sz w:val="20"/>
                <w:szCs w:val="20"/>
              </w:rPr>
            </w:pPr>
          </w:p>
        </w:tc>
      </w:tr>
      <w:tr w:rsidR="00CC5E1B" w:rsidRPr="0072729B" w14:paraId="1B6A1086" w14:textId="77777777" w:rsidTr="0072729B">
        <w:trPr>
          <w:trHeight w:val="300"/>
        </w:trPr>
        <w:tc>
          <w:tcPr>
            <w:tcW w:w="1410" w:type="dxa"/>
            <w:tcBorders>
              <w:top w:val="nil"/>
              <w:left w:val="nil"/>
              <w:bottom w:val="nil"/>
              <w:right w:val="nil"/>
            </w:tcBorders>
            <w:shd w:val="clear" w:color="auto" w:fill="auto"/>
            <w:noWrap/>
            <w:vAlign w:val="bottom"/>
            <w:hideMark/>
          </w:tcPr>
          <w:p w14:paraId="397E09E7" w14:textId="2B9239B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3.00-4.00</w:t>
            </w:r>
          </w:p>
        </w:tc>
        <w:tc>
          <w:tcPr>
            <w:tcW w:w="1410" w:type="dxa"/>
            <w:tcBorders>
              <w:top w:val="nil"/>
              <w:left w:val="nil"/>
              <w:bottom w:val="nil"/>
              <w:right w:val="nil"/>
            </w:tcBorders>
            <w:shd w:val="clear" w:color="auto" w:fill="auto"/>
            <w:noWrap/>
            <w:vAlign w:val="bottom"/>
            <w:hideMark/>
          </w:tcPr>
          <w:p w14:paraId="334EB231" w14:textId="0BCE9A6F"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B60</w:t>
            </w:r>
          </w:p>
        </w:tc>
        <w:tc>
          <w:tcPr>
            <w:tcW w:w="1690" w:type="dxa"/>
            <w:tcBorders>
              <w:top w:val="nil"/>
              <w:left w:val="nil"/>
              <w:bottom w:val="nil"/>
              <w:right w:val="nil"/>
            </w:tcBorders>
            <w:shd w:val="clear" w:color="auto" w:fill="auto"/>
            <w:noWrap/>
            <w:vAlign w:val="bottom"/>
            <w:hideMark/>
          </w:tcPr>
          <w:p w14:paraId="6D16E262"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0.30</w:t>
            </w:r>
          </w:p>
        </w:tc>
        <w:tc>
          <w:tcPr>
            <w:tcW w:w="1690" w:type="dxa"/>
            <w:tcBorders>
              <w:top w:val="nil"/>
              <w:left w:val="nil"/>
              <w:bottom w:val="nil"/>
              <w:right w:val="nil"/>
            </w:tcBorders>
            <w:shd w:val="clear" w:color="auto" w:fill="auto"/>
            <w:noWrap/>
            <w:vAlign w:val="bottom"/>
            <w:hideMark/>
          </w:tcPr>
          <w:p w14:paraId="21F7A89D"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0.37</w:t>
            </w:r>
          </w:p>
        </w:tc>
        <w:tc>
          <w:tcPr>
            <w:tcW w:w="1690" w:type="dxa"/>
            <w:tcBorders>
              <w:top w:val="nil"/>
              <w:left w:val="nil"/>
              <w:bottom w:val="nil"/>
              <w:right w:val="nil"/>
            </w:tcBorders>
            <w:shd w:val="clear" w:color="auto" w:fill="auto"/>
            <w:noWrap/>
            <w:vAlign w:val="bottom"/>
            <w:hideMark/>
          </w:tcPr>
          <w:p w14:paraId="350C4ECD"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0.48</w:t>
            </w:r>
          </w:p>
        </w:tc>
        <w:tc>
          <w:tcPr>
            <w:tcW w:w="1690" w:type="dxa"/>
            <w:tcBorders>
              <w:top w:val="nil"/>
              <w:left w:val="nil"/>
              <w:bottom w:val="nil"/>
              <w:right w:val="nil"/>
            </w:tcBorders>
            <w:shd w:val="clear" w:color="auto" w:fill="auto"/>
            <w:noWrap/>
            <w:vAlign w:val="bottom"/>
            <w:hideMark/>
          </w:tcPr>
          <w:p w14:paraId="063D416B"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0.01</w:t>
            </w:r>
          </w:p>
        </w:tc>
        <w:tc>
          <w:tcPr>
            <w:tcW w:w="1690" w:type="dxa"/>
            <w:tcBorders>
              <w:top w:val="nil"/>
              <w:left w:val="nil"/>
              <w:bottom w:val="nil"/>
              <w:right w:val="nil"/>
            </w:tcBorders>
            <w:shd w:val="clear" w:color="auto" w:fill="auto"/>
            <w:noWrap/>
            <w:vAlign w:val="bottom"/>
            <w:hideMark/>
          </w:tcPr>
          <w:p w14:paraId="77034929"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0.02</w:t>
            </w:r>
          </w:p>
        </w:tc>
        <w:tc>
          <w:tcPr>
            <w:tcW w:w="1690" w:type="dxa"/>
            <w:tcBorders>
              <w:top w:val="nil"/>
              <w:left w:val="nil"/>
              <w:bottom w:val="nil"/>
              <w:right w:val="nil"/>
            </w:tcBorders>
            <w:shd w:val="clear" w:color="auto" w:fill="auto"/>
            <w:noWrap/>
            <w:vAlign w:val="bottom"/>
            <w:hideMark/>
          </w:tcPr>
          <w:p w14:paraId="541A98F0"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0.03</w:t>
            </w:r>
          </w:p>
        </w:tc>
      </w:tr>
      <w:tr w:rsidR="00CC5E1B" w:rsidRPr="0072729B" w14:paraId="0B53FA18" w14:textId="77777777" w:rsidTr="0072729B">
        <w:trPr>
          <w:trHeight w:val="300"/>
        </w:trPr>
        <w:tc>
          <w:tcPr>
            <w:tcW w:w="1410" w:type="dxa"/>
            <w:tcBorders>
              <w:top w:val="nil"/>
              <w:left w:val="nil"/>
              <w:bottom w:val="nil"/>
              <w:right w:val="nil"/>
            </w:tcBorders>
            <w:shd w:val="clear" w:color="auto" w:fill="auto"/>
            <w:noWrap/>
            <w:vAlign w:val="bottom"/>
            <w:hideMark/>
          </w:tcPr>
          <w:p w14:paraId="4F089648" w14:textId="7777777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177A2B70" w14:textId="014381B1"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B65</w:t>
            </w:r>
          </w:p>
        </w:tc>
        <w:tc>
          <w:tcPr>
            <w:tcW w:w="1690" w:type="dxa"/>
            <w:tcBorders>
              <w:top w:val="nil"/>
              <w:left w:val="nil"/>
              <w:bottom w:val="nil"/>
              <w:right w:val="nil"/>
            </w:tcBorders>
            <w:shd w:val="clear" w:color="auto" w:fill="auto"/>
            <w:noWrap/>
            <w:vAlign w:val="bottom"/>
            <w:hideMark/>
          </w:tcPr>
          <w:p w14:paraId="44E13503"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0.21</w:t>
            </w:r>
          </w:p>
        </w:tc>
        <w:tc>
          <w:tcPr>
            <w:tcW w:w="1690" w:type="dxa"/>
            <w:tcBorders>
              <w:top w:val="nil"/>
              <w:left w:val="nil"/>
              <w:bottom w:val="nil"/>
              <w:right w:val="nil"/>
            </w:tcBorders>
            <w:shd w:val="clear" w:color="auto" w:fill="auto"/>
            <w:noWrap/>
            <w:vAlign w:val="bottom"/>
            <w:hideMark/>
          </w:tcPr>
          <w:p w14:paraId="0EBB9F5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0.29</w:t>
            </w:r>
          </w:p>
        </w:tc>
        <w:tc>
          <w:tcPr>
            <w:tcW w:w="1690" w:type="dxa"/>
            <w:tcBorders>
              <w:top w:val="nil"/>
              <w:left w:val="nil"/>
              <w:bottom w:val="nil"/>
              <w:right w:val="nil"/>
            </w:tcBorders>
            <w:shd w:val="clear" w:color="auto" w:fill="auto"/>
            <w:noWrap/>
            <w:vAlign w:val="bottom"/>
            <w:hideMark/>
          </w:tcPr>
          <w:p w14:paraId="4EDB972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0.41</w:t>
            </w:r>
          </w:p>
        </w:tc>
        <w:tc>
          <w:tcPr>
            <w:tcW w:w="1690" w:type="dxa"/>
            <w:tcBorders>
              <w:top w:val="nil"/>
              <w:left w:val="nil"/>
              <w:bottom w:val="nil"/>
              <w:right w:val="nil"/>
            </w:tcBorders>
            <w:shd w:val="clear" w:color="auto" w:fill="auto"/>
            <w:noWrap/>
            <w:vAlign w:val="bottom"/>
            <w:hideMark/>
          </w:tcPr>
          <w:p w14:paraId="24111D9D"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0.14</w:t>
            </w:r>
          </w:p>
        </w:tc>
        <w:tc>
          <w:tcPr>
            <w:tcW w:w="1690" w:type="dxa"/>
            <w:tcBorders>
              <w:top w:val="nil"/>
              <w:left w:val="nil"/>
              <w:bottom w:val="nil"/>
              <w:right w:val="nil"/>
            </w:tcBorders>
            <w:shd w:val="clear" w:color="auto" w:fill="auto"/>
            <w:noWrap/>
            <w:vAlign w:val="bottom"/>
            <w:hideMark/>
          </w:tcPr>
          <w:p w14:paraId="3FA9C4A3"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0.23</w:t>
            </w:r>
          </w:p>
        </w:tc>
        <w:tc>
          <w:tcPr>
            <w:tcW w:w="1690" w:type="dxa"/>
            <w:tcBorders>
              <w:top w:val="nil"/>
              <w:left w:val="nil"/>
              <w:bottom w:val="nil"/>
              <w:right w:val="nil"/>
            </w:tcBorders>
            <w:shd w:val="clear" w:color="auto" w:fill="auto"/>
            <w:noWrap/>
            <w:vAlign w:val="bottom"/>
            <w:hideMark/>
          </w:tcPr>
          <w:p w14:paraId="6EE96852"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0.36</w:t>
            </w:r>
          </w:p>
        </w:tc>
      </w:tr>
      <w:tr w:rsidR="00DF37BF" w:rsidRPr="0072729B" w14:paraId="6C5A362A" w14:textId="77777777" w:rsidTr="00DF37BF">
        <w:trPr>
          <w:trHeight w:val="300"/>
        </w:trPr>
        <w:tc>
          <w:tcPr>
            <w:tcW w:w="1410" w:type="dxa"/>
            <w:tcBorders>
              <w:top w:val="nil"/>
              <w:left w:val="nil"/>
              <w:bottom w:val="nil"/>
              <w:right w:val="nil"/>
            </w:tcBorders>
            <w:shd w:val="clear" w:color="auto" w:fill="auto"/>
            <w:noWrap/>
            <w:vAlign w:val="bottom"/>
            <w:hideMark/>
          </w:tcPr>
          <w:p w14:paraId="2FAE1834" w14:textId="7777777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44E3402F" w14:textId="607666EF"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LRNC B530</w:t>
            </w:r>
          </w:p>
        </w:tc>
        <w:tc>
          <w:tcPr>
            <w:tcW w:w="1690" w:type="dxa"/>
            <w:tcBorders>
              <w:top w:val="nil"/>
              <w:left w:val="nil"/>
              <w:bottom w:val="nil"/>
              <w:right w:val="nil"/>
            </w:tcBorders>
            <w:shd w:val="clear" w:color="auto" w:fill="auto"/>
            <w:noWrap/>
            <w:vAlign w:val="bottom"/>
            <w:hideMark/>
          </w:tcPr>
          <w:p w14:paraId="5D2214E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0.77</w:t>
            </w:r>
          </w:p>
        </w:tc>
        <w:tc>
          <w:tcPr>
            <w:tcW w:w="1690" w:type="dxa"/>
            <w:tcBorders>
              <w:top w:val="nil"/>
              <w:left w:val="nil"/>
              <w:bottom w:val="nil"/>
              <w:right w:val="nil"/>
            </w:tcBorders>
            <w:shd w:val="clear" w:color="auto" w:fill="auto"/>
            <w:noWrap/>
            <w:vAlign w:val="bottom"/>
            <w:hideMark/>
          </w:tcPr>
          <w:p w14:paraId="7F87D25A"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0.84</w:t>
            </w:r>
          </w:p>
        </w:tc>
        <w:tc>
          <w:tcPr>
            <w:tcW w:w="1690" w:type="dxa"/>
            <w:tcBorders>
              <w:top w:val="nil"/>
              <w:left w:val="nil"/>
              <w:bottom w:val="nil"/>
              <w:right w:val="nil"/>
            </w:tcBorders>
            <w:shd w:val="clear" w:color="auto" w:fill="auto"/>
            <w:noWrap/>
            <w:vAlign w:val="bottom"/>
            <w:hideMark/>
          </w:tcPr>
          <w:p w14:paraId="189DC600"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0.90</w:t>
            </w:r>
          </w:p>
        </w:tc>
        <w:tc>
          <w:tcPr>
            <w:tcW w:w="1690" w:type="dxa"/>
            <w:tcBorders>
              <w:top w:val="nil"/>
              <w:left w:val="nil"/>
              <w:bottom w:val="nil"/>
              <w:right w:val="nil"/>
            </w:tcBorders>
            <w:shd w:val="clear" w:color="auto" w:fill="auto"/>
            <w:noWrap/>
            <w:vAlign w:val="bottom"/>
            <w:hideMark/>
          </w:tcPr>
          <w:p w14:paraId="12EA75B4" w14:textId="1A3FE475" w:rsidR="00CC5E1B" w:rsidRPr="0072729B" w:rsidRDefault="00CC5E1B" w:rsidP="0072729B">
            <w:pPr>
              <w:tabs>
                <w:tab w:val="decimal" w:pos="665"/>
              </w:tabs>
              <w:spacing w:after="0" w:line="240" w:lineRule="auto"/>
              <w:jc w:val="center"/>
              <w:rPr>
                <w:rFonts w:ascii="Times New Roman" w:eastAsia="Times New Roman" w:hAnsi="Times New Roman" w:cs="Times New Roman"/>
                <w:color w:val="BFBFBF"/>
                <w:sz w:val="20"/>
                <w:szCs w:val="20"/>
              </w:rPr>
            </w:pPr>
            <w:r w:rsidRPr="0082328E">
              <w:rPr>
                <w:rFonts w:ascii="Times New Roman" w:eastAsia="Times New Roman" w:hAnsi="Times New Roman" w:cs="Times New Roman"/>
                <w:color w:val="000000" w:themeColor="text1"/>
                <w:sz w:val="20"/>
                <w:szCs w:val="20"/>
              </w:rPr>
              <w:t>----------</w:t>
            </w:r>
          </w:p>
        </w:tc>
        <w:tc>
          <w:tcPr>
            <w:tcW w:w="1690" w:type="dxa"/>
            <w:tcBorders>
              <w:top w:val="nil"/>
              <w:left w:val="nil"/>
              <w:bottom w:val="nil"/>
              <w:right w:val="nil"/>
            </w:tcBorders>
            <w:shd w:val="clear" w:color="auto" w:fill="auto"/>
            <w:noWrap/>
            <w:vAlign w:val="bottom"/>
            <w:hideMark/>
          </w:tcPr>
          <w:p w14:paraId="47B231FD" w14:textId="335590B6" w:rsidR="00CC5E1B" w:rsidRPr="0072729B" w:rsidRDefault="00CC5E1B" w:rsidP="0072729B">
            <w:pPr>
              <w:tabs>
                <w:tab w:val="decimal" w:pos="665"/>
              </w:tabs>
              <w:spacing w:after="0" w:line="240" w:lineRule="auto"/>
              <w:jc w:val="center"/>
              <w:rPr>
                <w:rFonts w:ascii="Times New Roman" w:eastAsia="Times New Roman" w:hAnsi="Times New Roman" w:cs="Times New Roman"/>
                <w:color w:val="BFBFBF"/>
                <w:sz w:val="20"/>
                <w:szCs w:val="20"/>
              </w:rPr>
            </w:pPr>
            <w:r w:rsidRPr="0082328E">
              <w:rPr>
                <w:rFonts w:ascii="Times New Roman" w:eastAsia="Times New Roman" w:hAnsi="Times New Roman" w:cs="Times New Roman"/>
                <w:color w:val="000000" w:themeColor="text1"/>
                <w:sz w:val="20"/>
                <w:szCs w:val="20"/>
              </w:rPr>
              <w:t>----------</w:t>
            </w:r>
          </w:p>
        </w:tc>
        <w:tc>
          <w:tcPr>
            <w:tcW w:w="1690" w:type="dxa"/>
            <w:tcBorders>
              <w:top w:val="nil"/>
              <w:left w:val="nil"/>
              <w:bottom w:val="nil"/>
              <w:right w:val="nil"/>
            </w:tcBorders>
            <w:shd w:val="clear" w:color="auto" w:fill="auto"/>
            <w:noWrap/>
            <w:vAlign w:val="bottom"/>
            <w:hideMark/>
          </w:tcPr>
          <w:p w14:paraId="1A348836" w14:textId="2E862B41" w:rsidR="00CC5E1B" w:rsidRPr="0072729B" w:rsidRDefault="00CC5E1B" w:rsidP="0072729B">
            <w:pPr>
              <w:tabs>
                <w:tab w:val="decimal" w:pos="665"/>
              </w:tabs>
              <w:spacing w:after="0" w:line="240" w:lineRule="auto"/>
              <w:jc w:val="center"/>
              <w:rPr>
                <w:rFonts w:ascii="Times New Roman" w:eastAsia="Times New Roman" w:hAnsi="Times New Roman" w:cs="Times New Roman"/>
                <w:color w:val="BFBFBF"/>
                <w:sz w:val="20"/>
                <w:szCs w:val="20"/>
              </w:rPr>
            </w:pPr>
            <w:r w:rsidRPr="0082328E">
              <w:rPr>
                <w:rFonts w:ascii="Times New Roman" w:eastAsia="Times New Roman" w:hAnsi="Times New Roman" w:cs="Times New Roman"/>
                <w:color w:val="000000" w:themeColor="text1"/>
                <w:sz w:val="20"/>
                <w:szCs w:val="20"/>
              </w:rPr>
              <w:t>----------</w:t>
            </w:r>
          </w:p>
        </w:tc>
      </w:tr>
      <w:tr w:rsidR="00CC5E1B" w:rsidRPr="0072729B" w14:paraId="57BE30B5" w14:textId="77777777" w:rsidTr="0072729B">
        <w:trPr>
          <w:trHeight w:val="300"/>
        </w:trPr>
        <w:tc>
          <w:tcPr>
            <w:tcW w:w="1410" w:type="dxa"/>
            <w:tcBorders>
              <w:top w:val="nil"/>
              <w:left w:val="nil"/>
              <w:bottom w:val="nil"/>
              <w:right w:val="nil"/>
            </w:tcBorders>
            <w:shd w:val="clear" w:color="auto" w:fill="auto"/>
            <w:noWrap/>
            <w:vAlign w:val="bottom"/>
            <w:hideMark/>
          </w:tcPr>
          <w:p w14:paraId="5BDCCC16" w14:textId="77777777" w:rsidR="00CC5E1B" w:rsidRPr="0072729B" w:rsidRDefault="00CC5E1B" w:rsidP="0072729B">
            <w:pPr>
              <w:spacing w:after="0" w:line="240" w:lineRule="auto"/>
              <w:jc w:val="center"/>
              <w:rPr>
                <w:rFonts w:ascii="Times New Roman" w:eastAsia="Times New Roman" w:hAnsi="Times New Roman" w:cs="Times New Roman"/>
                <w:color w:val="BFBFBF"/>
                <w:sz w:val="20"/>
                <w:szCs w:val="20"/>
              </w:rPr>
            </w:pPr>
          </w:p>
        </w:tc>
        <w:tc>
          <w:tcPr>
            <w:tcW w:w="1410" w:type="dxa"/>
            <w:tcBorders>
              <w:top w:val="nil"/>
              <w:left w:val="nil"/>
              <w:bottom w:val="nil"/>
              <w:right w:val="nil"/>
            </w:tcBorders>
            <w:shd w:val="clear" w:color="auto" w:fill="auto"/>
            <w:noWrap/>
            <w:vAlign w:val="bottom"/>
            <w:hideMark/>
          </w:tcPr>
          <w:p w14:paraId="408E584F" w14:textId="7A23DBF9"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B70</w:t>
            </w:r>
          </w:p>
        </w:tc>
        <w:tc>
          <w:tcPr>
            <w:tcW w:w="1690" w:type="dxa"/>
            <w:tcBorders>
              <w:top w:val="nil"/>
              <w:left w:val="nil"/>
              <w:bottom w:val="nil"/>
              <w:right w:val="nil"/>
            </w:tcBorders>
            <w:shd w:val="clear" w:color="auto" w:fill="auto"/>
            <w:noWrap/>
            <w:vAlign w:val="bottom"/>
            <w:hideMark/>
          </w:tcPr>
          <w:p w14:paraId="2FDEB34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0.61</w:t>
            </w:r>
          </w:p>
        </w:tc>
        <w:tc>
          <w:tcPr>
            <w:tcW w:w="1690" w:type="dxa"/>
            <w:tcBorders>
              <w:top w:val="nil"/>
              <w:left w:val="nil"/>
              <w:bottom w:val="nil"/>
              <w:right w:val="nil"/>
            </w:tcBorders>
            <w:shd w:val="clear" w:color="auto" w:fill="auto"/>
            <w:noWrap/>
            <w:vAlign w:val="bottom"/>
            <w:hideMark/>
          </w:tcPr>
          <w:p w14:paraId="0D8F955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0.69</w:t>
            </w:r>
          </w:p>
        </w:tc>
        <w:tc>
          <w:tcPr>
            <w:tcW w:w="1690" w:type="dxa"/>
            <w:tcBorders>
              <w:top w:val="nil"/>
              <w:left w:val="nil"/>
              <w:bottom w:val="nil"/>
              <w:right w:val="nil"/>
            </w:tcBorders>
            <w:shd w:val="clear" w:color="auto" w:fill="auto"/>
            <w:noWrap/>
            <w:vAlign w:val="bottom"/>
            <w:hideMark/>
          </w:tcPr>
          <w:p w14:paraId="585FE997"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0.79</w:t>
            </w:r>
          </w:p>
        </w:tc>
        <w:tc>
          <w:tcPr>
            <w:tcW w:w="1690" w:type="dxa"/>
            <w:tcBorders>
              <w:top w:val="nil"/>
              <w:left w:val="nil"/>
              <w:bottom w:val="nil"/>
              <w:right w:val="nil"/>
            </w:tcBorders>
            <w:shd w:val="clear" w:color="auto" w:fill="auto"/>
            <w:noWrap/>
            <w:vAlign w:val="bottom"/>
            <w:hideMark/>
          </w:tcPr>
          <w:p w14:paraId="3B2EB489"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0.13</w:t>
            </w:r>
          </w:p>
        </w:tc>
        <w:tc>
          <w:tcPr>
            <w:tcW w:w="1690" w:type="dxa"/>
            <w:tcBorders>
              <w:top w:val="nil"/>
              <w:left w:val="nil"/>
              <w:bottom w:val="nil"/>
              <w:right w:val="nil"/>
            </w:tcBorders>
            <w:shd w:val="clear" w:color="auto" w:fill="auto"/>
            <w:noWrap/>
            <w:vAlign w:val="bottom"/>
            <w:hideMark/>
          </w:tcPr>
          <w:p w14:paraId="09D0B38E"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0.17</w:t>
            </w:r>
          </w:p>
        </w:tc>
        <w:tc>
          <w:tcPr>
            <w:tcW w:w="1690" w:type="dxa"/>
            <w:tcBorders>
              <w:top w:val="nil"/>
              <w:left w:val="nil"/>
              <w:bottom w:val="nil"/>
              <w:right w:val="nil"/>
            </w:tcBorders>
            <w:shd w:val="clear" w:color="auto" w:fill="auto"/>
            <w:noWrap/>
            <w:vAlign w:val="bottom"/>
            <w:hideMark/>
          </w:tcPr>
          <w:p w14:paraId="26850283"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0.22</w:t>
            </w:r>
          </w:p>
        </w:tc>
      </w:tr>
      <w:tr w:rsidR="00CC5E1B" w:rsidRPr="0072729B" w14:paraId="088E21A7" w14:textId="77777777" w:rsidTr="0072729B">
        <w:trPr>
          <w:trHeight w:val="300"/>
        </w:trPr>
        <w:tc>
          <w:tcPr>
            <w:tcW w:w="1410" w:type="dxa"/>
            <w:tcBorders>
              <w:top w:val="nil"/>
              <w:left w:val="nil"/>
              <w:bottom w:val="nil"/>
              <w:right w:val="nil"/>
            </w:tcBorders>
            <w:shd w:val="clear" w:color="auto" w:fill="auto"/>
            <w:noWrap/>
            <w:vAlign w:val="bottom"/>
            <w:hideMark/>
          </w:tcPr>
          <w:p w14:paraId="365F76C8" w14:textId="7777777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075CA722" w14:textId="375FB0F0"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B1A</w:t>
            </w:r>
          </w:p>
        </w:tc>
        <w:tc>
          <w:tcPr>
            <w:tcW w:w="1690" w:type="dxa"/>
            <w:tcBorders>
              <w:top w:val="nil"/>
              <w:left w:val="nil"/>
              <w:bottom w:val="nil"/>
              <w:right w:val="nil"/>
            </w:tcBorders>
            <w:shd w:val="clear" w:color="auto" w:fill="auto"/>
            <w:noWrap/>
            <w:vAlign w:val="bottom"/>
            <w:hideMark/>
          </w:tcPr>
          <w:p w14:paraId="088479FA"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0.53</w:t>
            </w:r>
          </w:p>
        </w:tc>
        <w:tc>
          <w:tcPr>
            <w:tcW w:w="1690" w:type="dxa"/>
            <w:tcBorders>
              <w:top w:val="nil"/>
              <w:left w:val="nil"/>
              <w:bottom w:val="nil"/>
              <w:right w:val="nil"/>
            </w:tcBorders>
            <w:shd w:val="clear" w:color="auto" w:fill="auto"/>
            <w:noWrap/>
            <w:vAlign w:val="bottom"/>
            <w:hideMark/>
          </w:tcPr>
          <w:p w14:paraId="5D482F4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0.62</w:t>
            </w:r>
          </w:p>
        </w:tc>
        <w:tc>
          <w:tcPr>
            <w:tcW w:w="1690" w:type="dxa"/>
            <w:tcBorders>
              <w:top w:val="nil"/>
              <w:left w:val="nil"/>
              <w:bottom w:val="nil"/>
              <w:right w:val="nil"/>
            </w:tcBorders>
            <w:shd w:val="clear" w:color="auto" w:fill="auto"/>
            <w:noWrap/>
            <w:vAlign w:val="bottom"/>
            <w:hideMark/>
          </w:tcPr>
          <w:p w14:paraId="3549BCBC"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0.73</w:t>
            </w:r>
          </w:p>
        </w:tc>
        <w:tc>
          <w:tcPr>
            <w:tcW w:w="1690" w:type="dxa"/>
            <w:tcBorders>
              <w:top w:val="nil"/>
              <w:left w:val="nil"/>
              <w:bottom w:val="nil"/>
              <w:right w:val="nil"/>
            </w:tcBorders>
            <w:shd w:val="clear" w:color="auto" w:fill="auto"/>
            <w:noWrap/>
            <w:vAlign w:val="bottom"/>
            <w:hideMark/>
          </w:tcPr>
          <w:p w14:paraId="0020A158"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0.43</w:t>
            </w:r>
          </w:p>
        </w:tc>
        <w:tc>
          <w:tcPr>
            <w:tcW w:w="1690" w:type="dxa"/>
            <w:tcBorders>
              <w:top w:val="nil"/>
              <w:left w:val="nil"/>
              <w:bottom w:val="nil"/>
              <w:right w:val="nil"/>
            </w:tcBorders>
            <w:shd w:val="clear" w:color="auto" w:fill="auto"/>
            <w:noWrap/>
            <w:vAlign w:val="bottom"/>
            <w:hideMark/>
          </w:tcPr>
          <w:p w14:paraId="7EDA696F"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0.58</w:t>
            </w:r>
          </w:p>
        </w:tc>
        <w:tc>
          <w:tcPr>
            <w:tcW w:w="1690" w:type="dxa"/>
            <w:tcBorders>
              <w:top w:val="nil"/>
              <w:left w:val="nil"/>
              <w:bottom w:val="nil"/>
              <w:right w:val="nil"/>
            </w:tcBorders>
            <w:shd w:val="clear" w:color="auto" w:fill="auto"/>
            <w:noWrap/>
            <w:vAlign w:val="bottom"/>
            <w:hideMark/>
          </w:tcPr>
          <w:p w14:paraId="1C0BB792"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0.76</w:t>
            </w:r>
          </w:p>
        </w:tc>
      </w:tr>
      <w:tr w:rsidR="00CC5E1B" w:rsidRPr="0072729B" w14:paraId="116CFC36" w14:textId="77777777" w:rsidTr="0072729B">
        <w:trPr>
          <w:trHeight w:val="300"/>
        </w:trPr>
        <w:tc>
          <w:tcPr>
            <w:tcW w:w="1410" w:type="dxa"/>
            <w:tcBorders>
              <w:top w:val="nil"/>
              <w:left w:val="nil"/>
              <w:right w:val="nil"/>
            </w:tcBorders>
            <w:shd w:val="clear" w:color="auto" w:fill="auto"/>
            <w:noWrap/>
            <w:vAlign w:val="bottom"/>
            <w:hideMark/>
          </w:tcPr>
          <w:p w14:paraId="4FADAD54" w14:textId="7777777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right w:val="nil"/>
            </w:tcBorders>
            <w:shd w:val="clear" w:color="auto" w:fill="auto"/>
            <w:noWrap/>
            <w:vAlign w:val="bottom"/>
            <w:hideMark/>
          </w:tcPr>
          <w:p w14:paraId="54DF490E" w14:textId="26DBBE01"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B22</w:t>
            </w:r>
          </w:p>
        </w:tc>
        <w:tc>
          <w:tcPr>
            <w:tcW w:w="1690" w:type="dxa"/>
            <w:tcBorders>
              <w:top w:val="nil"/>
              <w:left w:val="nil"/>
              <w:right w:val="nil"/>
            </w:tcBorders>
            <w:shd w:val="clear" w:color="auto" w:fill="auto"/>
            <w:noWrap/>
            <w:vAlign w:val="bottom"/>
            <w:hideMark/>
          </w:tcPr>
          <w:p w14:paraId="15027A40"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0.52</w:t>
            </w:r>
          </w:p>
        </w:tc>
        <w:tc>
          <w:tcPr>
            <w:tcW w:w="1690" w:type="dxa"/>
            <w:tcBorders>
              <w:top w:val="nil"/>
              <w:left w:val="nil"/>
              <w:right w:val="nil"/>
            </w:tcBorders>
            <w:shd w:val="clear" w:color="auto" w:fill="auto"/>
            <w:noWrap/>
            <w:vAlign w:val="bottom"/>
            <w:hideMark/>
          </w:tcPr>
          <w:p w14:paraId="1B18ACC3"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0.62</w:t>
            </w:r>
          </w:p>
        </w:tc>
        <w:tc>
          <w:tcPr>
            <w:tcW w:w="1690" w:type="dxa"/>
            <w:tcBorders>
              <w:top w:val="nil"/>
              <w:left w:val="nil"/>
              <w:right w:val="nil"/>
            </w:tcBorders>
            <w:shd w:val="clear" w:color="auto" w:fill="auto"/>
            <w:noWrap/>
            <w:vAlign w:val="bottom"/>
            <w:hideMark/>
          </w:tcPr>
          <w:p w14:paraId="1CA88192"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0.74</w:t>
            </w:r>
          </w:p>
        </w:tc>
        <w:tc>
          <w:tcPr>
            <w:tcW w:w="1690" w:type="dxa"/>
            <w:tcBorders>
              <w:top w:val="nil"/>
              <w:left w:val="nil"/>
              <w:right w:val="nil"/>
            </w:tcBorders>
            <w:shd w:val="clear" w:color="auto" w:fill="auto"/>
            <w:noWrap/>
            <w:vAlign w:val="bottom"/>
            <w:hideMark/>
          </w:tcPr>
          <w:p w14:paraId="152F2184"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0.54</w:t>
            </w:r>
          </w:p>
        </w:tc>
        <w:tc>
          <w:tcPr>
            <w:tcW w:w="1690" w:type="dxa"/>
            <w:tcBorders>
              <w:top w:val="nil"/>
              <w:left w:val="nil"/>
              <w:right w:val="nil"/>
            </w:tcBorders>
            <w:shd w:val="clear" w:color="auto" w:fill="auto"/>
            <w:noWrap/>
            <w:vAlign w:val="bottom"/>
            <w:hideMark/>
          </w:tcPr>
          <w:p w14:paraId="4C25932E"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0.65</w:t>
            </w:r>
          </w:p>
        </w:tc>
        <w:tc>
          <w:tcPr>
            <w:tcW w:w="1690" w:type="dxa"/>
            <w:tcBorders>
              <w:top w:val="nil"/>
              <w:left w:val="nil"/>
              <w:right w:val="nil"/>
            </w:tcBorders>
            <w:shd w:val="clear" w:color="auto" w:fill="auto"/>
            <w:noWrap/>
            <w:vAlign w:val="bottom"/>
            <w:hideMark/>
          </w:tcPr>
          <w:p w14:paraId="588C1776"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0.79</w:t>
            </w:r>
          </w:p>
        </w:tc>
      </w:tr>
      <w:tr w:rsidR="00DF37BF" w:rsidRPr="0072729B" w14:paraId="5BC45A21" w14:textId="77777777" w:rsidTr="0072729B">
        <w:trPr>
          <w:trHeight w:val="300"/>
        </w:trPr>
        <w:tc>
          <w:tcPr>
            <w:tcW w:w="1410" w:type="dxa"/>
            <w:tcBorders>
              <w:top w:val="nil"/>
              <w:left w:val="nil"/>
              <w:bottom w:val="single" w:sz="4" w:space="0" w:color="auto"/>
              <w:right w:val="nil"/>
            </w:tcBorders>
            <w:shd w:val="clear" w:color="auto" w:fill="auto"/>
            <w:noWrap/>
            <w:vAlign w:val="bottom"/>
            <w:hideMark/>
          </w:tcPr>
          <w:p w14:paraId="1D145E23" w14:textId="77777777" w:rsidR="00CC5E1B" w:rsidRPr="0072729B" w:rsidRDefault="00CC5E1B" w:rsidP="0072729B">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single" w:sz="4" w:space="0" w:color="auto"/>
              <w:right w:val="nil"/>
            </w:tcBorders>
            <w:shd w:val="clear" w:color="auto" w:fill="auto"/>
            <w:noWrap/>
            <w:vAlign w:val="bottom"/>
            <w:hideMark/>
          </w:tcPr>
          <w:p w14:paraId="316C393C" w14:textId="5BF51210" w:rsidR="00CC5E1B" w:rsidRPr="0072729B" w:rsidRDefault="00CC5E1B" w:rsidP="0072729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Psyc B5</w:t>
            </w:r>
          </w:p>
        </w:tc>
        <w:tc>
          <w:tcPr>
            <w:tcW w:w="1690" w:type="dxa"/>
            <w:tcBorders>
              <w:top w:val="nil"/>
              <w:left w:val="nil"/>
              <w:bottom w:val="single" w:sz="4" w:space="0" w:color="auto"/>
              <w:right w:val="nil"/>
            </w:tcBorders>
            <w:shd w:val="clear" w:color="auto" w:fill="auto"/>
            <w:noWrap/>
            <w:vAlign w:val="bottom"/>
            <w:hideMark/>
          </w:tcPr>
          <w:p w14:paraId="1FDC8871"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0.84</w:t>
            </w:r>
          </w:p>
        </w:tc>
        <w:tc>
          <w:tcPr>
            <w:tcW w:w="1690" w:type="dxa"/>
            <w:tcBorders>
              <w:top w:val="nil"/>
              <w:left w:val="nil"/>
              <w:bottom w:val="single" w:sz="4" w:space="0" w:color="auto"/>
              <w:right w:val="nil"/>
            </w:tcBorders>
            <w:shd w:val="clear" w:color="auto" w:fill="auto"/>
            <w:noWrap/>
            <w:vAlign w:val="bottom"/>
            <w:hideMark/>
          </w:tcPr>
          <w:p w14:paraId="6A6B2220"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0.90</w:t>
            </w:r>
          </w:p>
        </w:tc>
        <w:tc>
          <w:tcPr>
            <w:tcW w:w="1690" w:type="dxa"/>
            <w:tcBorders>
              <w:top w:val="nil"/>
              <w:left w:val="nil"/>
              <w:bottom w:val="single" w:sz="4" w:space="0" w:color="auto"/>
              <w:right w:val="nil"/>
            </w:tcBorders>
            <w:shd w:val="clear" w:color="auto" w:fill="auto"/>
            <w:noWrap/>
            <w:vAlign w:val="bottom"/>
            <w:hideMark/>
          </w:tcPr>
          <w:p w14:paraId="2B0925FB"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0.94</w:t>
            </w:r>
          </w:p>
        </w:tc>
        <w:tc>
          <w:tcPr>
            <w:tcW w:w="1690" w:type="dxa"/>
            <w:tcBorders>
              <w:top w:val="nil"/>
              <w:left w:val="nil"/>
              <w:bottom w:val="single" w:sz="4" w:space="0" w:color="auto"/>
              <w:right w:val="nil"/>
            </w:tcBorders>
            <w:shd w:val="clear" w:color="auto" w:fill="auto"/>
            <w:noWrap/>
            <w:vAlign w:val="bottom"/>
            <w:hideMark/>
          </w:tcPr>
          <w:p w14:paraId="773D3925"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0.89</w:t>
            </w:r>
          </w:p>
        </w:tc>
        <w:tc>
          <w:tcPr>
            <w:tcW w:w="1690" w:type="dxa"/>
            <w:tcBorders>
              <w:top w:val="nil"/>
              <w:left w:val="nil"/>
              <w:bottom w:val="single" w:sz="4" w:space="0" w:color="auto"/>
              <w:right w:val="nil"/>
            </w:tcBorders>
            <w:shd w:val="clear" w:color="auto" w:fill="auto"/>
            <w:noWrap/>
            <w:vAlign w:val="bottom"/>
            <w:hideMark/>
          </w:tcPr>
          <w:p w14:paraId="02C62B85"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0.93</w:t>
            </w:r>
          </w:p>
        </w:tc>
        <w:tc>
          <w:tcPr>
            <w:tcW w:w="1690" w:type="dxa"/>
            <w:tcBorders>
              <w:top w:val="nil"/>
              <w:left w:val="nil"/>
              <w:bottom w:val="single" w:sz="4" w:space="0" w:color="auto"/>
              <w:right w:val="nil"/>
            </w:tcBorders>
            <w:shd w:val="clear" w:color="auto" w:fill="auto"/>
            <w:noWrap/>
            <w:vAlign w:val="bottom"/>
            <w:hideMark/>
          </w:tcPr>
          <w:p w14:paraId="07803029" w14:textId="77777777" w:rsidR="00CC5E1B" w:rsidRPr="0072729B" w:rsidRDefault="00CC5E1B" w:rsidP="0072729B">
            <w:pPr>
              <w:tabs>
                <w:tab w:val="decimal" w:pos="665"/>
              </w:tabs>
              <w:spacing w:after="0" w:line="240" w:lineRule="auto"/>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0.96</w:t>
            </w:r>
          </w:p>
        </w:tc>
      </w:tr>
    </w:tbl>
    <w:p w14:paraId="573D662B" w14:textId="77777777" w:rsidR="006D2D9A" w:rsidRDefault="006D2D9A">
      <w:pPr>
        <w:rPr>
          <w:rFonts w:ascii="Times New Roman" w:hAnsi="Times New Roman" w:cs="Times New Roman"/>
          <w:sz w:val="24"/>
          <w:szCs w:val="24"/>
        </w:rPr>
      </w:pPr>
    </w:p>
    <w:p w14:paraId="06C5312A" w14:textId="36CAB66D" w:rsidR="005B0B84" w:rsidRDefault="005B0B84" w:rsidP="005B0B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17: </w:t>
      </w:r>
      <w:r w:rsidR="006C421B">
        <w:rPr>
          <w:rFonts w:ascii="Times New Roman" w:hAnsi="Times New Roman" w:cs="Times New Roman"/>
          <w:sz w:val="24"/>
          <w:szCs w:val="24"/>
        </w:rPr>
        <w:t xml:space="preserve">Cross-tabulation </w:t>
      </w:r>
      <w:r>
        <w:rPr>
          <w:rFonts w:ascii="Times New Roman" w:hAnsi="Times New Roman" w:cs="Times New Roman"/>
          <w:sz w:val="24"/>
          <w:szCs w:val="24"/>
        </w:rPr>
        <w:t>of cumulative high school GPA by first English course</w:t>
      </w:r>
    </w:p>
    <w:p w14:paraId="55FBD8FF" w14:textId="77777777" w:rsidR="005B0B84" w:rsidRDefault="005B0B84" w:rsidP="005B0B84">
      <w:pPr>
        <w:spacing w:after="0" w:line="240" w:lineRule="auto"/>
        <w:rPr>
          <w:rFonts w:ascii="Times New Roman" w:hAnsi="Times New Roman" w:cs="Times New Roman"/>
          <w:sz w:val="24"/>
          <w:szCs w:val="24"/>
        </w:rPr>
      </w:pPr>
    </w:p>
    <w:tbl>
      <w:tblPr>
        <w:tblW w:w="10800" w:type="dxa"/>
        <w:tblLook w:val="04A0" w:firstRow="1" w:lastRow="0" w:firstColumn="1" w:lastColumn="0" w:noHBand="0" w:noVBand="1"/>
      </w:tblPr>
      <w:tblGrid>
        <w:gridCol w:w="2160"/>
        <w:gridCol w:w="2160"/>
        <w:gridCol w:w="2160"/>
        <w:gridCol w:w="2160"/>
        <w:gridCol w:w="2160"/>
      </w:tblGrid>
      <w:tr w:rsidR="005B0B84" w:rsidRPr="0072729B" w14:paraId="68F788F1" w14:textId="77777777" w:rsidTr="0072729B">
        <w:trPr>
          <w:trHeight w:val="300"/>
        </w:trPr>
        <w:tc>
          <w:tcPr>
            <w:tcW w:w="2160" w:type="dxa"/>
            <w:tcBorders>
              <w:top w:val="single" w:sz="4" w:space="0" w:color="auto"/>
              <w:left w:val="nil"/>
              <w:bottom w:val="nil"/>
              <w:right w:val="nil"/>
            </w:tcBorders>
            <w:shd w:val="clear" w:color="auto" w:fill="auto"/>
            <w:noWrap/>
            <w:vAlign w:val="bottom"/>
            <w:hideMark/>
          </w:tcPr>
          <w:p w14:paraId="39C08614" w14:textId="77777777" w:rsidR="005B0B84" w:rsidRPr="0072729B" w:rsidRDefault="005B0B84" w:rsidP="0072729B">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nil"/>
              <w:bottom w:val="single" w:sz="4" w:space="0" w:color="auto"/>
              <w:right w:val="nil"/>
            </w:tcBorders>
            <w:shd w:val="clear" w:color="auto" w:fill="auto"/>
            <w:noWrap/>
            <w:vAlign w:val="bottom"/>
            <w:hideMark/>
          </w:tcPr>
          <w:p w14:paraId="29E48622" w14:textId="419D5F78" w:rsidR="005B0B84" w:rsidRPr="0072729B" w:rsidRDefault="005B0B84" w:rsidP="0072729B">
            <w:pPr>
              <w:spacing w:after="0" w:line="240" w:lineRule="auto"/>
              <w:jc w:val="center"/>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&lt; 1.90</w:t>
            </w:r>
          </w:p>
        </w:tc>
        <w:tc>
          <w:tcPr>
            <w:tcW w:w="2160" w:type="dxa"/>
            <w:tcBorders>
              <w:top w:val="single" w:sz="4" w:space="0" w:color="auto"/>
              <w:left w:val="nil"/>
              <w:bottom w:val="single" w:sz="4" w:space="0" w:color="auto"/>
              <w:right w:val="nil"/>
            </w:tcBorders>
            <w:shd w:val="clear" w:color="auto" w:fill="auto"/>
            <w:noWrap/>
            <w:vAlign w:val="bottom"/>
            <w:hideMark/>
          </w:tcPr>
          <w:p w14:paraId="3EFA8A29" w14:textId="5D540E76" w:rsidR="005B0B84" w:rsidRPr="0072729B" w:rsidRDefault="005B0B84" w:rsidP="0072729B">
            <w:pPr>
              <w:spacing w:after="0" w:line="240" w:lineRule="auto"/>
              <w:jc w:val="center"/>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1.90-2.59</w:t>
            </w:r>
          </w:p>
        </w:tc>
        <w:tc>
          <w:tcPr>
            <w:tcW w:w="2160" w:type="dxa"/>
            <w:tcBorders>
              <w:top w:val="single" w:sz="4" w:space="0" w:color="auto"/>
              <w:left w:val="nil"/>
              <w:bottom w:val="single" w:sz="4" w:space="0" w:color="auto"/>
              <w:right w:val="nil"/>
            </w:tcBorders>
            <w:shd w:val="clear" w:color="auto" w:fill="auto"/>
            <w:noWrap/>
            <w:vAlign w:val="bottom"/>
            <w:hideMark/>
          </w:tcPr>
          <w:p w14:paraId="2C932F7F" w14:textId="09603E68" w:rsidR="005B0B84" w:rsidRPr="0072729B" w:rsidRDefault="005B0B84" w:rsidP="0072729B">
            <w:pPr>
              <w:spacing w:after="0" w:line="240" w:lineRule="auto"/>
              <w:jc w:val="center"/>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2.60-4.00</w:t>
            </w:r>
          </w:p>
        </w:tc>
        <w:tc>
          <w:tcPr>
            <w:tcW w:w="2160" w:type="dxa"/>
            <w:tcBorders>
              <w:top w:val="single" w:sz="4" w:space="0" w:color="auto"/>
              <w:left w:val="nil"/>
              <w:bottom w:val="single" w:sz="4" w:space="0" w:color="auto"/>
              <w:right w:val="nil"/>
            </w:tcBorders>
            <w:shd w:val="clear" w:color="auto" w:fill="auto"/>
            <w:noWrap/>
            <w:vAlign w:val="bottom"/>
            <w:hideMark/>
          </w:tcPr>
          <w:p w14:paraId="2591E47E" w14:textId="77777777" w:rsidR="005B0B84" w:rsidRPr="0072729B" w:rsidRDefault="005B0B84" w:rsidP="0072729B">
            <w:pPr>
              <w:spacing w:after="0" w:line="240" w:lineRule="auto"/>
              <w:jc w:val="center"/>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Total</w:t>
            </w:r>
          </w:p>
        </w:tc>
      </w:tr>
      <w:tr w:rsidR="00E37FF9" w:rsidRPr="0072729B" w14:paraId="7F09D0D4" w14:textId="77777777" w:rsidTr="0072729B">
        <w:trPr>
          <w:trHeight w:val="300"/>
        </w:trPr>
        <w:tc>
          <w:tcPr>
            <w:tcW w:w="2160" w:type="dxa"/>
            <w:tcBorders>
              <w:top w:val="nil"/>
              <w:left w:val="nil"/>
              <w:bottom w:val="nil"/>
              <w:right w:val="nil"/>
            </w:tcBorders>
            <w:shd w:val="clear" w:color="auto" w:fill="auto"/>
            <w:noWrap/>
            <w:vAlign w:val="bottom"/>
            <w:hideMark/>
          </w:tcPr>
          <w:p w14:paraId="7B4D7737" w14:textId="77777777" w:rsidR="005B0B84" w:rsidRPr="0072729B" w:rsidRDefault="005B0B84" w:rsidP="0072729B">
            <w:pPr>
              <w:spacing w:after="0" w:line="240" w:lineRule="auto"/>
              <w:rPr>
                <w:rFonts w:ascii="Times New Roman" w:eastAsia="Times New Roman" w:hAnsi="Times New Roman" w:cs="Times New Roman"/>
                <w:color w:val="000000"/>
                <w:sz w:val="20"/>
                <w:szCs w:val="20"/>
              </w:rPr>
            </w:pPr>
          </w:p>
        </w:tc>
        <w:tc>
          <w:tcPr>
            <w:tcW w:w="2160" w:type="dxa"/>
            <w:tcBorders>
              <w:top w:val="single" w:sz="4" w:space="0" w:color="auto"/>
              <w:left w:val="nil"/>
              <w:bottom w:val="nil"/>
              <w:right w:val="nil"/>
            </w:tcBorders>
            <w:shd w:val="clear" w:color="auto" w:fill="auto"/>
            <w:noWrap/>
            <w:vAlign w:val="bottom"/>
            <w:hideMark/>
          </w:tcPr>
          <w:p w14:paraId="65E367DF" w14:textId="77777777" w:rsidR="005B0B84" w:rsidRPr="0072729B" w:rsidRDefault="005B0B84" w:rsidP="0072729B">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nil"/>
              <w:bottom w:val="nil"/>
              <w:right w:val="nil"/>
            </w:tcBorders>
            <w:shd w:val="clear" w:color="auto" w:fill="auto"/>
            <w:noWrap/>
            <w:vAlign w:val="bottom"/>
            <w:hideMark/>
          </w:tcPr>
          <w:p w14:paraId="6014CF9E" w14:textId="77777777" w:rsidR="005B0B84" w:rsidRPr="0072729B" w:rsidRDefault="005B0B84" w:rsidP="0072729B">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nil"/>
              <w:bottom w:val="nil"/>
              <w:right w:val="nil"/>
            </w:tcBorders>
            <w:shd w:val="clear" w:color="auto" w:fill="auto"/>
            <w:noWrap/>
            <w:vAlign w:val="bottom"/>
            <w:hideMark/>
          </w:tcPr>
          <w:p w14:paraId="196DD909" w14:textId="77777777" w:rsidR="005B0B84" w:rsidRPr="0072729B" w:rsidRDefault="005B0B84" w:rsidP="0072729B">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nil"/>
              <w:bottom w:val="nil"/>
              <w:right w:val="nil"/>
            </w:tcBorders>
            <w:shd w:val="clear" w:color="auto" w:fill="auto"/>
            <w:noWrap/>
            <w:vAlign w:val="bottom"/>
            <w:hideMark/>
          </w:tcPr>
          <w:p w14:paraId="262BF2AE" w14:textId="77777777" w:rsidR="005B0B84" w:rsidRPr="0072729B" w:rsidRDefault="005B0B84" w:rsidP="0072729B">
            <w:pPr>
              <w:spacing w:after="0" w:line="240" w:lineRule="auto"/>
              <w:rPr>
                <w:rFonts w:ascii="Times New Roman" w:eastAsia="Times New Roman" w:hAnsi="Times New Roman" w:cs="Times New Roman"/>
                <w:sz w:val="20"/>
                <w:szCs w:val="20"/>
              </w:rPr>
            </w:pPr>
          </w:p>
        </w:tc>
      </w:tr>
      <w:tr w:rsidR="00E37FF9" w:rsidRPr="0072729B" w14:paraId="472B2310" w14:textId="77777777" w:rsidTr="0072729B">
        <w:trPr>
          <w:trHeight w:val="300"/>
        </w:trPr>
        <w:tc>
          <w:tcPr>
            <w:tcW w:w="2160" w:type="dxa"/>
            <w:tcBorders>
              <w:top w:val="nil"/>
              <w:left w:val="nil"/>
              <w:bottom w:val="nil"/>
              <w:right w:val="nil"/>
            </w:tcBorders>
            <w:shd w:val="clear" w:color="auto" w:fill="auto"/>
            <w:noWrap/>
            <w:vAlign w:val="bottom"/>
            <w:hideMark/>
          </w:tcPr>
          <w:p w14:paraId="369D4A21" w14:textId="0F2D633A" w:rsidR="00E37FF9" w:rsidRPr="0072729B" w:rsidRDefault="00E37FF9" w:rsidP="00E37FF9">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B60</w:t>
            </w:r>
          </w:p>
        </w:tc>
        <w:tc>
          <w:tcPr>
            <w:tcW w:w="2160" w:type="dxa"/>
            <w:tcBorders>
              <w:top w:val="nil"/>
              <w:left w:val="nil"/>
              <w:bottom w:val="nil"/>
              <w:right w:val="nil"/>
            </w:tcBorders>
            <w:shd w:val="clear" w:color="auto" w:fill="auto"/>
            <w:noWrap/>
            <w:vAlign w:val="bottom"/>
            <w:hideMark/>
          </w:tcPr>
          <w:p w14:paraId="4B31AA3B" w14:textId="4673D8BF"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70</w:t>
            </w:r>
          </w:p>
        </w:tc>
        <w:tc>
          <w:tcPr>
            <w:tcW w:w="2160" w:type="dxa"/>
            <w:tcBorders>
              <w:top w:val="nil"/>
              <w:left w:val="nil"/>
              <w:bottom w:val="nil"/>
              <w:right w:val="nil"/>
            </w:tcBorders>
            <w:shd w:val="clear" w:color="auto" w:fill="auto"/>
            <w:noWrap/>
            <w:vAlign w:val="bottom"/>
            <w:hideMark/>
          </w:tcPr>
          <w:p w14:paraId="4B5C75E5" w14:textId="220A3E6A"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193</w:t>
            </w:r>
          </w:p>
        </w:tc>
        <w:tc>
          <w:tcPr>
            <w:tcW w:w="2160" w:type="dxa"/>
            <w:tcBorders>
              <w:top w:val="nil"/>
              <w:left w:val="nil"/>
              <w:bottom w:val="nil"/>
              <w:right w:val="nil"/>
            </w:tcBorders>
            <w:shd w:val="clear" w:color="auto" w:fill="auto"/>
            <w:noWrap/>
            <w:vAlign w:val="bottom"/>
            <w:hideMark/>
          </w:tcPr>
          <w:p w14:paraId="3523B193" w14:textId="41ED3CE7"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80</w:t>
            </w:r>
          </w:p>
        </w:tc>
        <w:tc>
          <w:tcPr>
            <w:tcW w:w="2160" w:type="dxa"/>
            <w:tcBorders>
              <w:top w:val="nil"/>
              <w:left w:val="nil"/>
              <w:bottom w:val="nil"/>
              <w:right w:val="nil"/>
            </w:tcBorders>
            <w:shd w:val="clear" w:color="auto" w:fill="auto"/>
            <w:noWrap/>
            <w:vAlign w:val="bottom"/>
            <w:hideMark/>
          </w:tcPr>
          <w:p w14:paraId="35603702" w14:textId="3590A4E8"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343</w:t>
            </w:r>
          </w:p>
        </w:tc>
      </w:tr>
      <w:tr w:rsidR="00E37FF9" w:rsidRPr="0072729B" w14:paraId="4443227F" w14:textId="77777777" w:rsidTr="0072729B">
        <w:trPr>
          <w:trHeight w:val="300"/>
        </w:trPr>
        <w:tc>
          <w:tcPr>
            <w:tcW w:w="2160" w:type="dxa"/>
            <w:tcBorders>
              <w:top w:val="nil"/>
              <w:left w:val="nil"/>
              <w:bottom w:val="nil"/>
              <w:right w:val="nil"/>
            </w:tcBorders>
            <w:shd w:val="clear" w:color="auto" w:fill="auto"/>
            <w:noWrap/>
            <w:vAlign w:val="bottom"/>
            <w:hideMark/>
          </w:tcPr>
          <w:p w14:paraId="5CED06C2" w14:textId="6B9AD772" w:rsidR="00E37FF9" w:rsidRPr="0072729B" w:rsidRDefault="00E37FF9" w:rsidP="00E37FF9">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B53</w:t>
            </w:r>
          </w:p>
        </w:tc>
        <w:tc>
          <w:tcPr>
            <w:tcW w:w="2160" w:type="dxa"/>
            <w:tcBorders>
              <w:top w:val="nil"/>
              <w:left w:val="nil"/>
              <w:bottom w:val="nil"/>
              <w:right w:val="nil"/>
            </w:tcBorders>
            <w:shd w:val="clear" w:color="auto" w:fill="auto"/>
            <w:noWrap/>
            <w:vAlign w:val="bottom"/>
            <w:hideMark/>
          </w:tcPr>
          <w:p w14:paraId="0C293A8A" w14:textId="3DA80144"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75</w:t>
            </w:r>
          </w:p>
        </w:tc>
        <w:tc>
          <w:tcPr>
            <w:tcW w:w="2160" w:type="dxa"/>
            <w:tcBorders>
              <w:top w:val="nil"/>
              <w:left w:val="nil"/>
              <w:bottom w:val="nil"/>
              <w:right w:val="nil"/>
            </w:tcBorders>
            <w:shd w:val="clear" w:color="auto" w:fill="auto"/>
            <w:noWrap/>
            <w:vAlign w:val="bottom"/>
            <w:hideMark/>
          </w:tcPr>
          <w:p w14:paraId="24B76F7D" w14:textId="0DBC1B84"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236</w:t>
            </w:r>
          </w:p>
        </w:tc>
        <w:tc>
          <w:tcPr>
            <w:tcW w:w="2160" w:type="dxa"/>
            <w:tcBorders>
              <w:top w:val="nil"/>
              <w:left w:val="nil"/>
              <w:bottom w:val="nil"/>
              <w:right w:val="nil"/>
            </w:tcBorders>
            <w:shd w:val="clear" w:color="auto" w:fill="auto"/>
            <w:noWrap/>
            <w:vAlign w:val="bottom"/>
            <w:hideMark/>
          </w:tcPr>
          <w:p w14:paraId="2C3CE075" w14:textId="192A88D6"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91</w:t>
            </w:r>
          </w:p>
        </w:tc>
        <w:tc>
          <w:tcPr>
            <w:tcW w:w="2160" w:type="dxa"/>
            <w:tcBorders>
              <w:top w:val="nil"/>
              <w:left w:val="nil"/>
              <w:bottom w:val="nil"/>
              <w:right w:val="nil"/>
            </w:tcBorders>
            <w:shd w:val="clear" w:color="auto" w:fill="auto"/>
            <w:noWrap/>
            <w:vAlign w:val="bottom"/>
            <w:hideMark/>
          </w:tcPr>
          <w:p w14:paraId="367BBE5F" w14:textId="44C49C94"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402</w:t>
            </w:r>
          </w:p>
        </w:tc>
      </w:tr>
      <w:tr w:rsidR="00E37FF9" w:rsidRPr="0072729B" w14:paraId="3CD179B3" w14:textId="77777777" w:rsidTr="0072729B">
        <w:trPr>
          <w:trHeight w:val="300"/>
        </w:trPr>
        <w:tc>
          <w:tcPr>
            <w:tcW w:w="2160" w:type="dxa"/>
            <w:tcBorders>
              <w:top w:val="nil"/>
              <w:left w:val="nil"/>
              <w:bottom w:val="nil"/>
              <w:right w:val="nil"/>
            </w:tcBorders>
            <w:shd w:val="clear" w:color="auto" w:fill="auto"/>
            <w:noWrap/>
            <w:vAlign w:val="bottom"/>
            <w:hideMark/>
          </w:tcPr>
          <w:p w14:paraId="5E8F2FC3" w14:textId="2297CDE9" w:rsidR="00E37FF9" w:rsidRPr="0072729B" w:rsidRDefault="00E37FF9" w:rsidP="00E37FF9">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B50</w:t>
            </w:r>
          </w:p>
        </w:tc>
        <w:tc>
          <w:tcPr>
            <w:tcW w:w="2160" w:type="dxa"/>
            <w:tcBorders>
              <w:top w:val="nil"/>
              <w:left w:val="nil"/>
              <w:bottom w:val="nil"/>
              <w:right w:val="nil"/>
            </w:tcBorders>
            <w:shd w:val="clear" w:color="auto" w:fill="auto"/>
            <w:noWrap/>
            <w:vAlign w:val="bottom"/>
            <w:hideMark/>
          </w:tcPr>
          <w:p w14:paraId="36282C93" w14:textId="33FC0CC6"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115</w:t>
            </w:r>
          </w:p>
        </w:tc>
        <w:tc>
          <w:tcPr>
            <w:tcW w:w="2160" w:type="dxa"/>
            <w:tcBorders>
              <w:top w:val="nil"/>
              <w:left w:val="nil"/>
              <w:bottom w:val="nil"/>
              <w:right w:val="nil"/>
            </w:tcBorders>
            <w:shd w:val="clear" w:color="auto" w:fill="auto"/>
            <w:noWrap/>
            <w:vAlign w:val="bottom"/>
            <w:hideMark/>
          </w:tcPr>
          <w:p w14:paraId="3E42C9FC" w14:textId="2224DF5D"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549</w:t>
            </w:r>
          </w:p>
        </w:tc>
        <w:tc>
          <w:tcPr>
            <w:tcW w:w="2160" w:type="dxa"/>
            <w:tcBorders>
              <w:top w:val="nil"/>
              <w:left w:val="nil"/>
              <w:bottom w:val="nil"/>
              <w:right w:val="nil"/>
            </w:tcBorders>
            <w:shd w:val="clear" w:color="auto" w:fill="auto"/>
            <w:noWrap/>
            <w:vAlign w:val="bottom"/>
            <w:hideMark/>
          </w:tcPr>
          <w:p w14:paraId="234BA66F" w14:textId="51D99B02"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228</w:t>
            </w:r>
          </w:p>
        </w:tc>
        <w:tc>
          <w:tcPr>
            <w:tcW w:w="2160" w:type="dxa"/>
            <w:tcBorders>
              <w:top w:val="nil"/>
              <w:left w:val="nil"/>
              <w:bottom w:val="nil"/>
              <w:right w:val="nil"/>
            </w:tcBorders>
            <w:shd w:val="clear" w:color="auto" w:fill="auto"/>
            <w:noWrap/>
            <w:vAlign w:val="bottom"/>
            <w:hideMark/>
          </w:tcPr>
          <w:p w14:paraId="283CBAA8" w14:textId="75E4EA2B"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892</w:t>
            </w:r>
          </w:p>
        </w:tc>
      </w:tr>
      <w:tr w:rsidR="00E37FF9" w:rsidRPr="0072729B" w14:paraId="06A2E5C6" w14:textId="77777777" w:rsidTr="0072729B">
        <w:trPr>
          <w:trHeight w:val="300"/>
        </w:trPr>
        <w:tc>
          <w:tcPr>
            <w:tcW w:w="2160" w:type="dxa"/>
            <w:tcBorders>
              <w:top w:val="nil"/>
              <w:left w:val="nil"/>
              <w:bottom w:val="nil"/>
              <w:right w:val="nil"/>
            </w:tcBorders>
            <w:shd w:val="clear" w:color="auto" w:fill="auto"/>
            <w:noWrap/>
            <w:vAlign w:val="bottom"/>
            <w:hideMark/>
          </w:tcPr>
          <w:p w14:paraId="4B36AA7C" w14:textId="3B7A7083" w:rsidR="00E37FF9" w:rsidRPr="0072729B" w:rsidRDefault="00E37FF9" w:rsidP="00E37FF9">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LRNC B510</w:t>
            </w:r>
          </w:p>
        </w:tc>
        <w:tc>
          <w:tcPr>
            <w:tcW w:w="2160" w:type="dxa"/>
            <w:tcBorders>
              <w:top w:val="nil"/>
              <w:left w:val="nil"/>
              <w:bottom w:val="nil"/>
              <w:right w:val="nil"/>
            </w:tcBorders>
            <w:shd w:val="clear" w:color="auto" w:fill="auto"/>
            <w:noWrap/>
            <w:vAlign w:val="bottom"/>
            <w:hideMark/>
          </w:tcPr>
          <w:p w14:paraId="0B372474" w14:textId="7A2D06A8"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13</w:t>
            </w:r>
          </w:p>
        </w:tc>
        <w:tc>
          <w:tcPr>
            <w:tcW w:w="2160" w:type="dxa"/>
            <w:tcBorders>
              <w:top w:val="nil"/>
              <w:left w:val="nil"/>
              <w:bottom w:val="nil"/>
              <w:right w:val="nil"/>
            </w:tcBorders>
            <w:shd w:val="clear" w:color="auto" w:fill="auto"/>
            <w:noWrap/>
            <w:vAlign w:val="bottom"/>
            <w:hideMark/>
          </w:tcPr>
          <w:p w14:paraId="5D7E1B9A" w14:textId="4686C8AF"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72</w:t>
            </w:r>
          </w:p>
        </w:tc>
        <w:tc>
          <w:tcPr>
            <w:tcW w:w="2160" w:type="dxa"/>
            <w:tcBorders>
              <w:top w:val="nil"/>
              <w:left w:val="nil"/>
              <w:bottom w:val="nil"/>
              <w:right w:val="nil"/>
            </w:tcBorders>
            <w:shd w:val="clear" w:color="auto" w:fill="auto"/>
            <w:noWrap/>
            <w:vAlign w:val="bottom"/>
            <w:hideMark/>
          </w:tcPr>
          <w:p w14:paraId="49F5DC41" w14:textId="615623C0"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30</w:t>
            </w:r>
          </w:p>
        </w:tc>
        <w:tc>
          <w:tcPr>
            <w:tcW w:w="2160" w:type="dxa"/>
            <w:tcBorders>
              <w:top w:val="nil"/>
              <w:left w:val="nil"/>
              <w:bottom w:val="nil"/>
              <w:right w:val="nil"/>
            </w:tcBorders>
            <w:shd w:val="clear" w:color="auto" w:fill="auto"/>
            <w:noWrap/>
            <w:vAlign w:val="bottom"/>
            <w:hideMark/>
          </w:tcPr>
          <w:p w14:paraId="780F865F" w14:textId="4D6AD5F1"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115</w:t>
            </w:r>
          </w:p>
        </w:tc>
      </w:tr>
      <w:tr w:rsidR="00E37FF9" w:rsidRPr="0072729B" w14:paraId="02905CD5" w14:textId="77777777" w:rsidTr="0072729B">
        <w:trPr>
          <w:trHeight w:val="300"/>
        </w:trPr>
        <w:tc>
          <w:tcPr>
            <w:tcW w:w="2160" w:type="dxa"/>
            <w:tcBorders>
              <w:top w:val="nil"/>
              <w:left w:val="nil"/>
              <w:bottom w:val="nil"/>
              <w:right w:val="nil"/>
            </w:tcBorders>
            <w:shd w:val="clear" w:color="auto" w:fill="auto"/>
            <w:noWrap/>
            <w:vAlign w:val="bottom"/>
            <w:hideMark/>
          </w:tcPr>
          <w:p w14:paraId="325588C4" w14:textId="6EE1596F" w:rsidR="00E37FF9" w:rsidRPr="0072729B" w:rsidRDefault="00E37FF9" w:rsidP="00E37FF9">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B1A</w:t>
            </w:r>
          </w:p>
        </w:tc>
        <w:tc>
          <w:tcPr>
            <w:tcW w:w="2160" w:type="dxa"/>
            <w:tcBorders>
              <w:top w:val="nil"/>
              <w:left w:val="nil"/>
              <w:bottom w:val="nil"/>
              <w:right w:val="nil"/>
            </w:tcBorders>
            <w:shd w:val="clear" w:color="auto" w:fill="auto"/>
            <w:noWrap/>
            <w:vAlign w:val="bottom"/>
            <w:hideMark/>
          </w:tcPr>
          <w:p w14:paraId="166C84A6" w14:textId="5591D067"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49</w:t>
            </w:r>
          </w:p>
        </w:tc>
        <w:tc>
          <w:tcPr>
            <w:tcW w:w="2160" w:type="dxa"/>
            <w:tcBorders>
              <w:top w:val="nil"/>
              <w:left w:val="nil"/>
              <w:bottom w:val="nil"/>
              <w:right w:val="nil"/>
            </w:tcBorders>
            <w:shd w:val="clear" w:color="auto" w:fill="auto"/>
            <w:noWrap/>
            <w:vAlign w:val="bottom"/>
            <w:hideMark/>
          </w:tcPr>
          <w:p w14:paraId="5C2985AE" w14:textId="2D87676B"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405</w:t>
            </w:r>
          </w:p>
        </w:tc>
        <w:tc>
          <w:tcPr>
            <w:tcW w:w="2160" w:type="dxa"/>
            <w:tcBorders>
              <w:top w:val="nil"/>
              <w:left w:val="nil"/>
              <w:bottom w:val="nil"/>
              <w:right w:val="nil"/>
            </w:tcBorders>
            <w:shd w:val="clear" w:color="auto" w:fill="auto"/>
            <w:noWrap/>
            <w:vAlign w:val="bottom"/>
            <w:hideMark/>
          </w:tcPr>
          <w:p w14:paraId="3FFA58F3" w14:textId="498ADEF5"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916</w:t>
            </w:r>
          </w:p>
        </w:tc>
        <w:tc>
          <w:tcPr>
            <w:tcW w:w="2160" w:type="dxa"/>
            <w:tcBorders>
              <w:top w:val="nil"/>
              <w:left w:val="nil"/>
              <w:bottom w:val="nil"/>
              <w:right w:val="nil"/>
            </w:tcBorders>
            <w:shd w:val="clear" w:color="auto" w:fill="auto"/>
            <w:noWrap/>
            <w:vAlign w:val="bottom"/>
            <w:hideMark/>
          </w:tcPr>
          <w:p w14:paraId="02333BF8" w14:textId="3F6E17C5"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1,370</w:t>
            </w:r>
          </w:p>
        </w:tc>
      </w:tr>
      <w:tr w:rsidR="005B0B84" w:rsidRPr="0072729B" w14:paraId="1F52EABB" w14:textId="77777777" w:rsidTr="0072729B">
        <w:trPr>
          <w:trHeight w:val="300"/>
        </w:trPr>
        <w:tc>
          <w:tcPr>
            <w:tcW w:w="2160" w:type="dxa"/>
            <w:tcBorders>
              <w:top w:val="nil"/>
              <w:left w:val="nil"/>
              <w:bottom w:val="single" w:sz="4" w:space="0" w:color="auto"/>
              <w:right w:val="nil"/>
            </w:tcBorders>
            <w:shd w:val="clear" w:color="auto" w:fill="auto"/>
            <w:noWrap/>
            <w:vAlign w:val="bottom"/>
          </w:tcPr>
          <w:p w14:paraId="1267E631" w14:textId="77777777" w:rsidR="005B0B84" w:rsidRPr="0072729B" w:rsidRDefault="005B0B84" w:rsidP="0072729B">
            <w:pPr>
              <w:spacing w:after="0" w:line="240" w:lineRule="auto"/>
              <w:jc w:val="right"/>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36F6A1D2"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2EAABBB9"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66F07827"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323E691A"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r>
      <w:tr w:rsidR="005B0B84" w:rsidRPr="0072729B" w14:paraId="0FD90471" w14:textId="77777777" w:rsidTr="0072729B">
        <w:trPr>
          <w:trHeight w:val="300"/>
        </w:trPr>
        <w:tc>
          <w:tcPr>
            <w:tcW w:w="2160" w:type="dxa"/>
            <w:tcBorders>
              <w:top w:val="single" w:sz="4" w:space="0" w:color="auto"/>
              <w:left w:val="nil"/>
              <w:right w:val="nil"/>
            </w:tcBorders>
            <w:shd w:val="clear" w:color="auto" w:fill="auto"/>
            <w:noWrap/>
            <w:vAlign w:val="bottom"/>
          </w:tcPr>
          <w:p w14:paraId="4B03CB12" w14:textId="77777777" w:rsidR="005B0B84" w:rsidRPr="0072729B" w:rsidRDefault="005B0B84" w:rsidP="0072729B">
            <w:pPr>
              <w:spacing w:after="0" w:line="240" w:lineRule="auto"/>
              <w:jc w:val="right"/>
              <w:rPr>
                <w:rFonts w:ascii="Times New Roman" w:eastAsia="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6B9241C9"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64F2AA76"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4C82672E"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single" w:sz="4" w:space="0" w:color="auto"/>
              <w:left w:val="nil"/>
              <w:right w:val="nil"/>
            </w:tcBorders>
            <w:shd w:val="clear" w:color="auto" w:fill="auto"/>
            <w:noWrap/>
            <w:vAlign w:val="bottom"/>
          </w:tcPr>
          <w:p w14:paraId="41BD2248"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r>
      <w:tr w:rsidR="00E37FF9" w:rsidRPr="0072729B" w14:paraId="0C490BBB" w14:textId="77777777" w:rsidTr="0072729B">
        <w:trPr>
          <w:trHeight w:val="300"/>
        </w:trPr>
        <w:tc>
          <w:tcPr>
            <w:tcW w:w="2160" w:type="dxa"/>
            <w:tcBorders>
              <w:top w:val="nil"/>
              <w:left w:val="nil"/>
              <w:right w:val="nil"/>
            </w:tcBorders>
            <w:shd w:val="clear" w:color="auto" w:fill="auto"/>
            <w:noWrap/>
            <w:vAlign w:val="bottom"/>
            <w:hideMark/>
          </w:tcPr>
          <w:p w14:paraId="138C2631" w14:textId="77777777" w:rsidR="00E37FF9" w:rsidRPr="0072729B" w:rsidRDefault="00E37FF9" w:rsidP="00E37FF9">
            <w:pPr>
              <w:spacing w:after="0" w:line="240" w:lineRule="auto"/>
              <w:jc w:val="right"/>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Total</w:t>
            </w:r>
          </w:p>
        </w:tc>
        <w:tc>
          <w:tcPr>
            <w:tcW w:w="2160" w:type="dxa"/>
            <w:tcBorders>
              <w:top w:val="nil"/>
              <w:left w:val="nil"/>
              <w:right w:val="nil"/>
            </w:tcBorders>
            <w:shd w:val="clear" w:color="auto" w:fill="auto"/>
            <w:noWrap/>
            <w:vAlign w:val="bottom"/>
            <w:hideMark/>
          </w:tcPr>
          <w:p w14:paraId="02A1CFB1" w14:textId="0874B876"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322</w:t>
            </w:r>
          </w:p>
        </w:tc>
        <w:tc>
          <w:tcPr>
            <w:tcW w:w="2160" w:type="dxa"/>
            <w:tcBorders>
              <w:top w:val="nil"/>
              <w:left w:val="nil"/>
              <w:right w:val="nil"/>
            </w:tcBorders>
            <w:shd w:val="clear" w:color="auto" w:fill="auto"/>
            <w:noWrap/>
            <w:vAlign w:val="bottom"/>
            <w:hideMark/>
          </w:tcPr>
          <w:p w14:paraId="14A95B06" w14:textId="104B86B6"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1,455</w:t>
            </w:r>
          </w:p>
        </w:tc>
        <w:tc>
          <w:tcPr>
            <w:tcW w:w="2160" w:type="dxa"/>
            <w:tcBorders>
              <w:top w:val="nil"/>
              <w:left w:val="nil"/>
              <w:right w:val="nil"/>
            </w:tcBorders>
            <w:shd w:val="clear" w:color="auto" w:fill="auto"/>
            <w:noWrap/>
            <w:vAlign w:val="bottom"/>
            <w:hideMark/>
          </w:tcPr>
          <w:p w14:paraId="40159E9E" w14:textId="70437F18"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1,345</w:t>
            </w:r>
          </w:p>
        </w:tc>
        <w:tc>
          <w:tcPr>
            <w:tcW w:w="2160" w:type="dxa"/>
            <w:tcBorders>
              <w:top w:val="nil"/>
              <w:left w:val="nil"/>
              <w:right w:val="nil"/>
            </w:tcBorders>
            <w:shd w:val="clear" w:color="auto" w:fill="auto"/>
            <w:noWrap/>
            <w:vAlign w:val="bottom"/>
            <w:hideMark/>
          </w:tcPr>
          <w:p w14:paraId="1872EF0A" w14:textId="2094C98D" w:rsidR="00E37FF9" w:rsidRPr="0072729B" w:rsidRDefault="00E37FF9" w:rsidP="0072729B">
            <w:pPr>
              <w:tabs>
                <w:tab w:val="decimal" w:pos="1152"/>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3,122</w:t>
            </w:r>
          </w:p>
        </w:tc>
      </w:tr>
      <w:tr w:rsidR="005B0B84" w:rsidRPr="0072729B" w14:paraId="3F916C61" w14:textId="77777777" w:rsidTr="0072729B">
        <w:trPr>
          <w:trHeight w:val="300"/>
        </w:trPr>
        <w:tc>
          <w:tcPr>
            <w:tcW w:w="2160" w:type="dxa"/>
            <w:tcBorders>
              <w:top w:val="nil"/>
              <w:left w:val="nil"/>
              <w:bottom w:val="single" w:sz="4" w:space="0" w:color="auto"/>
              <w:right w:val="nil"/>
            </w:tcBorders>
            <w:shd w:val="clear" w:color="auto" w:fill="auto"/>
            <w:noWrap/>
            <w:vAlign w:val="bottom"/>
          </w:tcPr>
          <w:p w14:paraId="6953C824" w14:textId="77777777" w:rsidR="005B0B84" w:rsidRPr="0072729B" w:rsidRDefault="005B0B84" w:rsidP="0072729B">
            <w:pPr>
              <w:spacing w:after="0" w:line="240" w:lineRule="auto"/>
              <w:jc w:val="right"/>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4E320AA8"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70CFB95A"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6C06A83B"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4" w:space="0" w:color="auto"/>
              <w:right w:val="nil"/>
            </w:tcBorders>
            <w:shd w:val="clear" w:color="auto" w:fill="auto"/>
            <w:noWrap/>
            <w:vAlign w:val="bottom"/>
          </w:tcPr>
          <w:p w14:paraId="5670C70F" w14:textId="77777777" w:rsidR="005B0B84" w:rsidRPr="0072729B" w:rsidRDefault="005B0B84" w:rsidP="0072729B">
            <w:pPr>
              <w:tabs>
                <w:tab w:val="decimal" w:pos="1152"/>
              </w:tabs>
              <w:spacing w:after="0" w:line="240" w:lineRule="auto"/>
              <w:rPr>
                <w:rFonts w:ascii="Times New Roman" w:eastAsia="Times New Roman" w:hAnsi="Times New Roman" w:cs="Times New Roman"/>
                <w:color w:val="000000"/>
                <w:sz w:val="20"/>
                <w:szCs w:val="20"/>
              </w:rPr>
            </w:pPr>
          </w:p>
        </w:tc>
      </w:tr>
    </w:tbl>
    <w:p w14:paraId="48F7AE96" w14:textId="77777777" w:rsidR="005B0B84" w:rsidRDefault="005B0B84" w:rsidP="005B0B84">
      <w:pPr>
        <w:spacing w:after="0" w:line="240" w:lineRule="auto"/>
        <w:rPr>
          <w:rFonts w:ascii="Times New Roman" w:hAnsi="Times New Roman" w:cs="Times New Roman"/>
          <w:sz w:val="24"/>
          <w:szCs w:val="24"/>
        </w:rPr>
      </w:pPr>
    </w:p>
    <w:p w14:paraId="60F1992A" w14:textId="77777777" w:rsidR="005B0B84" w:rsidRDefault="005B0B84" w:rsidP="005B0B84">
      <w:pPr>
        <w:spacing w:after="0" w:line="240" w:lineRule="auto"/>
        <w:rPr>
          <w:rFonts w:ascii="Times New Roman" w:hAnsi="Times New Roman" w:cs="Times New Roman"/>
          <w:sz w:val="24"/>
          <w:szCs w:val="24"/>
        </w:rPr>
      </w:pPr>
    </w:p>
    <w:p w14:paraId="6FC444B2" w14:textId="77777777" w:rsidR="00341B40" w:rsidRDefault="00341B40">
      <w:pPr>
        <w:rPr>
          <w:rFonts w:ascii="Times New Roman" w:hAnsi="Times New Roman" w:cs="Times New Roman"/>
          <w:sz w:val="24"/>
          <w:szCs w:val="24"/>
        </w:rPr>
      </w:pPr>
      <w:r>
        <w:rPr>
          <w:rFonts w:ascii="Times New Roman" w:hAnsi="Times New Roman" w:cs="Times New Roman"/>
          <w:sz w:val="24"/>
          <w:szCs w:val="24"/>
        </w:rPr>
        <w:br w:type="page"/>
      </w:r>
    </w:p>
    <w:p w14:paraId="329D212D" w14:textId="13A3035A" w:rsidR="00770FC8" w:rsidRDefault="00770FC8" w:rsidP="00770F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18:  Predicted probabilities of achieving transfer-level English competency by point of entry to the curriculum and level of high school achievement, based on estimates </w:t>
      </w:r>
      <w:r w:rsidRPr="00D334A5">
        <w:rPr>
          <w:rFonts w:ascii="Times New Roman" w:hAnsi="Times New Roman" w:cs="Times New Roman"/>
          <w:sz w:val="24"/>
          <w:szCs w:val="24"/>
        </w:rPr>
        <w:t xml:space="preserve">derived from </w:t>
      </w:r>
      <w:r>
        <w:rPr>
          <w:rFonts w:ascii="Times New Roman" w:hAnsi="Times New Roman" w:cs="Times New Roman"/>
          <w:sz w:val="24"/>
          <w:szCs w:val="24"/>
        </w:rPr>
        <w:t xml:space="preserve">a </w:t>
      </w:r>
      <w:r w:rsidRPr="00D334A5">
        <w:rPr>
          <w:rFonts w:ascii="Times New Roman" w:hAnsi="Times New Roman" w:cs="Times New Roman"/>
          <w:sz w:val="24"/>
          <w:szCs w:val="24"/>
        </w:rPr>
        <w:t xml:space="preserve">logistic regression </w:t>
      </w:r>
      <w:r>
        <w:rPr>
          <w:rFonts w:ascii="Times New Roman" w:hAnsi="Times New Roman" w:cs="Times New Roman"/>
          <w:sz w:val="24"/>
          <w:szCs w:val="24"/>
        </w:rPr>
        <w:t>analysis (not shown)</w:t>
      </w:r>
    </w:p>
    <w:p w14:paraId="510E9AE1" w14:textId="77777777" w:rsidR="00770FC8" w:rsidRDefault="00770FC8" w:rsidP="00770FC8">
      <w:pPr>
        <w:spacing w:after="0" w:line="240" w:lineRule="auto"/>
        <w:rPr>
          <w:rFonts w:ascii="Times New Roman" w:hAnsi="Times New Roman" w:cs="Times New Roman"/>
          <w:sz w:val="24"/>
          <w:szCs w:val="24"/>
        </w:rPr>
      </w:pPr>
    </w:p>
    <w:tbl>
      <w:tblPr>
        <w:tblW w:w="12960" w:type="dxa"/>
        <w:tblLayout w:type="fixed"/>
        <w:tblCellMar>
          <w:left w:w="115" w:type="dxa"/>
          <w:right w:w="115" w:type="dxa"/>
        </w:tblCellMar>
        <w:tblLook w:val="04A0" w:firstRow="1" w:lastRow="0" w:firstColumn="1" w:lastColumn="0" w:noHBand="0" w:noVBand="1"/>
      </w:tblPr>
      <w:tblGrid>
        <w:gridCol w:w="2316"/>
        <w:gridCol w:w="2316"/>
        <w:gridCol w:w="2776"/>
        <w:gridCol w:w="2776"/>
        <w:gridCol w:w="2776"/>
      </w:tblGrid>
      <w:tr w:rsidR="00C8136C" w:rsidRPr="0072729B" w14:paraId="3B8FB123" w14:textId="77777777" w:rsidTr="0072729B">
        <w:trPr>
          <w:trHeight w:val="300"/>
        </w:trPr>
        <w:tc>
          <w:tcPr>
            <w:tcW w:w="1410" w:type="dxa"/>
            <w:tcBorders>
              <w:top w:val="single" w:sz="4" w:space="0" w:color="auto"/>
              <w:left w:val="nil"/>
              <w:right w:val="nil"/>
            </w:tcBorders>
            <w:shd w:val="clear" w:color="auto" w:fill="auto"/>
            <w:noWrap/>
            <w:vAlign w:val="bottom"/>
          </w:tcPr>
          <w:p w14:paraId="38589A48" w14:textId="77777777" w:rsidR="00C8136C" w:rsidRPr="0072729B" w:rsidRDefault="00C8136C" w:rsidP="00770FC8">
            <w:pPr>
              <w:spacing w:after="0" w:line="240" w:lineRule="auto"/>
              <w:rPr>
                <w:rFonts w:ascii="Times New Roman" w:eastAsia="Times New Roman" w:hAnsi="Times New Roman" w:cs="Times New Roman"/>
                <w:b/>
                <w:sz w:val="20"/>
                <w:szCs w:val="20"/>
              </w:rPr>
            </w:pPr>
          </w:p>
        </w:tc>
        <w:tc>
          <w:tcPr>
            <w:tcW w:w="1410" w:type="dxa"/>
            <w:tcBorders>
              <w:top w:val="single" w:sz="4" w:space="0" w:color="auto"/>
              <w:left w:val="nil"/>
              <w:right w:val="nil"/>
            </w:tcBorders>
            <w:shd w:val="clear" w:color="auto" w:fill="auto"/>
            <w:noWrap/>
            <w:vAlign w:val="bottom"/>
          </w:tcPr>
          <w:p w14:paraId="3A238F41" w14:textId="77777777" w:rsidR="00C8136C" w:rsidRPr="0072729B" w:rsidRDefault="00C8136C" w:rsidP="00770FC8">
            <w:pPr>
              <w:spacing w:after="0" w:line="240" w:lineRule="auto"/>
              <w:rPr>
                <w:rFonts w:ascii="Times New Roman" w:eastAsia="Times New Roman" w:hAnsi="Times New Roman" w:cs="Times New Roman"/>
                <w:b/>
                <w:sz w:val="20"/>
                <w:szCs w:val="20"/>
              </w:rPr>
            </w:pPr>
          </w:p>
        </w:tc>
        <w:tc>
          <w:tcPr>
            <w:tcW w:w="5070" w:type="dxa"/>
            <w:gridSpan w:val="3"/>
            <w:tcBorders>
              <w:top w:val="single" w:sz="4" w:space="0" w:color="auto"/>
              <w:left w:val="nil"/>
              <w:bottom w:val="single" w:sz="4" w:space="0" w:color="auto"/>
              <w:right w:val="nil"/>
            </w:tcBorders>
            <w:shd w:val="clear" w:color="auto" w:fill="auto"/>
            <w:noWrap/>
            <w:vAlign w:val="bottom"/>
          </w:tcPr>
          <w:p w14:paraId="013B74F4" w14:textId="595AC6D6" w:rsidR="00C8136C" w:rsidRPr="0072729B" w:rsidRDefault="00C8136C" w:rsidP="0072729B">
            <w:pPr>
              <w:spacing w:after="0" w:line="240" w:lineRule="auto"/>
              <w:jc w:val="center"/>
              <w:rPr>
                <w:rFonts w:ascii="Times New Roman" w:eastAsia="Times New Roman" w:hAnsi="Times New Roman" w:cs="Times New Roman"/>
                <w:b/>
                <w:color w:val="000000"/>
                <w:sz w:val="20"/>
                <w:szCs w:val="20"/>
              </w:rPr>
            </w:pPr>
            <w:r w:rsidRPr="0072729B">
              <w:rPr>
                <w:rFonts w:ascii="Times New Roman" w:eastAsia="Times New Roman" w:hAnsi="Times New Roman" w:cs="Times New Roman"/>
                <w:b/>
                <w:color w:val="000000"/>
                <w:sz w:val="20"/>
                <w:szCs w:val="20"/>
              </w:rPr>
              <w:t>Achievement of Transfer-level English Competency</w:t>
            </w:r>
          </w:p>
        </w:tc>
      </w:tr>
      <w:tr w:rsidR="00C8136C" w:rsidRPr="0072729B" w14:paraId="2568B228" w14:textId="77777777" w:rsidTr="0072729B">
        <w:trPr>
          <w:trHeight w:val="300"/>
        </w:trPr>
        <w:tc>
          <w:tcPr>
            <w:tcW w:w="1410" w:type="dxa"/>
            <w:tcBorders>
              <w:top w:val="nil"/>
              <w:left w:val="nil"/>
              <w:bottom w:val="single" w:sz="4" w:space="0" w:color="auto"/>
              <w:right w:val="nil"/>
            </w:tcBorders>
            <w:shd w:val="clear" w:color="auto" w:fill="auto"/>
            <w:noWrap/>
            <w:vAlign w:val="bottom"/>
            <w:hideMark/>
          </w:tcPr>
          <w:p w14:paraId="128B5CB7" w14:textId="77777777" w:rsidR="00C8136C" w:rsidRPr="0072729B" w:rsidRDefault="00C8136C" w:rsidP="0072729B">
            <w:pPr>
              <w:spacing w:after="0" w:line="240" w:lineRule="auto"/>
              <w:jc w:val="center"/>
              <w:rPr>
                <w:rFonts w:ascii="Times New Roman" w:eastAsia="Times New Roman" w:hAnsi="Times New Roman" w:cs="Times New Roman"/>
                <w:b/>
                <w:sz w:val="20"/>
                <w:szCs w:val="20"/>
              </w:rPr>
            </w:pPr>
            <w:r w:rsidRPr="0072729B">
              <w:rPr>
                <w:rFonts w:ascii="Times New Roman" w:eastAsia="Times New Roman" w:hAnsi="Times New Roman" w:cs="Times New Roman"/>
                <w:b/>
                <w:sz w:val="20"/>
                <w:szCs w:val="20"/>
              </w:rPr>
              <w:t>Band of GPA</w:t>
            </w:r>
          </w:p>
        </w:tc>
        <w:tc>
          <w:tcPr>
            <w:tcW w:w="1410" w:type="dxa"/>
            <w:tcBorders>
              <w:top w:val="nil"/>
              <w:left w:val="nil"/>
              <w:bottom w:val="single" w:sz="4" w:space="0" w:color="auto"/>
              <w:right w:val="nil"/>
            </w:tcBorders>
            <w:shd w:val="clear" w:color="auto" w:fill="auto"/>
            <w:noWrap/>
            <w:vAlign w:val="bottom"/>
            <w:hideMark/>
          </w:tcPr>
          <w:p w14:paraId="07709986" w14:textId="77777777" w:rsidR="00C8136C" w:rsidRPr="0072729B" w:rsidRDefault="00C8136C" w:rsidP="0072729B">
            <w:pPr>
              <w:spacing w:after="0" w:line="240" w:lineRule="auto"/>
              <w:jc w:val="center"/>
              <w:rPr>
                <w:rFonts w:ascii="Times New Roman" w:eastAsia="Times New Roman" w:hAnsi="Times New Roman" w:cs="Times New Roman"/>
                <w:b/>
                <w:sz w:val="20"/>
                <w:szCs w:val="20"/>
              </w:rPr>
            </w:pPr>
            <w:r w:rsidRPr="0072729B">
              <w:rPr>
                <w:rFonts w:ascii="Times New Roman" w:eastAsia="Times New Roman" w:hAnsi="Times New Roman" w:cs="Times New Roman"/>
                <w:b/>
                <w:sz w:val="20"/>
                <w:szCs w:val="20"/>
              </w:rPr>
              <w:t>First Course</w:t>
            </w:r>
          </w:p>
        </w:tc>
        <w:tc>
          <w:tcPr>
            <w:tcW w:w="1690" w:type="dxa"/>
            <w:tcBorders>
              <w:top w:val="single" w:sz="4" w:space="0" w:color="auto"/>
              <w:left w:val="nil"/>
              <w:bottom w:val="single" w:sz="4" w:space="0" w:color="auto"/>
              <w:right w:val="nil"/>
            </w:tcBorders>
            <w:shd w:val="clear" w:color="auto" w:fill="auto"/>
            <w:noWrap/>
            <w:vAlign w:val="bottom"/>
            <w:hideMark/>
          </w:tcPr>
          <w:p w14:paraId="05BE5046" w14:textId="77777777" w:rsidR="00C8136C" w:rsidRPr="0072729B" w:rsidRDefault="00C8136C" w:rsidP="00770FC8">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25</w:t>
            </w:r>
            <w:r w:rsidRPr="0072729B">
              <w:rPr>
                <w:rFonts w:ascii="Times New Roman" w:eastAsia="Times New Roman" w:hAnsi="Times New Roman" w:cs="Times New Roman"/>
                <w:color w:val="000000"/>
                <w:sz w:val="20"/>
                <w:szCs w:val="20"/>
                <w:vertAlign w:val="superscript"/>
              </w:rPr>
              <w:t>th</w:t>
            </w:r>
            <w:r w:rsidRPr="0072729B">
              <w:rPr>
                <w:rFonts w:ascii="Times New Roman" w:eastAsia="Times New Roman" w:hAnsi="Times New Roman" w:cs="Times New Roman"/>
                <w:color w:val="000000"/>
                <w:sz w:val="20"/>
                <w:szCs w:val="20"/>
              </w:rPr>
              <w:t xml:space="preserve"> Percentile</w:t>
            </w:r>
          </w:p>
          <w:p w14:paraId="711A2F72" w14:textId="77777777" w:rsidR="00C8136C" w:rsidRPr="0072729B" w:rsidRDefault="00C8136C" w:rsidP="00770FC8">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GPA and Math Scaled Score</w:t>
            </w:r>
          </w:p>
        </w:tc>
        <w:tc>
          <w:tcPr>
            <w:tcW w:w="1690" w:type="dxa"/>
            <w:tcBorders>
              <w:top w:val="single" w:sz="4" w:space="0" w:color="auto"/>
              <w:left w:val="nil"/>
              <w:bottom w:val="single" w:sz="4" w:space="0" w:color="auto"/>
              <w:right w:val="nil"/>
            </w:tcBorders>
            <w:shd w:val="clear" w:color="auto" w:fill="auto"/>
            <w:noWrap/>
            <w:vAlign w:val="bottom"/>
            <w:hideMark/>
          </w:tcPr>
          <w:p w14:paraId="578C58EC" w14:textId="77777777" w:rsidR="00341B40" w:rsidRDefault="00C8136C" w:rsidP="00770FC8">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50</w:t>
            </w:r>
            <w:r w:rsidRPr="0072729B">
              <w:rPr>
                <w:rFonts w:ascii="Times New Roman" w:eastAsia="Times New Roman" w:hAnsi="Times New Roman" w:cs="Times New Roman"/>
                <w:color w:val="000000"/>
                <w:sz w:val="20"/>
                <w:szCs w:val="20"/>
                <w:vertAlign w:val="superscript"/>
              </w:rPr>
              <w:t>th</w:t>
            </w:r>
            <w:r w:rsidRPr="0072729B">
              <w:rPr>
                <w:rFonts w:ascii="Times New Roman" w:eastAsia="Times New Roman" w:hAnsi="Times New Roman" w:cs="Times New Roman"/>
                <w:color w:val="000000"/>
                <w:sz w:val="20"/>
                <w:szCs w:val="20"/>
              </w:rPr>
              <w:t xml:space="preserve"> Percentile </w:t>
            </w:r>
          </w:p>
          <w:p w14:paraId="149B1417" w14:textId="3E3C441B" w:rsidR="00C8136C" w:rsidRPr="0072729B" w:rsidRDefault="00C8136C" w:rsidP="00770FC8">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GPA and Math Scaled Score</w:t>
            </w:r>
          </w:p>
        </w:tc>
        <w:tc>
          <w:tcPr>
            <w:tcW w:w="1690" w:type="dxa"/>
            <w:tcBorders>
              <w:top w:val="single" w:sz="4" w:space="0" w:color="auto"/>
              <w:left w:val="nil"/>
              <w:bottom w:val="single" w:sz="4" w:space="0" w:color="auto"/>
              <w:right w:val="nil"/>
            </w:tcBorders>
            <w:shd w:val="clear" w:color="auto" w:fill="auto"/>
            <w:noWrap/>
            <w:vAlign w:val="bottom"/>
            <w:hideMark/>
          </w:tcPr>
          <w:p w14:paraId="290D88A4" w14:textId="77777777" w:rsidR="00341B40" w:rsidRDefault="00C8136C" w:rsidP="00770FC8">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75</w:t>
            </w:r>
            <w:r w:rsidRPr="0072729B">
              <w:rPr>
                <w:rFonts w:ascii="Times New Roman" w:eastAsia="Times New Roman" w:hAnsi="Times New Roman" w:cs="Times New Roman"/>
                <w:color w:val="000000"/>
                <w:sz w:val="20"/>
                <w:szCs w:val="20"/>
                <w:vertAlign w:val="superscript"/>
              </w:rPr>
              <w:t>th</w:t>
            </w:r>
            <w:r w:rsidRPr="0072729B">
              <w:rPr>
                <w:rFonts w:ascii="Times New Roman" w:eastAsia="Times New Roman" w:hAnsi="Times New Roman" w:cs="Times New Roman"/>
                <w:color w:val="000000"/>
                <w:sz w:val="20"/>
                <w:szCs w:val="20"/>
              </w:rPr>
              <w:t xml:space="preserve"> Percentile </w:t>
            </w:r>
          </w:p>
          <w:p w14:paraId="1C5E6A95" w14:textId="073FC456" w:rsidR="00C8136C" w:rsidRPr="0072729B" w:rsidRDefault="00C8136C" w:rsidP="00770FC8">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GPA and Math Scaled Score</w:t>
            </w:r>
          </w:p>
        </w:tc>
      </w:tr>
      <w:tr w:rsidR="00C8136C" w:rsidRPr="0072729B" w14:paraId="6DFAB8B2" w14:textId="77777777" w:rsidTr="0072729B">
        <w:trPr>
          <w:trHeight w:val="300"/>
        </w:trPr>
        <w:tc>
          <w:tcPr>
            <w:tcW w:w="1410" w:type="dxa"/>
            <w:tcBorders>
              <w:top w:val="single" w:sz="4" w:space="0" w:color="auto"/>
              <w:left w:val="nil"/>
              <w:bottom w:val="nil"/>
              <w:right w:val="nil"/>
            </w:tcBorders>
            <w:shd w:val="clear" w:color="auto" w:fill="auto"/>
            <w:noWrap/>
            <w:vAlign w:val="bottom"/>
            <w:hideMark/>
          </w:tcPr>
          <w:p w14:paraId="3C87624D" w14:textId="7BE08F24" w:rsidR="00C8136C" w:rsidRPr="0072729B" w:rsidRDefault="00C8136C" w:rsidP="0072729B">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&lt; 1.90</w:t>
            </w:r>
          </w:p>
        </w:tc>
        <w:tc>
          <w:tcPr>
            <w:tcW w:w="1410" w:type="dxa"/>
            <w:tcBorders>
              <w:top w:val="single" w:sz="4" w:space="0" w:color="auto"/>
              <w:left w:val="nil"/>
              <w:bottom w:val="nil"/>
              <w:right w:val="nil"/>
            </w:tcBorders>
            <w:shd w:val="clear" w:color="auto" w:fill="auto"/>
            <w:noWrap/>
            <w:vAlign w:val="bottom"/>
            <w:hideMark/>
          </w:tcPr>
          <w:p w14:paraId="30D2FF89" w14:textId="5FBB23C9"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B60</w:t>
            </w:r>
          </w:p>
        </w:tc>
        <w:tc>
          <w:tcPr>
            <w:tcW w:w="1690" w:type="dxa"/>
            <w:tcBorders>
              <w:top w:val="single" w:sz="4" w:space="0" w:color="auto"/>
              <w:left w:val="nil"/>
              <w:bottom w:val="nil"/>
              <w:right w:val="nil"/>
            </w:tcBorders>
            <w:shd w:val="clear" w:color="auto" w:fill="auto"/>
            <w:noWrap/>
            <w:vAlign w:val="bottom"/>
            <w:hideMark/>
          </w:tcPr>
          <w:p w14:paraId="29A20343" w14:textId="12A00CA3" w:rsidR="00C8136C" w:rsidRPr="0072729B" w:rsidRDefault="00C8136C" w:rsidP="00791348">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0.01</w:t>
            </w:r>
          </w:p>
        </w:tc>
        <w:tc>
          <w:tcPr>
            <w:tcW w:w="1690" w:type="dxa"/>
            <w:tcBorders>
              <w:top w:val="single" w:sz="4" w:space="0" w:color="auto"/>
              <w:left w:val="nil"/>
              <w:bottom w:val="nil"/>
              <w:right w:val="nil"/>
            </w:tcBorders>
            <w:shd w:val="clear" w:color="auto" w:fill="auto"/>
            <w:noWrap/>
            <w:vAlign w:val="bottom"/>
            <w:hideMark/>
          </w:tcPr>
          <w:p w14:paraId="4763E8AC" w14:textId="61A8C28E"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0.01</w:t>
            </w:r>
          </w:p>
        </w:tc>
        <w:tc>
          <w:tcPr>
            <w:tcW w:w="1690" w:type="dxa"/>
            <w:tcBorders>
              <w:top w:val="single" w:sz="4" w:space="0" w:color="auto"/>
              <w:left w:val="nil"/>
              <w:bottom w:val="nil"/>
              <w:right w:val="nil"/>
            </w:tcBorders>
            <w:shd w:val="clear" w:color="auto" w:fill="auto"/>
            <w:noWrap/>
            <w:vAlign w:val="bottom"/>
            <w:hideMark/>
          </w:tcPr>
          <w:p w14:paraId="5EE1E553" w14:textId="0B03AC30"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0.01</w:t>
            </w:r>
          </w:p>
        </w:tc>
      </w:tr>
      <w:tr w:rsidR="00C8136C" w:rsidRPr="0072729B" w14:paraId="04AF8B28" w14:textId="77777777" w:rsidTr="0072729B">
        <w:trPr>
          <w:trHeight w:val="300"/>
        </w:trPr>
        <w:tc>
          <w:tcPr>
            <w:tcW w:w="1410" w:type="dxa"/>
            <w:tcBorders>
              <w:top w:val="nil"/>
              <w:left w:val="nil"/>
              <w:bottom w:val="nil"/>
              <w:right w:val="nil"/>
            </w:tcBorders>
            <w:shd w:val="clear" w:color="auto" w:fill="auto"/>
            <w:noWrap/>
            <w:vAlign w:val="bottom"/>
            <w:hideMark/>
          </w:tcPr>
          <w:p w14:paraId="468C8996" w14:textId="77777777"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18872253" w14:textId="5A94125A"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B53</w:t>
            </w:r>
          </w:p>
        </w:tc>
        <w:tc>
          <w:tcPr>
            <w:tcW w:w="1690" w:type="dxa"/>
            <w:tcBorders>
              <w:top w:val="nil"/>
              <w:left w:val="nil"/>
              <w:bottom w:val="nil"/>
              <w:right w:val="nil"/>
            </w:tcBorders>
            <w:shd w:val="clear" w:color="auto" w:fill="auto"/>
            <w:noWrap/>
            <w:vAlign w:val="bottom"/>
            <w:hideMark/>
          </w:tcPr>
          <w:p w14:paraId="133C9409" w14:textId="12E0DC8C"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0.05</w:t>
            </w:r>
          </w:p>
        </w:tc>
        <w:tc>
          <w:tcPr>
            <w:tcW w:w="1690" w:type="dxa"/>
            <w:tcBorders>
              <w:top w:val="nil"/>
              <w:left w:val="nil"/>
              <w:bottom w:val="nil"/>
              <w:right w:val="nil"/>
            </w:tcBorders>
            <w:shd w:val="clear" w:color="auto" w:fill="auto"/>
            <w:noWrap/>
            <w:vAlign w:val="bottom"/>
            <w:hideMark/>
          </w:tcPr>
          <w:p w14:paraId="1607D47F" w14:textId="71DA479D"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0.06</w:t>
            </w:r>
          </w:p>
        </w:tc>
        <w:tc>
          <w:tcPr>
            <w:tcW w:w="1690" w:type="dxa"/>
            <w:tcBorders>
              <w:top w:val="nil"/>
              <w:left w:val="nil"/>
              <w:bottom w:val="nil"/>
              <w:right w:val="nil"/>
            </w:tcBorders>
            <w:shd w:val="clear" w:color="auto" w:fill="auto"/>
            <w:noWrap/>
            <w:vAlign w:val="bottom"/>
            <w:hideMark/>
          </w:tcPr>
          <w:p w14:paraId="456FBA98" w14:textId="6726406C"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0.08</w:t>
            </w:r>
          </w:p>
        </w:tc>
      </w:tr>
      <w:tr w:rsidR="00C8136C" w:rsidRPr="0072729B" w14:paraId="2FCFC148" w14:textId="77777777" w:rsidTr="0072729B">
        <w:trPr>
          <w:trHeight w:val="300"/>
        </w:trPr>
        <w:tc>
          <w:tcPr>
            <w:tcW w:w="1410" w:type="dxa"/>
            <w:tcBorders>
              <w:top w:val="nil"/>
              <w:left w:val="nil"/>
              <w:bottom w:val="nil"/>
              <w:right w:val="nil"/>
            </w:tcBorders>
            <w:shd w:val="clear" w:color="auto" w:fill="auto"/>
            <w:noWrap/>
            <w:vAlign w:val="bottom"/>
            <w:hideMark/>
          </w:tcPr>
          <w:p w14:paraId="5D7A229F" w14:textId="77777777"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318F043B" w14:textId="55D52215"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B50</w:t>
            </w:r>
          </w:p>
        </w:tc>
        <w:tc>
          <w:tcPr>
            <w:tcW w:w="1690" w:type="dxa"/>
            <w:tcBorders>
              <w:top w:val="nil"/>
              <w:left w:val="nil"/>
              <w:bottom w:val="nil"/>
              <w:right w:val="nil"/>
            </w:tcBorders>
            <w:shd w:val="clear" w:color="auto" w:fill="auto"/>
            <w:noWrap/>
            <w:vAlign w:val="bottom"/>
            <w:hideMark/>
          </w:tcPr>
          <w:p w14:paraId="56A21670" w14:textId="41ACA7DF"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0.09</w:t>
            </w:r>
          </w:p>
        </w:tc>
        <w:tc>
          <w:tcPr>
            <w:tcW w:w="1690" w:type="dxa"/>
            <w:tcBorders>
              <w:top w:val="nil"/>
              <w:left w:val="nil"/>
              <w:bottom w:val="nil"/>
              <w:right w:val="nil"/>
            </w:tcBorders>
            <w:shd w:val="clear" w:color="auto" w:fill="auto"/>
            <w:noWrap/>
            <w:vAlign w:val="bottom"/>
            <w:hideMark/>
          </w:tcPr>
          <w:p w14:paraId="234399B6" w14:textId="79FCAF38"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0.12</w:t>
            </w:r>
          </w:p>
        </w:tc>
        <w:tc>
          <w:tcPr>
            <w:tcW w:w="1690" w:type="dxa"/>
            <w:tcBorders>
              <w:top w:val="nil"/>
              <w:left w:val="nil"/>
              <w:bottom w:val="nil"/>
              <w:right w:val="nil"/>
            </w:tcBorders>
            <w:shd w:val="clear" w:color="auto" w:fill="auto"/>
            <w:noWrap/>
            <w:vAlign w:val="bottom"/>
            <w:hideMark/>
          </w:tcPr>
          <w:p w14:paraId="736C987B" w14:textId="012FCC07"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0.15</w:t>
            </w:r>
          </w:p>
        </w:tc>
      </w:tr>
      <w:tr w:rsidR="00C8136C" w:rsidRPr="0072729B" w14:paraId="469F2D6C" w14:textId="77777777" w:rsidTr="0072729B">
        <w:trPr>
          <w:trHeight w:val="300"/>
        </w:trPr>
        <w:tc>
          <w:tcPr>
            <w:tcW w:w="1410" w:type="dxa"/>
            <w:tcBorders>
              <w:top w:val="nil"/>
              <w:left w:val="nil"/>
              <w:bottom w:val="nil"/>
              <w:right w:val="nil"/>
            </w:tcBorders>
            <w:shd w:val="clear" w:color="auto" w:fill="auto"/>
            <w:noWrap/>
            <w:vAlign w:val="bottom"/>
            <w:hideMark/>
          </w:tcPr>
          <w:p w14:paraId="5036B7C7" w14:textId="77777777" w:rsidR="00C8136C" w:rsidRPr="0072729B" w:rsidRDefault="00C8136C" w:rsidP="00C8136C">
            <w:pPr>
              <w:spacing w:after="0" w:line="240" w:lineRule="auto"/>
              <w:jc w:val="center"/>
              <w:rPr>
                <w:rFonts w:ascii="Times New Roman" w:eastAsia="Times New Roman" w:hAnsi="Times New Roman" w:cs="Times New Roman"/>
                <w:color w:val="BFBFBF"/>
                <w:sz w:val="20"/>
                <w:szCs w:val="20"/>
              </w:rPr>
            </w:pPr>
          </w:p>
        </w:tc>
        <w:tc>
          <w:tcPr>
            <w:tcW w:w="1410" w:type="dxa"/>
            <w:tcBorders>
              <w:top w:val="nil"/>
              <w:left w:val="nil"/>
              <w:bottom w:val="nil"/>
              <w:right w:val="nil"/>
            </w:tcBorders>
            <w:shd w:val="clear" w:color="auto" w:fill="auto"/>
            <w:noWrap/>
            <w:vAlign w:val="bottom"/>
            <w:hideMark/>
          </w:tcPr>
          <w:p w14:paraId="5E353837" w14:textId="1D141637"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LRNC B510</w:t>
            </w:r>
          </w:p>
        </w:tc>
        <w:tc>
          <w:tcPr>
            <w:tcW w:w="1690" w:type="dxa"/>
            <w:tcBorders>
              <w:top w:val="nil"/>
              <w:left w:val="nil"/>
              <w:bottom w:val="nil"/>
              <w:right w:val="nil"/>
            </w:tcBorders>
            <w:shd w:val="clear" w:color="auto" w:fill="auto"/>
            <w:noWrap/>
            <w:vAlign w:val="bottom"/>
            <w:hideMark/>
          </w:tcPr>
          <w:p w14:paraId="3ABA778A" w14:textId="63091C02"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0.11</w:t>
            </w:r>
          </w:p>
        </w:tc>
        <w:tc>
          <w:tcPr>
            <w:tcW w:w="1690" w:type="dxa"/>
            <w:tcBorders>
              <w:top w:val="nil"/>
              <w:left w:val="nil"/>
              <w:bottom w:val="nil"/>
              <w:right w:val="nil"/>
            </w:tcBorders>
            <w:shd w:val="clear" w:color="auto" w:fill="auto"/>
            <w:noWrap/>
            <w:vAlign w:val="bottom"/>
            <w:hideMark/>
          </w:tcPr>
          <w:p w14:paraId="1E88AFA5" w14:textId="460DBC08"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0.12</w:t>
            </w:r>
          </w:p>
        </w:tc>
        <w:tc>
          <w:tcPr>
            <w:tcW w:w="1690" w:type="dxa"/>
            <w:tcBorders>
              <w:top w:val="nil"/>
              <w:left w:val="nil"/>
              <w:bottom w:val="nil"/>
              <w:right w:val="nil"/>
            </w:tcBorders>
            <w:shd w:val="clear" w:color="auto" w:fill="auto"/>
            <w:noWrap/>
            <w:vAlign w:val="bottom"/>
            <w:hideMark/>
          </w:tcPr>
          <w:p w14:paraId="7CC6FD7E" w14:textId="6D0AEFC8"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0.14</w:t>
            </w:r>
          </w:p>
        </w:tc>
      </w:tr>
      <w:tr w:rsidR="00C8136C" w:rsidRPr="0072729B" w14:paraId="6B063408" w14:textId="77777777" w:rsidTr="0072729B">
        <w:trPr>
          <w:trHeight w:val="300"/>
        </w:trPr>
        <w:tc>
          <w:tcPr>
            <w:tcW w:w="1410" w:type="dxa"/>
            <w:tcBorders>
              <w:top w:val="nil"/>
              <w:left w:val="nil"/>
              <w:bottom w:val="nil"/>
              <w:right w:val="nil"/>
            </w:tcBorders>
            <w:shd w:val="clear" w:color="auto" w:fill="auto"/>
            <w:noWrap/>
            <w:vAlign w:val="bottom"/>
            <w:hideMark/>
          </w:tcPr>
          <w:p w14:paraId="639E74CE" w14:textId="77777777"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50F3E43E" w14:textId="7892F7A6"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B1A</w:t>
            </w:r>
          </w:p>
        </w:tc>
        <w:tc>
          <w:tcPr>
            <w:tcW w:w="1690" w:type="dxa"/>
            <w:tcBorders>
              <w:top w:val="nil"/>
              <w:left w:val="nil"/>
              <w:bottom w:val="nil"/>
              <w:right w:val="nil"/>
            </w:tcBorders>
            <w:shd w:val="clear" w:color="auto" w:fill="auto"/>
            <w:noWrap/>
            <w:vAlign w:val="bottom"/>
            <w:hideMark/>
          </w:tcPr>
          <w:p w14:paraId="3787FD75" w14:textId="592FE4DC"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0.20</w:t>
            </w:r>
          </w:p>
        </w:tc>
        <w:tc>
          <w:tcPr>
            <w:tcW w:w="1690" w:type="dxa"/>
            <w:tcBorders>
              <w:top w:val="nil"/>
              <w:left w:val="nil"/>
              <w:bottom w:val="nil"/>
              <w:right w:val="nil"/>
            </w:tcBorders>
            <w:shd w:val="clear" w:color="auto" w:fill="auto"/>
            <w:noWrap/>
            <w:vAlign w:val="bottom"/>
            <w:hideMark/>
          </w:tcPr>
          <w:p w14:paraId="771350A9" w14:textId="49243496"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0.23</w:t>
            </w:r>
          </w:p>
        </w:tc>
        <w:tc>
          <w:tcPr>
            <w:tcW w:w="1690" w:type="dxa"/>
            <w:tcBorders>
              <w:top w:val="nil"/>
              <w:left w:val="nil"/>
              <w:bottom w:val="nil"/>
              <w:right w:val="nil"/>
            </w:tcBorders>
            <w:shd w:val="clear" w:color="auto" w:fill="auto"/>
            <w:noWrap/>
            <w:vAlign w:val="bottom"/>
            <w:hideMark/>
          </w:tcPr>
          <w:p w14:paraId="3B0A5776" w14:textId="273B1D71"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0.27</w:t>
            </w:r>
          </w:p>
        </w:tc>
      </w:tr>
      <w:tr w:rsidR="00C8136C" w:rsidRPr="0072729B" w14:paraId="6D4D5C2A" w14:textId="77777777" w:rsidTr="0072729B">
        <w:trPr>
          <w:trHeight w:val="300"/>
        </w:trPr>
        <w:tc>
          <w:tcPr>
            <w:tcW w:w="1410" w:type="dxa"/>
            <w:tcBorders>
              <w:top w:val="nil"/>
              <w:left w:val="nil"/>
              <w:bottom w:val="nil"/>
              <w:right w:val="nil"/>
            </w:tcBorders>
            <w:shd w:val="clear" w:color="auto" w:fill="auto"/>
            <w:noWrap/>
            <w:vAlign w:val="bottom"/>
            <w:hideMark/>
          </w:tcPr>
          <w:p w14:paraId="653CD653" w14:textId="77777777" w:rsidR="00C8136C" w:rsidRPr="0072729B" w:rsidRDefault="00C8136C" w:rsidP="00770FC8">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69F70EE2" w14:textId="77777777" w:rsidR="00C8136C" w:rsidRPr="0072729B" w:rsidRDefault="00C8136C" w:rsidP="00770FC8">
            <w:pPr>
              <w:spacing w:after="0" w:line="240" w:lineRule="auto"/>
              <w:jc w:val="right"/>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4602E10C" w14:textId="77777777" w:rsidR="00C8136C" w:rsidRPr="0072729B" w:rsidRDefault="00C8136C" w:rsidP="0072729B">
            <w:pPr>
              <w:tabs>
                <w:tab w:val="decimal" w:pos="1193"/>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7780673E" w14:textId="77777777" w:rsidR="00C8136C" w:rsidRPr="0072729B" w:rsidRDefault="00C8136C" w:rsidP="0072729B">
            <w:pPr>
              <w:tabs>
                <w:tab w:val="decimal" w:pos="1193"/>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1405A638" w14:textId="77777777" w:rsidR="00C8136C" w:rsidRPr="0072729B" w:rsidRDefault="00C8136C" w:rsidP="0072729B">
            <w:pPr>
              <w:tabs>
                <w:tab w:val="decimal" w:pos="1193"/>
              </w:tabs>
              <w:spacing w:after="0" w:line="240" w:lineRule="auto"/>
              <w:rPr>
                <w:rFonts w:ascii="Times New Roman" w:eastAsia="Times New Roman" w:hAnsi="Times New Roman" w:cs="Times New Roman"/>
                <w:sz w:val="20"/>
                <w:szCs w:val="20"/>
              </w:rPr>
            </w:pPr>
          </w:p>
        </w:tc>
      </w:tr>
      <w:tr w:rsidR="00C8136C" w:rsidRPr="0072729B" w14:paraId="0DF1CD29" w14:textId="77777777" w:rsidTr="0072729B">
        <w:trPr>
          <w:trHeight w:val="300"/>
        </w:trPr>
        <w:tc>
          <w:tcPr>
            <w:tcW w:w="1410" w:type="dxa"/>
            <w:tcBorders>
              <w:top w:val="nil"/>
              <w:left w:val="nil"/>
              <w:bottom w:val="nil"/>
              <w:right w:val="nil"/>
            </w:tcBorders>
            <w:shd w:val="clear" w:color="auto" w:fill="auto"/>
            <w:noWrap/>
            <w:vAlign w:val="bottom"/>
            <w:hideMark/>
          </w:tcPr>
          <w:p w14:paraId="4BD5B091" w14:textId="533D740E"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1.90-2.59</w:t>
            </w:r>
          </w:p>
        </w:tc>
        <w:tc>
          <w:tcPr>
            <w:tcW w:w="1410" w:type="dxa"/>
            <w:tcBorders>
              <w:top w:val="nil"/>
              <w:left w:val="nil"/>
              <w:bottom w:val="nil"/>
              <w:right w:val="nil"/>
            </w:tcBorders>
            <w:shd w:val="clear" w:color="auto" w:fill="auto"/>
            <w:noWrap/>
            <w:vAlign w:val="bottom"/>
            <w:hideMark/>
          </w:tcPr>
          <w:p w14:paraId="5FE38783" w14:textId="7F977CF9"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B60</w:t>
            </w:r>
          </w:p>
        </w:tc>
        <w:tc>
          <w:tcPr>
            <w:tcW w:w="1690" w:type="dxa"/>
            <w:tcBorders>
              <w:top w:val="nil"/>
              <w:left w:val="nil"/>
              <w:bottom w:val="nil"/>
              <w:right w:val="nil"/>
            </w:tcBorders>
            <w:shd w:val="clear" w:color="auto" w:fill="auto"/>
            <w:noWrap/>
            <w:vAlign w:val="bottom"/>
            <w:hideMark/>
          </w:tcPr>
          <w:p w14:paraId="36D28874" w14:textId="2FFE0272"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0.01</w:t>
            </w:r>
          </w:p>
        </w:tc>
        <w:tc>
          <w:tcPr>
            <w:tcW w:w="1690" w:type="dxa"/>
            <w:tcBorders>
              <w:top w:val="nil"/>
              <w:left w:val="nil"/>
              <w:bottom w:val="nil"/>
              <w:right w:val="nil"/>
            </w:tcBorders>
            <w:shd w:val="clear" w:color="auto" w:fill="auto"/>
            <w:noWrap/>
            <w:vAlign w:val="bottom"/>
            <w:hideMark/>
          </w:tcPr>
          <w:p w14:paraId="45C99824" w14:textId="1868AAA9"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0.02</w:t>
            </w:r>
          </w:p>
        </w:tc>
        <w:tc>
          <w:tcPr>
            <w:tcW w:w="1690" w:type="dxa"/>
            <w:tcBorders>
              <w:top w:val="nil"/>
              <w:left w:val="nil"/>
              <w:bottom w:val="nil"/>
              <w:right w:val="nil"/>
            </w:tcBorders>
            <w:shd w:val="clear" w:color="auto" w:fill="auto"/>
            <w:noWrap/>
            <w:vAlign w:val="bottom"/>
            <w:hideMark/>
          </w:tcPr>
          <w:p w14:paraId="61DE7A4A" w14:textId="65DC1ECA"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0.04</w:t>
            </w:r>
          </w:p>
        </w:tc>
      </w:tr>
      <w:tr w:rsidR="00C8136C" w:rsidRPr="0072729B" w14:paraId="38E95C6E" w14:textId="77777777" w:rsidTr="0072729B">
        <w:trPr>
          <w:trHeight w:val="300"/>
        </w:trPr>
        <w:tc>
          <w:tcPr>
            <w:tcW w:w="1410" w:type="dxa"/>
            <w:tcBorders>
              <w:top w:val="nil"/>
              <w:left w:val="nil"/>
              <w:bottom w:val="nil"/>
              <w:right w:val="nil"/>
            </w:tcBorders>
            <w:shd w:val="clear" w:color="auto" w:fill="auto"/>
            <w:noWrap/>
            <w:vAlign w:val="bottom"/>
            <w:hideMark/>
          </w:tcPr>
          <w:p w14:paraId="1058635B" w14:textId="77777777"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29E85C26" w14:textId="7A11F06F"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B53</w:t>
            </w:r>
          </w:p>
        </w:tc>
        <w:tc>
          <w:tcPr>
            <w:tcW w:w="1690" w:type="dxa"/>
            <w:tcBorders>
              <w:top w:val="nil"/>
              <w:left w:val="nil"/>
              <w:bottom w:val="nil"/>
              <w:right w:val="nil"/>
            </w:tcBorders>
            <w:shd w:val="clear" w:color="auto" w:fill="auto"/>
            <w:noWrap/>
            <w:vAlign w:val="bottom"/>
            <w:hideMark/>
          </w:tcPr>
          <w:p w14:paraId="5223D939" w14:textId="4147425F"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0.09</w:t>
            </w:r>
          </w:p>
        </w:tc>
        <w:tc>
          <w:tcPr>
            <w:tcW w:w="1690" w:type="dxa"/>
            <w:tcBorders>
              <w:top w:val="nil"/>
              <w:left w:val="nil"/>
              <w:bottom w:val="nil"/>
              <w:right w:val="nil"/>
            </w:tcBorders>
            <w:shd w:val="clear" w:color="auto" w:fill="auto"/>
            <w:noWrap/>
            <w:vAlign w:val="bottom"/>
            <w:hideMark/>
          </w:tcPr>
          <w:p w14:paraId="44513B1F" w14:textId="11023F7A"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0.12</w:t>
            </w:r>
          </w:p>
        </w:tc>
        <w:tc>
          <w:tcPr>
            <w:tcW w:w="1690" w:type="dxa"/>
            <w:tcBorders>
              <w:top w:val="nil"/>
              <w:left w:val="nil"/>
              <w:bottom w:val="nil"/>
              <w:right w:val="nil"/>
            </w:tcBorders>
            <w:shd w:val="clear" w:color="auto" w:fill="auto"/>
            <w:noWrap/>
            <w:vAlign w:val="bottom"/>
            <w:hideMark/>
          </w:tcPr>
          <w:p w14:paraId="7B55DED0" w14:textId="15C3A974"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0.18</w:t>
            </w:r>
          </w:p>
        </w:tc>
      </w:tr>
      <w:tr w:rsidR="00C8136C" w:rsidRPr="0072729B" w14:paraId="0DDD395F" w14:textId="77777777" w:rsidTr="0072729B">
        <w:trPr>
          <w:trHeight w:val="300"/>
        </w:trPr>
        <w:tc>
          <w:tcPr>
            <w:tcW w:w="1410" w:type="dxa"/>
            <w:tcBorders>
              <w:top w:val="nil"/>
              <w:left w:val="nil"/>
              <w:bottom w:val="nil"/>
              <w:right w:val="nil"/>
            </w:tcBorders>
            <w:shd w:val="clear" w:color="auto" w:fill="auto"/>
            <w:noWrap/>
            <w:vAlign w:val="bottom"/>
            <w:hideMark/>
          </w:tcPr>
          <w:p w14:paraId="6B8BCA90" w14:textId="77777777"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6CE6F803" w14:textId="022D8BAC"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B50</w:t>
            </w:r>
          </w:p>
        </w:tc>
        <w:tc>
          <w:tcPr>
            <w:tcW w:w="1690" w:type="dxa"/>
            <w:tcBorders>
              <w:top w:val="nil"/>
              <w:left w:val="nil"/>
              <w:bottom w:val="nil"/>
              <w:right w:val="nil"/>
            </w:tcBorders>
            <w:shd w:val="clear" w:color="auto" w:fill="auto"/>
            <w:noWrap/>
            <w:vAlign w:val="bottom"/>
            <w:hideMark/>
          </w:tcPr>
          <w:p w14:paraId="73C5751C" w14:textId="0E584848"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0.14</w:t>
            </w:r>
          </w:p>
        </w:tc>
        <w:tc>
          <w:tcPr>
            <w:tcW w:w="1690" w:type="dxa"/>
            <w:tcBorders>
              <w:top w:val="nil"/>
              <w:left w:val="nil"/>
              <w:bottom w:val="nil"/>
              <w:right w:val="nil"/>
            </w:tcBorders>
            <w:shd w:val="clear" w:color="auto" w:fill="auto"/>
            <w:noWrap/>
            <w:vAlign w:val="bottom"/>
            <w:hideMark/>
          </w:tcPr>
          <w:p w14:paraId="792AB445" w14:textId="15E25E7A"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0.19</w:t>
            </w:r>
          </w:p>
        </w:tc>
        <w:tc>
          <w:tcPr>
            <w:tcW w:w="1690" w:type="dxa"/>
            <w:tcBorders>
              <w:top w:val="nil"/>
              <w:left w:val="nil"/>
              <w:bottom w:val="nil"/>
              <w:right w:val="nil"/>
            </w:tcBorders>
            <w:shd w:val="clear" w:color="auto" w:fill="auto"/>
            <w:noWrap/>
            <w:vAlign w:val="bottom"/>
            <w:hideMark/>
          </w:tcPr>
          <w:p w14:paraId="7652BA11" w14:textId="010F46EC"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0.25</w:t>
            </w:r>
          </w:p>
        </w:tc>
      </w:tr>
      <w:tr w:rsidR="00C8136C" w:rsidRPr="0072729B" w14:paraId="1ACFD486" w14:textId="77777777" w:rsidTr="0072729B">
        <w:trPr>
          <w:trHeight w:val="300"/>
        </w:trPr>
        <w:tc>
          <w:tcPr>
            <w:tcW w:w="1410" w:type="dxa"/>
            <w:tcBorders>
              <w:top w:val="nil"/>
              <w:left w:val="nil"/>
              <w:bottom w:val="nil"/>
              <w:right w:val="nil"/>
            </w:tcBorders>
            <w:shd w:val="clear" w:color="auto" w:fill="auto"/>
            <w:noWrap/>
            <w:vAlign w:val="bottom"/>
            <w:hideMark/>
          </w:tcPr>
          <w:p w14:paraId="7AEEB8B1" w14:textId="77777777" w:rsidR="00C8136C" w:rsidRPr="0072729B" w:rsidRDefault="00C8136C" w:rsidP="00C8136C">
            <w:pPr>
              <w:spacing w:after="0" w:line="240" w:lineRule="auto"/>
              <w:jc w:val="center"/>
              <w:rPr>
                <w:rFonts w:ascii="Times New Roman" w:eastAsia="Times New Roman" w:hAnsi="Times New Roman" w:cs="Times New Roman"/>
                <w:color w:val="BFBFBF"/>
                <w:sz w:val="20"/>
                <w:szCs w:val="20"/>
              </w:rPr>
            </w:pPr>
          </w:p>
        </w:tc>
        <w:tc>
          <w:tcPr>
            <w:tcW w:w="1410" w:type="dxa"/>
            <w:tcBorders>
              <w:top w:val="nil"/>
              <w:left w:val="nil"/>
              <w:bottom w:val="nil"/>
              <w:right w:val="nil"/>
            </w:tcBorders>
            <w:shd w:val="clear" w:color="auto" w:fill="auto"/>
            <w:noWrap/>
            <w:vAlign w:val="bottom"/>
            <w:hideMark/>
          </w:tcPr>
          <w:p w14:paraId="33304D92" w14:textId="381E2B92"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LRNC B510</w:t>
            </w:r>
          </w:p>
        </w:tc>
        <w:tc>
          <w:tcPr>
            <w:tcW w:w="1690" w:type="dxa"/>
            <w:tcBorders>
              <w:top w:val="nil"/>
              <w:left w:val="nil"/>
              <w:bottom w:val="nil"/>
              <w:right w:val="nil"/>
            </w:tcBorders>
            <w:shd w:val="clear" w:color="auto" w:fill="auto"/>
            <w:noWrap/>
            <w:vAlign w:val="bottom"/>
            <w:hideMark/>
          </w:tcPr>
          <w:p w14:paraId="5F1CA9D6" w14:textId="70E2ED23"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0.22</w:t>
            </w:r>
          </w:p>
        </w:tc>
        <w:tc>
          <w:tcPr>
            <w:tcW w:w="1690" w:type="dxa"/>
            <w:tcBorders>
              <w:top w:val="nil"/>
              <w:left w:val="nil"/>
              <w:bottom w:val="nil"/>
              <w:right w:val="nil"/>
            </w:tcBorders>
            <w:shd w:val="clear" w:color="auto" w:fill="auto"/>
            <w:noWrap/>
            <w:vAlign w:val="bottom"/>
            <w:hideMark/>
          </w:tcPr>
          <w:p w14:paraId="69AC61BD" w14:textId="21B4205E"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0.28</w:t>
            </w:r>
          </w:p>
        </w:tc>
        <w:tc>
          <w:tcPr>
            <w:tcW w:w="1690" w:type="dxa"/>
            <w:tcBorders>
              <w:top w:val="nil"/>
              <w:left w:val="nil"/>
              <w:bottom w:val="nil"/>
              <w:right w:val="nil"/>
            </w:tcBorders>
            <w:shd w:val="clear" w:color="auto" w:fill="auto"/>
            <w:noWrap/>
            <w:vAlign w:val="bottom"/>
            <w:hideMark/>
          </w:tcPr>
          <w:p w14:paraId="152E7830" w14:textId="42B6EEC9"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0.36</w:t>
            </w:r>
          </w:p>
        </w:tc>
      </w:tr>
      <w:tr w:rsidR="00C8136C" w:rsidRPr="0072729B" w14:paraId="5A71AE38" w14:textId="77777777" w:rsidTr="0072729B">
        <w:trPr>
          <w:trHeight w:val="300"/>
        </w:trPr>
        <w:tc>
          <w:tcPr>
            <w:tcW w:w="1410" w:type="dxa"/>
            <w:tcBorders>
              <w:top w:val="nil"/>
              <w:left w:val="nil"/>
              <w:bottom w:val="nil"/>
              <w:right w:val="nil"/>
            </w:tcBorders>
            <w:shd w:val="clear" w:color="auto" w:fill="auto"/>
            <w:noWrap/>
            <w:vAlign w:val="bottom"/>
            <w:hideMark/>
          </w:tcPr>
          <w:p w14:paraId="3218DA3E" w14:textId="77777777"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7E7953E3" w14:textId="0516C99C"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B1A</w:t>
            </w:r>
          </w:p>
        </w:tc>
        <w:tc>
          <w:tcPr>
            <w:tcW w:w="1690" w:type="dxa"/>
            <w:tcBorders>
              <w:top w:val="nil"/>
              <w:left w:val="nil"/>
              <w:bottom w:val="nil"/>
              <w:right w:val="nil"/>
            </w:tcBorders>
            <w:shd w:val="clear" w:color="auto" w:fill="auto"/>
            <w:noWrap/>
            <w:vAlign w:val="bottom"/>
            <w:hideMark/>
          </w:tcPr>
          <w:p w14:paraId="0F9423BA" w14:textId="5A6CB10D"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0.30</w:t>
            </w:r>
          </w:p>
        </w:tc>
        <w:tc>
          <w:tcPr>
            <w:tcW w:w="1690" w:type="dxa"/>
            <w:tcBorders>
              <w:top w:val="nil"/>
              <w:left w:val="nil"/>
              <w:bottom w:val="nil"/>
              <w:right w:val="nil"/>
            </w:tcBorders>
            <w:shd w:val="clear" w:color="auto" w:fill="auto"/>
            <w:noWrap/>
            <w:vAlign w:val="bottom"/>
            <w:hideMark/>
          </w:tcPr>
          <w:p w14:paraId="412B5E94" w14:textId="71A2DA64"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0.37</w:t>
            </w:r>
          </w:p>
        </w:tc>
        <w:tc>
          <w:tcPr>
            <w:tcW w:w="1690" w:type="dxa"/>
            <w:tcBorders>
              <w:top w:val="nil"/>
              <w:left w:val="nil"/>
              <w:bottom w:val="nil"/>
              <w:right w:val="nil"/>
            </w:tcBorders>
            <w:shd w:val="clear" w:color="auto" w:fill="auto"/>
            <w:noWrap/>
            <w:vAlign w:val="bottom"/>
            <w:hideMark/>
          </w:tcPr>
          <w:p w14:paraId="37D81C99" w14:textId="62A9FE1E"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0.44</w:t>
            </w:r>
          </w:p>
        </w:tc>
      </w:tr>
      <w:tr w:rsidR="00C8136C" w:rsidRPr="0072729B" w14:paraId="0607D1F1" w14:textId="77777777" w:rsidTr="0072729B">
        <w:trPr>
          <w:trHeight w:val="300"/>
        </w:trPr>
        <w:tc>
          <w:tcPr>
            <w:tcW w:w="1410" w:type="dxa"/>
            <w:tcBorders>
              <w:top w:val="nil"/>
              <w:left w:val="nil"/>
              <w:bottom w:val="nil"/>
              <w:right w:val="nil"/>
            </w:tcBorders>
            <w:shd w:val="clear" w:color="auto" w:fill="auto"/>
            <w:noWrap/>
            <w:vAlign w:val="bottom"/>
            <w:hideMark/>
          </w:tcPr>
          <w:p w14:paraId="662AAAD6" w14:textId="77777777" w:rsidR="00C8136C" w:rsidRPr="0072729B" w:rsidRDefault="00C8136C" w:rsidP="00770FC8">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0DE8B12E" w14:textId="77777777" w:rsidR="00C8136C" w:rsidRPr="0072729B" w:rsidRDefault="00C8136C" w:rsidP="00770FC8">
            <w:pPr>
              <w:spacing w:after="0" w:line="240" w:lineRule="auto"/>
              <w:jc w:val="right"/>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32E1F898" w14:textId="77777777" w:rsidR="00C8136C" w:rsidRPr="0072729B" w:rsidRDefault="00C8136C" w:rsidP="0072729B">
            <w:pPr>
              <w:tabs>
                <w:tab w:val="decimal" w:pos="1193"/>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220AB29E" w14:textId="77777777" w:rsidR="00C8136C" w:rsidRPr="0072729B" w:rsidRDefault="00C8136C" w:rsidP="0072729B">
            <w:pPr>
              <w:tabs>
                <w:tab w:val="decimal" w:pos="1193"/>
              </w:tabs>
              <w:spacing w:after="0" w:line="240" w:lineRule="auto"/>
              <w:rPr>
                <w:rFonts w:ascii="Times New Roman" w:eastAsia="Times New Roman" w:hAnsi="Times New Roman" w:cs="Times New Roman"/>
                <w:sz w:val="20"/>
                <w:szCs w:val="20"/>
              </w:rPr>
            </w:pPr>
          </w:p>
        </w:tc>
        <w:tc>
          <w:tcPr>
            <w:tcW w:w="1690" w:type="dxa"/>
            <w:tcBorders>
              <w:top w:val="nil"/>
              <w:left w:val="nil"/>
              <w:bottom w:val="nil"/>
              <w:right w:val="nil"/>
            </w:tcBorders>
            <w:shd w:val="clear" w:color="auto" w:fill="auto"/>
            <w:noWrap/>
            <w:vAlign w:val="bottom"/>
            <w:hideMark/>
          </w:tcPr>
          <w:p w14:paraId="0F73113F" w14:textId="77777777" w:rsidR="00C8136C" w:rsidRPr="0072729B" w:rsidRDefault="00C8136C" w:rsidP="0072729B">
            <w:pPr>
              <w:tabs>
                <w:tab w:val="decimal" w:pos="1193"/>
              </w:tabs>
              <w:spacing w:after="0" w:line="240" w:lineRule="auto"/>
              <w:rPr>
                <w:rFonts w:ascii="Times New Roman" w:eastAsia="Times New Roman" w:hAnsi="Times New Roman" w:cs="Times New Roman"/>
                <w:sz w:val="20"/>
                <w:szCs w:val="20"/>
              </w:rPr>
            </w:pPr>
          </w:p>
        </w:tc>
      </w:tr>
      <w:tr w:rsidR="00C8136C" w:rsidRPr="0072729B" w14:paraId="3459296E" w14:textId="77777777" w:rsidTr="0072729B">
        <w:trPr>
          <w:trHeight w:val="300"/>
        </w:trPr>
        <w:tc>
          <w:tcPr>
            <w:tcW w:w="1410" w:type="dxa"/>
            <w:tcBorders>
              <w:top w:val="nil"/>
              <w:left w:val="nil"/>
              <w:bottom w:val="nil"/>
              <w:right w:val="nil"/>
            </w:tcBorders>
            <w:shd w:val="clear" w:color="auto" w:fill="auto"/>
            <w:noWrap/>
            <w:vAlign w:val="bottom"/>
            <w:hideMark/>
          </w:tcPr>
          <w:p w14:paraId="750DC8ED" w14:textId="642ED1B2"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2.60-4.00</w:t>
            </w:r>
          </w:p>
        </w:tc>
        <w:tc>
          <w:tcPr>
            <w:tcW w:w="1410" w:type="dxa"/>
            <w:tcBorders>
              <w:top w:val="nil"/>
              <w:left w:val="nil"/>
              <w:bottom w:val="nil"/>
              <w:right w:val="nil"/>
            </w:tcBorders>
            <w:shd w:val="clear" w:color="auto" w:fill="auto"/>
            <w:noWrap/>
            <w:vAlign w:val="bottom"/>
            <w:hideMark/>
          </w:tcPr>
          <w:p w14:paraId="2CE22166" w14:textId="08C25F8D"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B60</w:t>
            </w:r>
          </w:p>
        </w:tc>
        <w:tc>
          <w:tcPr>
            <w:tcW w:w="1690" w:type="dxa"/>
            <w:tcBorders>
              <w:top w:val="nil"/>
              <w:left w:val="nil"/>
              <w:bottom w:val="nil"/>
              <w:right w:val="nil"/>
            </w:tcBorders>
            <w:shd w:val="clear" w:color="auto" w:fill="auto"/>
            <w:noWrap/>
            <w:vAlign w:val="bottom"/>
            <w:hideMark/>
          </w:tcPr>
          <w:p w14:paraId="7A281A7F" w14:textId="79F815AD"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0.05</w:t>
            </w:r>
          </w:p>
        </w:tc>
        <w:tc>
          <w:tcPr>
            <w:tcW w:w="1690" w:type="dxa"/>
            <w:tcBorders>
              <w:top w:val="nil"/>
              <w:left w:val="nil"/>
              <w:bottom w:val="nil"/>
              <w:right w:val="nil"/>
            </w:tcBorders>
            <w:shd w:val="clear" w:color="auto" w:fill="auto"/>
            <w:noWrap/>
            <w:vAlign w:val="bottom"/>
            <w:hideMark/>
          </w:tcPr>
          <w:p w14:paraId="6F8D6F2C" w14:textId="527CDEFE"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0.08</w:t>
            </w:r>
          </w:p>
        </w:tc>
        <w:tc>
          <w:tcPr>
            <w:tcW w:w="1690" w:type="dxa"/>
            <w:tcBorders>
              <w:top w:val="nil"/>
              <w:left w:val="nil"/>
              <w:bottom w:val="nil"/>
              <w:right w:val="nil"/>
            </w:tcBorders>
            <w:shd w:val="clear" w:color="auto" w:fill="auto"/>
            <w:noWrap/>
            <w:vAlign w:val="bottom"/>
            <w:hideMark/>
          </w:tcPr>
          <w:p w14:paraId="1FEEE0B3" w14:textId="23788079"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0.15</w:t>
            </w:r>
          </w:p>
        </w:tc>
      </w:tr>
      <w:tr w:rsidR="00C8136C" w:rsidRPr="0072729B" w14:paraId="56223A09" w14:textId="77777777" w:rsidTr="0072729B">
        <w:trPr>
          <w:trHeight w:val="300"/>
        </w:trPr>
        <w:tc>
          <w:tcPr>
            <w:tcW w:w="1410" w:type="dxa"/>
            <w:tcBorders>
              <w:top w:val="nil"/>
              <w:left w:val="nil"/>
              <w:bottom w:val="nil"/>
              <w:right w:val="nil"/>
            </w:tcBorders>
            <w:shd w:val="clear" w:color="auto" w:fill="auto"/>
            <w:noWrap/>
            <w:vAlign w:val="bottom"/>
            <w:hideMark/>
          </w:tcPr>
          <w:p w14:paraId="5B9730E8" w14:textId="77777777"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523C2D37" w14:textId="4052810D"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B53</w:t>
            </w:r>
          </w:p>
        </w:tc>
        <w:tc>
          <w:tcPr>
            <w:tcW w:w="1690" w:type="dxa"/>
            <w:tcBorders>
              <w:top w:val="nil"/>
              <w:left w:val="nil"/>
              <w:bottom w:val="nil"/>
              <w:right w:val="nil"/>
            </w:tcBorders>
            <w:shd w:val="clear" w:color="auto" w:fill="auto"/>
            <w:noWrap/>
            <w:vAlign w:val="bottom"/>
            <w:hideMark/>
          </w:tcPr>
          <w:p w14:paraId="699F7743" w14:textId="5C8F0C84"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0.21</w:t>
            </w:r>
          </w:p>
        </w:tc>
        <w:tc>
          <w:tcPr>
            <w:tcW w:w="1690" w:type="dxa"/>
            <w:tcBorders>
              <w:top w:val="nil"/>
              <w:left w:val="nil"/>
              <w:bottom w:val="nil"/>
              <w:right w:val="nil"/>
            </w:tcBorders>
            <w:shd w:val="clear" w:color="auto" w:fill="auto"/>
            <w:noWrap/>
            <w:vAlign w:val="bottom"/>
            <w:hideMark/>
          </w:tcPr>
          <w:p w14:paraId="25AF2ED7" w14:textId="0C31AE3D"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0.30</w:t>
            </w:r>
          </w:p>
        </w:tc>
        <w:tc>
          <w:tcPr>
            <w:tcW w:w="1690" w:type="dxa"/>
            <w:tcBorders>
              <w:top w:val="nil"/>
              <w:left w:val="nil"/>
              <w:bottom w:val="nil"/>
              <w:right w:val="nil"/>
            </w:tcBorders>
            <w:shd w:val="clear" w:color="auto" w:fill="auto"/>
            <w:noWrap/>
            <w:vAlign w:val="bottom"/>
            <w:hideMark/>
          </w:tcPr>
          <w:p w14:paraId="4CA4BE5A" w14:textId="41E63E5A"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0.41</w:t>
            </w:r>
          </w:p>
        </w:tc>
      </w:tr>
      <w:tr w:rsidR="00C8136C" w:rsidRPr="0072729B" w14:paraId="60463CF4" w14:textId="77777777" w:rsidTr="0072729B">
        <w:trPr>
          <w:trHeight w:val="300"/>
        </w:trPr>
        <w:tc>
          <w:tcPr>
            <w:tcW w:w="1410" w:type="dxa"/>
            <w:tcBorders>
              <w:top w:val="nil"/>
              <w:left w:val="nil"/>
              <w:bottom w:val="nil"/>
              <w:right w:val="nil"/>
            </w:tcBorders>
            <w:shd w:val="clear" w:color="auto" w:fill="auto"/>
            <w:noWrap/>
            <w:vAlign w:val="bottom"/>
            <w:hideMark/>
          </w:tcPr>
          <w:p w14:paraId="7A195404" w14:textId="77777777"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14:paraId="38B91B1C" w14:textId="481A0A27"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B50</w:t>
            </w:r>
          </w:p>
        </w:tc>
        <w:tc>
          <w:tcPr>
            <w:tcW w:w="1690" w:type="dxa"/>
            <w:tcBorders>
              <w:top w:val="nil"/>
              <w:left w:val="nil"/>
              <w:bottom w:val="nil"/>
              <w:right w:val="nil"/>
            </w:tcBorders>
            <w:shd w:val="clear" w:color="auto" w:fill="auto"/>
            <w:noWrap/>
            <w:vAlign w:val="bottom"/>
            <w:hideMark/>
          </w:tcPr>
          <w:p w14:paraId="3051CC2D" w14:textId="5A142DA5"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0.25</w:t>
            </w:r>
          </w:p>
        </w:tc>
        <w:tc>
          <w:tcPr>
            <w:tcW w:w="1690" w:type="dxa"/>
            <w:tcBorders>
              <w:top w:val="nil"/>
              <w:left w:val="nil"/>
              <w:bottom w:val="nil"/>
              <w:right w:val="nil"/>
            </w:tcBorders>
            <w:shd w:val="clear" w:color="auto" w:fill="auto"/>
            <w:noWrap/>
            <w:vAlign w:val="bottom"/>
            <w:hideMark/>
          </w:tcPr>
          <w:p w14:paraId="4D12AD5E" w14:textId="3EFB3796"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0.33</w:t>
            </w:r>
          </w:p>
        </w:tc>
        <w:tc>
          <w:tcPr>
            <w:tcW w:w="1690" w:type="dxa"/>
            <w:tcBorders>
              <w:top w:val="nil"/>
              <w:left w:val="nil"/>
              <w:bottom w:val="nil"/>
              <w:right w:val="nil"/>
            </w:tcBorders>
            <w:shd w:val="clear" w:color="auto" w:fill="auto"/>
            <w:noWrap/>
            <w:vAlign w:val="bottom"/>
            <w:hideMark/>
          </w:tcPr>
          <w:p w14:paraId="6091D2E0" w14:textId="27C4D2A0"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0.42</w:t>
            </w:r>
          </w:p>
        </w:tc>
      </w:tr>
      <w:tr w:rsidR="00C8136C" w:rsidRPr="0072729B" w14:paraId="726F6659" w14:textId="77777777" w:rsidTr="0072729B">
        <w:trPr>
          <w:trHeight w:val="300"/>
        </w:trPr>
        <w:tc>
          <w:tcPr>
            <w:tcW w:w="1410" w:type="dxa"/>
            <w:tcBorders>
              <w:top w:val="nil"/>
              <w:left w:val="nil"/>
              <w:bottom w:val="nil"/>
              <w:right w:val="nil"/>
            </w:tcBorders>
            <w:shd w:val="clear" w:color="auto" w:fill="auto"/>
            <w:noWrap/>
            <w:vAlign w:val="bottom"/>
            <w:hideMark/>
          </w:tcPr>
          <w:p w14:paraId="019D52E2" w14:textId="77777777" w:rsidR="00C8136C" w:rsidRPr="0072729B" w:rsidRDefault="00C8136C" w:rsidP="00C8136C">
            <w:pPr>
              <w:spacing w:after="0" w:line="240" w:lineRule="auto"/>
              <w:jc w:val="center"/>
              <w:rPr>
                <w:rFonts w:ascii="Times New Roman" w:eastAsia="Times New Roman" w:hAnsi="Times New Roman" w:cs="Times New Roman"/>
                <w:color w:val="BFBFBF"/>
                <w:sz w:val="20"/>
                <w:szCs w:val="20"/>
              </w:rPr>
            </w:pPr>
          </w:p>
        </w:tc>
        <w:tc>
          <w:tcPr>
            <w:tcW w:w="1410" w:type="dxa"/>
            <w:tcBorders>
              <w:top w:val="nil"/>
              <w:left w:val="nil"/>
              <w:bottom w:val="nil"/>
              <w:right w:val="nil"/>
            </w:tcBorders>
            <w:shd w:val="clear" w:color="auto" w:fill="auto"/>
            <w:noWrap/>
            <w:vAlign w:val="bottom"/>
            <w:hideMark/>
          </w:tcPr>
          <w:p w14:paraId="0B814D58" w14:textId="02628A8D"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LRNC B510</w:t>
            </w:r>
          </w:p>
        </w:tc>
        <w:tc>
          <w:tcPr>
            <w:tcW w:w="1690" w:type="dxa"/>
            <w:tcBorders>
              <w:top w:val="nil"/>
              <w:left w:val="nil"/>
              <w:bottom w:val="nil"/>
              <w:right w:val="nil"/>
            </w:tcBorders>
            <w:shd w:val="clear" w:color="auto" w:fill="auto"/>
            <w:noWrap/>
            <w:vAlign w:val="bottom"/>
            <w:hideMark/>
          </w:tcPr>
          <w:p w14:paraId="7A80E702" w14:textId="20AED57F"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0.52</w:t>
            </w:r>
          </w:p>
        </w:tc>
        <w:tc>
          <w:tcPr>
            <w:tcW w:w="1690" w:type="dxa"/>
            <w:tcBorders>
              <w:top w:val="nil"/>
              <w:left w:val="nil"/>
              <w:bottom w:val="nil"/>
              <w:right w:val="nil"/>
            </w:tcBorders>
            <w:shd w:val="clear" w:color="auto" w:fill="auto"/>
            <w:noWrap/>
            <w:vAlign w:val="bottom"/>
            <w:hideMark/>
          </w:tcPr>
          <w:p w14:paraId="3E2B2C5A" w14:textId="5743530B"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0.61</w:t>
            </w:r>
          </w:p>
        </w:tc>
        <w:tc>
          <w:tcPr>
            <w:tcW w:w="1690" w:type="dxa"/>
            <w:tcBorders>
              <w:top w:val="nil"/>
              <w:left w:val="nil"/>
              <w:bottom w:val="nil"/>
              <w:right w:val="nil"/>
            </w:tcBorders>
            <w:shd w:val="clear" w:color="auto" w:fill="auto"/>
            <w:noWrap/>
            <w:vAlign w:val="bottom"/>
            <w:hideMark/>
          </w:tcPr>
          <w:p w14:paraId="19515B3B" w14:textId="3FB28045"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0.73</w:t>
            </w:r>
          </w:p>
        </w:tc>
      </w:tr>
      <w:tr w:rsidR="00C8136C" w:rsidRPr="0072729B" w14:paraId="050035F7" w14:textId="77777777" w:rsidTr="0072729B">
        <w:trPr>
          <w:trHeight w:val="300"/>
        </w:trPr>
        <w:tc>
          <w:tcPr>
            <w:tcW w:w="1410" w:type="dxa"/>
            <w:tcBorders>
              <w:top w:val="nil"/>
              <w:left w:val="nil"/>
              <w:bottom w:val="single" w:sz="4" w:space="0" w:color="auto"/>
              <w:right w:val="nil"/>
            </w:tcBorders>
            <w:shd w:val="clear" w:color="auto" w:fill="auto"/>
            <w:noWrap/>
            <w:vAlign w:val="bottom"/>
            <w:hideMark/>
          </w:tcPr>
          <w:p w14:paraId="70F5B603" w14:textId="77777777" w:rsidR="00C8136C" w:rsidRPr="0072729B" w:rsidRDefault="00C8136C" w:rsidP="00C8136C">
            <w:pPr>
              <w:spacing w:after="0" w:line="240" w:lineRule="auto"/>
              <w:jc w:val="center"/>
              <w:rPr>
                <w:rFonts w:ascii="Times New Roman" w:eastAsia="Times New Roman" w:hAnsi="Times New Roman" w:cs="Times New Roman"/>
                <w:color w:val="000000"/>
                <w:sz w:val="20"/>
                <w:szCs w:val="20"/>
              </w:rPr>
            </w:pPr>
          </w:p>
        </w:tc>
        <w:tc>
          <w:tcPr>
            <w:tcW w:w="1410" w:type="dxa"/>
            <w:tcBorders>
              <w:top w:val="nil"/>
              <w:left w:val="nil"/>
              <w:bottom w:val="single" w:sz="4" w:space="0" w:color="auto"/>
              <w:right w:val="nil"/>
            </w:tcBorders>
            <w:shd w:val="clear" w:color="auto" w:fill="auto"/>
            <w:noWrap/>
            <w:vAlign w:val="bottom"/>
            <w:hideMark/>
          </w:tcPr>
          <w:p w14:paraId="1D5491AC" w14:textId="0FC2B2DF" w:rsidR="00C8136C" w:rsidRPr="0072729B" w:rsidRDefault="00C8136C" w:rsidP="00C8136C">
            <w:pPr>
              <w:spacing w:after="0" w:line="240" w:lineRule="auto"/>
              <w:jc w:val="right"/>
              <w:rPr>
                <w:rFonts w:ascii="Times New Roman" w:eastAsia="Times New Roman" w:hAnsi="Times New Roman" w:cs="Times New Roman"/>
                <w:color w:val="000000"/>
                <w:sz w:val="20"/>
                <w:szCs w:val="20"/>
              </w:rPr>
            </w:pPr>
            <w:r w:rsidRPr="0072729B">
              <w:rPr>
                <w:rFonts w:ascii="Times New Roman" w:eastAsia="Times New Roman" w:hAnsi="Times New Roman" w:cs="Times New Roman"/>
                <w:color w:val="000000"/>
                <w:sz w:val="20"/>
                <w:szCs w:val="20"/>
              </w:rPr>
              <w:t>Engl B1A</w:t>
            </w:r>
          </w:p>
        </w:tc>
        <w:tc>
          <w:tcPr>
            <w:tcW w:w="1690" w:type="dxa"/>
            <w:tcBorders>
              <w:top w:val="nil"/>
              <w:left w:val="nil"/>
              <w:bottom w:val="single" w:sz="4" w:space="0" w:color="auto"/>
              <w:right w:val="nil"/>
            </w:tcBorders>
            <w:shd w:val="clear" w:color="auto" w:fill="auto"/>
            <w:noWrap/>
            <w:vAlign w:val="bottom"/>
            <w:hideMark/>
          </w:tcPr>
          <w:p w14:paraId="506526CF" w14:textId="3059BAD5"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0.51</w:t>
            </w:r>
          </w:p>
        </w:tc>
        <w:tc>
          <w:tcPr>
            <w:tcW w:w="1690" w:type="dxa"/>
            <w:tcBorders>
              <w:top w:val="nil"/>
              <w:left w:val="nil"/>
              <w:bottom w:val="single" w:sz="4" w:space="0" w:color="auto"/>
              <w:right w:val="nil"/>
            </w:tcBorders>
            <w:shd w:val="clear" w:color="auto" w:fill="auto"/>
            <w:noWrap/>
            <w:vAlign w:val="bottom"/>
            <w:hideMark/>
          </w:tcPr>
          <w:p w14:paraId="538EBD4C" w14:textId="18EBE192"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0.59</w:t>
            </w:r>
          </w:p>
        </w:tc>
        <w:tc>
          <w:tcPr>
            <w:tcW w:w="1690" w:type="dxa"/>
            <w:tcBorders>
              <w:top w:val="nil"/>
              <w:left w:val="nil"/>
              <w:bottom w:val="single" w:sz="4" w:space="0" w:color="auto"/>
              <w:right w:val="nil"/>
            </w:tcBorders>
            <w:shd w:val="clear" w:color="auto" w:fill="auto"/>
            <w:noWrap/>
            <w:vAlign w:val="bottom"/>
            <w:hideMark/>
          </w:tcPr>
          <w:p w14:paraId="2600EE3E" w14:textId="323D557B" w:rsidR="00C8136C" w:rsidRPr="0072729B" w:rsidRDefault="00C8136C" w:rsidP="0072729B">
            <w:pPr>
              <w:tabs>
                <w:tab w:val="decimal" w:pos="1193"/>
              </w:tabs>
              <w:spacing w:after="0" w:line="240" w:lineRule="auto"/>
              <w:rPr>
                <w:rFonts w:ascii="Times New Roman" w:eastAsia="Times New Roman" w:hAnsi="Times New Roman" w:cs="Times New Roman"/>
                <w:color w:val="000000"/>
                <w:sz w:val="20"/>
                <w:szCs w:val="20"/>
              </w:rPr>
            </w:pPr>
            <w:r w:rsidRPr="0072729B">
              <w:rPr>
                <w:rFonts w:ascii="Times New Roman" w:hAnsi="Times New Roman" w:cs="Times New Roman"/>
                <w:color w:val="000000"/>
                <w:sz w:val="20"/>
                <w:szCs w:val="20"/>
              </w:rPr>
              <w:t>0.68</w:t>
            </w:r>
          </w:p>
        </w:tc>
      </w:tr>
    </w:tbl>
    <w:p w14:paraId="7422EFD0" w14:textId="77777777" w:rsidR="00770FC8" w:rsidRDefault="00770FC8" w:rsidP="00770FC8">
      <w:pPr>
        <w:rPr>
          <w:rFonts w:ascii="Times New Roman" w:hAnsi="Times New Roman" w:cs="Times New Roman"/>
          <w:sz w:val="24"/>
          <w:szCs w:val="24"/>
        </w:rPr>
      </w:pPr>
    </w:p>
    <w:p w14:paraId="4ACC471B" w14:textId="77777777" w:rsidR="00770FC8" w:rsidRDefault="00770FC8">
      <w:pPr>
        <w:rPr>
          <w:rFonts w:ascii="Times New Roman" w:hAnsi="Times New Roman" w:cs="Times New Roman"/>
          <w:sz w:val="24"/>
          <w:szCs w:val="24"/>
        </w:rPr>
      </w:pPr>
    </w:p>
    <w:p w14:paraId="19D0BA04" w14:textId="77777777" w:rsidR="00770FC8" w:rsidRDefault="00770FC8">
      <w:pPr>
        <w:rPr>
          <w:rFonts w:ascii="Times New Roman" w:hAnsi="Times New Roman" w:cs="Times New Roman"/>
          <w:sz w:val="24"/>
          <w:szCs w:val="24"/>
        </w:rPr>
      </w:pPr>
    </w:p>
    <w:p w14:paraId="777CF1CF" w14:textId="77777777" w:rsidR="00770FC8" w:rsidRDefault="00770FC8">
      <w:pPr>
        <w:rPr>
          <w:rFonts w:ascii="Times New Roman" w:hAnsi="Times New Roman" w:cs="Times New Roman"/>
          <w:sz w:val="24"/>
          <w:szCs w:val="24"/>
        </w:rPr>
      </w:pPr>
    </w:p>
    <w:sectPr w:rsidR="00770FC8" w:rsidSect="003476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BFD4F" w14:textId="77777777" w:rsidR="00ED314C" w:rsidRDefault="00ED314C" w:rsidP="000D6C66">
      <w:pPr>
        <w:spacing w:after="0" w:line="240" w:lineRule="auto"/>
      </w:pPr>
      <w:r>
        <w:separator/>
      </w:r>
    </w:p>
  </w:endnote>
  <w:endnote w:type="continuationSeparator" w:id="0">
    <w:p w14:paraId="106E784D" w14:textId="77777777" w:rsidR="00ED314C" w:rsidRDefault="00ED314C" w:rsidP="000D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2502" w14:textId="538C80BC" w:rsidR="0072729B" w:rsidRPr="005E07CB" w:rsidRDefault="0072729B" w:rsidP="000D6C66">
    <w:pPr>
      <w:pStyle w:val="Footer"/>
      <w:jc w:val="right"/>
      <w:rPr>
        <w:rFonts w:ascii="Times New Roman" w:hAnsi="Times New Roman" w:cs="Times New Roman"/>
        <w:sz w:val="24"/>
        <w:szCs w:val="24"/>
      </w:rPr>
    </w:pPr>
    <w:r w:rsidRPr="005E07CB">
      <w:rPr>
        <w:rFonts w:ascii="Times New Roman" w:hAnsi="Times New Roman" w:cs="Times New Roman"/>
        <w:sz w:val="24"/>
        <w:szCs w:val="24"/>
      </w:rPr>
      <w:fldChar w:fldCharType="begin"/>
    </w:r>
    <w:r w:rsidRPr="005E07CB">
      <w:rPr>
        <w:rFonts w:ascii="Times New Roman" w:hAnsi="Times New Roman" w:cs="Times New Roman"/>
        <w:sz w:val="24"/>
        <w:szCs w:val="24"/>
      </w:rPr>
      <w:instrText xml:space="preserve"> PAGE   \* MERGEFORMAT </w:instrText>
    </w:r>
    <w:r w:rsidRPr="005E07CB">
      <w:rPr>
        <w:rFonts w:ascii="Times New Roman" w:hAnsi="Times New Roman" w:cs="Times New Roman"/>
        <w:sz w:val="24"/>
        <w:szCs w:val="24"/>
      </w:rPr>
      <w:fldChar w:fldCharType="separate"/>
    </w:r>
    <w:r w:rsidR="00DF154A">
      <w:rPr>
        <w:rFonts w:ascii="Times New Roman" w:hAnsi="Times New Roman" w:cs="Times New Roman"/>
        <w:noProof/>
        <w:sz w:val="24"/>
        <w:szCs w:val="24"/>
      </w:rPr>
      <w:t>57</w:t>
    </w:r>
    <w:r w:rsidRPr="005E07CB">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2EA2" w14:textId="77777777" w:rsidR="00ED314C" w:rsidRDefault="00ED314C" w:rsidP="000D6C66">
      <w:pPr>
        <w:spacing w:after="0" w:line="240" w:lineRule="auto"/>
      </w:pPr>
      <w:r>
        <w:separator/>
      </w:r>
    </w:p>
  </w:footnote>
  <w:footnote w:type="continuationSeparator" w:id="0">
    <w:p w14:paraId="6F0D42A5" w14:textId="77777777" w:rsidR="00ED314C" w:rsidRDefault="00ED314C" w:rsidP="000D6C66">
      <w:pPr>
        <w:spacing w:after="0" w:line="240" w:lineRule="auto"/>
      </w:pPr>
      <w:r>
        <w:continuationSeparator/>
      </w:r>
    </w:p>
  </w:footnote>
  <w:footnote w:id="1">
    <w:p w14:paraId="5858424D" w14:textId="6EF53E0F" w:rsidR="0072729B" w:rsidRPr="00CD6E11" w:rsidRDefault="0072729B" w:rsidP="0072729B">
      <w:pPr>
        <w:pStyle w:val="FootnoteText"/>
        <w:keepNext/>
        <w:keepLines/>
        <w:pageBreakBefore/>
        <w:rPr>
          <w:rFonts w:ascii="Times New Roman" w:hAnsi="Times New Roman" w:cs="Times New Roman"/>
        </w:rPr>
      </w:pPr>
      <w:r w:rsidRPr="00CD6E11">
        <w:rPr>
          <w:rStyle w:val="FootnoteReference"/>
          <w:rFonts w:ascii="Times New Roman" w:hAnsi="Times New Roman" w:cs="Times New Roman"/>
        </w:rPr>
        <w:footnoteRef/>
      </w:r>
      <w:r w:rsidRPr="00CD6E11">
        <w:rPr>
          <w:rFonts w:ascii="Times New Roman" w:hAnsi="Times New Roman" w:cs="Times New Roman"/>
        </w:rPr>
        <w:t xml:space="preserve"> Information brought to light after this study was completed indicated that students enrolled in the first half of LRNC B530 who appear to be struggling to pass the course frequently are counseled out of the course and into a math lab, likely elevating the first-attempt success rate for the course and distorting comparisons with first-attempt success rates in other courses.  Nevertheless, many of the comparisons of central interest in this study concern students who are successful in the first attempt of their first course, and those comparisons should remain valid unless the practice of counseling-out struggling LRNC B530 students misidentified some students who would have been successful in the first half of LRNC B530 had they not been counseled-out. </w:t>
      </w:r>
    </w:p>
  </w:footnote>
  <w:footnote w:id="2">
    <w:p w14:paraId="7D721304" w14:textId="708ED58F" w:rsidR="0072729B" w:rsidRPr="0072729B" w:rsidRDefault="0072729B" w:rsidP="0072729B">
      <w:pPr>
        <w:pStyle w:val="FootnoteText"/>
        <w:keepNext/>
        <w:keepLines/>
        <w:pageBreakBefore/>
        <w:rPr>
          <w:rFonts w:ascii="Times New Roman" w:hAnsi="Times New Roman" w:cs="Times New Roman"/>
        </w:rPr>
      </w:pPr>
      <w:r w:rsidRPr="0072729B">
        <w:rPr>
          <w:rStyle w:val="FootnoteReference"/>
          <w:rFonts w:ascii="Times New Roman" w:hAnsi="Times New Roman" w:cs="Times New Roman"/>
        </w:rPr>
        <w:footnoteRef/>
      </w:r>
      <w:r w:rsidRPr="0072729B">
        <w:rPr>
          <w:rFonts w:ascii="Times New Roman" w:hAnsi="Times New Roman" w:cs="Times New Roman"/>
        </w:rPr>
        <w:t xml:space="preserve"> As noted earlier, </w:t>
      </w:r>
      <w:r w:rsidRPr="00CD6E11">
        <w:rPr>
          <w:rFonts w:ascii="Times New Roman" w:hAnsi="Times New Roman" w:cs="Times New Roman"/>
        </w:rPr>
        <w:t>information brought to light after this study was completed indicated that students enrolled in the first half of LRNC B530 who appear to be struggling to pass the course frequently are counseled out of the course and into a math lab, likely elevating the first-attempt success rate for the course and distorting comparisons with first-attempt success rates in other courses.  Nevertheless, many of the comparisons of central interest in this study concern students who are successful in the first attempt of their first course, and those comparisons should remain valid unless the practice of counseling-out struggling LRNC B530 students misidentified some students who would have been successful in the first half of LRNC B530 had they not been counseled-out.</w:t>
      </w:r>
    </w:p>
  </w:footnote>
  <w:footnote w:id="3">
    <w:p w14:paraId="61EDC7E1" w14:textId="77777777" w:rsidR="0072729B" w:rsidRPr="00CD6E11" w:rsidRDefault="0072729B" w:rsidP="0072729B">
      <w:pPr>
        <w:pStyle w:val="FootnoteText"/>
        <w:keepNext/>
        <w:keepLines/>
        <w:pageBreakBefore/>
        <w:rPr>
          <w:rFonts w:ascii="Times New Roman" w:hAnsi="Times New Roman" w:cs="Times New Roman"/>
        </w:rPr>
      </w:pPr>
      <w:r w:rsidRPr="00CD6E11">
        <w:rPr>
          <w:rStyle w:val="FootnoteReference"/>
          <w:rFonts w:ascii="Times New Roman" w:hAnsi="Times New Roman" w:cs="Times New Roman"/>
        </w:rPr>
        <w:footnoteRef/>
      </w:r>
      <w:r w:rsidRPr="00CD6E11">
        <w:rPr>
          <w:rFonts w:ascii="Times New Roman" w:hAnsi="Times New Roman" w:cs="Times New Roman"/>
        </w:rPr>
        <w:t xml:space="preserve"> For a math course that is repeated, this “second math course” is the second attempt of the first math course, though it is treated in this analysis as a distinct second course.</w:t>
      </w:r>
    </w:p>
  </w:footnote>
  <w:footnote w:id="4">
    <w:p w14:paraId="4BDBF340" w14:textId="362141AC" w:rsidR="0072729B" w:rsidRPr="0072729B" w:rsidRDefault="0072729B" w:rsidP="0072729B">
      <w:pPr>
        <w:pStyle w:val="FootnoteText"/>
        <w:keepNext/>
        <w:keepLines/>
        <w:pageBreakBefore/>
        <w:rPr>
          <w:rFonts w:ascii="Times New Roman" w:hAnsi="Times New Roman" w:cs="Times New Roman"/>
        </w:rPr>
      </w:pPr>
      <w:r w:rsidRPr="0072729B">
        <w:rPr>
          <w:rStyle w:val="FootnoteReference"/>
          <w:rFonts w:ascii="Times New Roman" w:hAnsi="Times New Roman" w:cs="Times New Roman"/>
        </w:rPr>
        <w:footnoteRef/>
      </w:r>
      <w:r w:rsidRPr="0072729B">
        <w:rPr>
          <w:rFonts w:ascii="Times New Roman" w:hAnsi="Times New Roman" w:cs="Times New Roman"/>
        </w:rPr>
        <w:t xml:space="preserve"> Two consecutive unsuccessful attempts of quantitative courses refers to </w:t>
      </w:r>
      <w:r>
        <w:rPr>
          <w:rFonts w:ascii="Times New Roman" w:hAnsi="Times New Roman" w:cs="Times New Roman"/>
        </w:rPr>
        <w:t xml:space="preserve">a situation in which a student does </w:t>
      </w:r>
      <w:r w:rsidRPr="0072729B">
        <w:rPr>
          <w:rFonts w:ascii="Times New Roman" w:hAnsi="Times New Roman" w:cs="Times New Roman"/>
        </w:rPr>
        <w:t xml:space="preserve">not succeed in </w:t>
      </w:r>
      <w:r>
        <w:rPr>
          <w:rFonts w:ascii="Times New Roman" w:hAnsi="Times New Roman" w:cs="Times New Roman"/>
        </w:rPr>
        <w:t xml:space="preserve">his/her </w:t>
      </w:r>
      <w:r w:rsidRPr="0072729B">
        <w:rPr>
          <w:rFonts w:ascii="Times New Roman" w:hAnsi="Times New Roman" w:cs="Times New Roman"/>
        </w:rPr>
        <w:t xml:space="preserve">first quantitative course, </w:t>
      </w:r>
      <w:r>
        <w:rPr>
          <w:rFonts w:ascii="Times New Roman" w:hAnsi="Times New Roman" w:cs="Times New Roman"/>
        </w:rPr>
        <w:t xml:space="preserve">attempts </w:t>
      </w:r>
      <w:r w:rsidRPr="0072729B">
        <w:rPr>
          <w:rFonts w:ascii="Times New Roman" w:hAnsi="Times New Roman" w:cs="Times New Roman"/>
        </w:rPr>
        <w:t xml:space="preserve">a second quantitative course (including the possibility of repeating the first course), and then </w:t>
      </w:r>
      <w:r>
        <w:rPr>
          <w:rFonts w:ascii="Times New Roman" w:hAnsi="Times New Roman" w:cs="Times New Roman"/>
        </w:rPr>
        <w:t xml:space="preserve">does not succeed </w:t>
      </w:r>
      <w:r w:rsidRPr="0072729B">
        <w:rPr>
          <w:rFonts w:ascii="Times New Roman" w:hAnsi="Times New Roman" w:cs="Times New Roman"/>
        </w:rPr>
        <w:t xml:space="preserve">in </w:t>
      </w:r>
      <w:r>
        <w:rPr>
          <w:rFonts w:ascii="Times New Roman" w:hAnsi="Times New Roman" w:cs="Times New Roman"/>
        </w:rPr>
        <w:t xml:space="preserve">his/her </w:t>
      </w:r>
      <w:r w:rsidRPr="0072729B">
        <w:rPr>
          <w:rFonts w:ascii="Times New Roman" w:hAnsi="Times New Roman" w:cs="Times New Roman"/>
        </w:rPr>
        <w:t>second quantitative</w:t>
      </w:r>
      <w:r>
        <w:rPr>
          <w:rFonts w:ascii="Times New Roman" w:hAnsi="Times New Roman" w:cs="Times New Roman"/>
        </w:rPr>
        <w:t xml:space="preserve"> course</w:t>
      </w:r>
      <w:r w:rsidRPr="0072729B">
        <w:rPr>
          <w:rFonts w:ascii="Times New Roman" w:hAnsi="Times New Roman" w:cs="Times New Roman"/>
        </w:rPr>
        <w:t>.</w:t>
      </w:r>
    </w:p>
  </w:footnote>
  <w:footnote w:id="5">
    <w:p w14:paraId="1CA8BFDC" w14:textId="41052766" w:rsidR="0072729B" w:rsidRPr="00CD6E11" w:rsidRDefault="0072729B" w:rsidP="0072729B">
      <w:pPr>
        <w:pStyle w:val="FootnoteText"/>
        <w:keepNext/>
        <w:keepLines/>
        <w:pageBreakBefore/>
        <w:rPr>
          <w:rFonts w:ascii="Times New Roman" w:hAnsi="Times New Roman" w:cs="Times New Roman"/>
        </w:rPr>
      </w:pPr>
      <w:r w:rsidRPr="00CD6E11">
        <w:rPr>
          <w:rStyle w:val="FootnoteReference"/>
          <w:rFonts w:ascii="Times New Roman" w:hAnsi="Times New Roman" w:cs="Times New Roman"/>
        </w:rPr>
        <w:footnoteRef/>
      </w:r>
      <w:r w:rsidRPr="00CD6E11">
        <w:rPr>
          <w:rFonts w:ascii="Times New Roman" w:hAnsi="Times New Roman" w:cs="Times New Roman"/>
        </w:rPr>
        <w:t xml:space="preserve"> For an English course that is repeated, this “second English course” is the second attempt of the first English course, though it is treated in this analysis as a distinct second course.</w:t>
      </w:r>
    </w:p>
  </w:footnote>
  <w:footnote w:id="6">
    <w:p w14:paraId="64429A31" w14:textId="77777777" w:rsidR="0072729B" w:rsidRPr="00CD6E11" w:rsidRDefault="0072729B" w:rsidP="0072729B">
      <w:pPr>
        <w:pStyle w:val="FootnoteText"/>
        <w:keepNext/>
        <w:keepLines/>
        <w:pageBreakBefore/>
        <w:rPr>
          <w:rFonts w:ascii="Times New Roman" w:hAnsi="Times New Roman" w:cs="Times New Roman"/>
        </w:rPr>
      </w:pPr>
      <w:r w:rsidRPr="00CD6E11">
        <w:rPr>
          <w:rStyle w:val="FootnoteReference"/>
          <w:rFonts w:ascii="Times New Roman" w:hAnsi="Times New Roman" w:cs="Times New Roman"/>
        </w:rPr>
        <w:footnoteRef/>
      </w:r>
      <w:r w:rsidRPr="00CD6E11">
        <w:rPr>
          <w:rFonts w:ascii="Times New Roman" w:hAnsi="Times New Roman" w:cs="Times New Roman"/>
        </w:rPr>
        <w:t xml:space="preserve"> </w:t>
      </w:r>
      <w:r w:rsidRPr="00CD6E11">
        <w:rPr>
          <w:rFonts w:ascii="Times New Roman" w:hAnsi="Times New Roman" w:cs="Times New Roman"/>
          <w:color w:val="000000" w:themeColor="text1"/>
        </w:rPr>
        <w:t xml:space="preserve">Recall that </w:t>
      </w:r>
      <w:r w:rsidRPr="00CD6E11">
        <w:rPr>
          <w:rFonts w:ascii="Times New Roman" w:hAnsi="Times New Roman" w:cs="Times New Roman"/>
          <w:i/>
          <w:color w:val="000000" w:themeColor="text1"/>
        </w:rPr>
        <w:t>throughput</w:t>
      </w:r>
      <w:r w:rsidRPr="00CD6E11">
        <w:rPr>
          <w:rFonts w:ascii="Times New Roman" w:hAnsi="Times New Roman" w:cs="Times New Roman"/>
          <w:color w:val="000000" w:themeColor="text1"/>
        </w:rPr>
        <w:t xml:space="preserve"> is defined in this study as </w:t>
      </w:r>
      <w:r w:rsidRPr="00CD6E11">
        <w:rPr>
          <w:rFonts w:ascii="Times New Roman" w:hAnsi="Times New Roman" w:cs="Times New Roman"/>
        </w:rPr>
        <w:t>the rate at which students in a given group complete a course or courses at a specified level of competency in math or English within a particular time frame.</w:t>
      </w:r>
    </w:p>
  </w:footnote>
  <w:footnote w:id="7">
    <w:p w14:paraId="0B413D13" w14:textId="77777777" w:rsidR="0072729B" w:rsidRPr="00CC7570" w:rsidRDefault="0072729B" w:rsidP="0072729B">
      <w:pPr>
        <w:pStyle w:val="FootnoteText"/>
        <w:keepNext/>
        <w:keepLines/>
        <w:pageBreakBefore/>
        <w:rPr>
          <w:rFonts w:ascii="Times New Roman" w:hAnsi="Times New Roman" w:cs="Times New Roman"/>
        </w:rPr>
      </w:pPr>
      <w:r w:rsidRPr="00CC7570">
        <w:rPr>
          <w:rStyle w:val="FootnoteReference"/>
          <w:rFonts w:ascii="Times New Roman" w:hAnsi="Times New Roman" w:cs="Times New Roman"/>
        </w:rPr>
        <w:footnoteRef/>
      </w:r>
      <w:r w:rsidRPr="00CC7570">
        <w:rPr>
          <w:rFonts w:ascii="Times New Roman" w:hAnsi="Times New Roman" w:cs="Times New Roman"/>
        </w:rPr>
        <w:t xml:space="preserve"> It is important to note again </w:t>
      </w:r>
      <w:r w:rsidRPr="006B69E7">
        <w:rPr>
          <w:rFonts w:ascii="Times New Roman" w:hAnsi="Times New Roman" w:cs="Times New Roman"/>
        </w:rPr>
        <w:t>that information brought to light after this study was completed indicated that students enrolled in the first half of LRNC B530 who appear to be struggling to pass the course frequently are counseled out of the course and into a math lab, likely elevating the first-attempt success rate for the course and distorting comparisons with other courses.  It is unclear how many students in LRNC B530 were affected by this practice.</w:t>
      </w:r>
    </w:p>
  </w:footnote>
  <w:footnote w:id="8">
    <w:p w14:paraId="61AF74B5" w14:textId="1D86814F" w:rsidR="0072729B" w:rsidRPr="0072729B" w:rsidRDefault="0072729B" w:rsidP="0072729B">
      <w:pPr>
        <w:pStyle w:val="FootnoteText"/>
        <w:keepNext/>
        <w:keepLines/>
        <w:pageBreakBefore/>
        <w:rPr>
          <w:rFonts w:ascii="Times New Roman" w:hAnsi="Times New Roman" w:cs="Times New Roman"/>
        </w:rPr>
      </w:pPr>
      <w:r w:rsidRPr="0072729B">
        <w:rPr>
          <w:rStyle w:val="FootnoteReference"/>
          <w:rFonts w:ascii="Times New Roman" w:hAnsi="Times New Roman" w:cs="Times New Roman"/>
        </w:rPr>
        <w:footnoteRef/>
      </w:r>
      <w:r w:rsidRPr="0072729B">
        <w:rPr>
          <w:rFonts w:ascii="Times New Roman" w:hAnsi="Times New Roman" w:cs="Times New Roman"/>
        </w:rPr>
        <w:t xml:space="preserve"> Divide </w:t>
      </w:r>
      <w:r w:rsidRPr="00F63909">
        <w:rPr>
          <w:rFonts w:ascii="Times New Roman" w:hAnsi="Times New Roman" w:cs="Times New Roman"/>
        </w:rPr>
        <w:t xml:space="preserve">[1] </w:t>
      </w:r>
      <w:r w:rsidRPr="0072729B">
        <w:rPr>
          <w:rFonts w:ascii="Times New Roman" w:hAnsi="Times New Roman" w:cs="Times New Roman"/>
        </w:rPr>
        <w:t xml:space="preserve">the </w:t>
      </w:r>
      <w:r>
        <w:rPr>
          <w:rFonts w:ascii="Times New Roman" w:hAnsi="Times New Roman" w:cs="Times New Roman"/>
        </w:rPr>
        <w:t>8</w:t>
      </w:r>
      <w:r w:rsidRPr="0072729B">
        <w:rPr>
          <w:rFonts w:ascii="Times New Roman" w:hAnsi="Times New Roman" w:cs="Times New Roman"/>
        </w:rPr>
        <w:t xml:space="preserve">-percentage-point gap </w:t>
      </w:r>
      <w:r w:rsidRPr="00F63909">
        <w:rPr>
          <w:rFonts w:ascii="Times New Roman" w:hAnsi="Times New Roman" w:cs="Times New Roman"/>
        </w:rPr>
        <w:t xml:space="preserve">in the expected achievement of </w:t>
      </w:r>
      <w:r w:rsidRPr="0072729B">
        <w:rPr>
          <w:rFonts w:ascii="Times New Roman" w:hAnsi="Times New Roman" w:cs="Times New Roman"/>
        </w:rPr>
        <w:t>associate- or transfer-level competency (combined) versus achievement of transfer-level competency (distinct from associate-level)</w:t>
      </w:r>
      <w:r>
        <w:rPr>
          <w:rFonts w:ascii="Times New Roman" w:hAnsi="Times New Roman" w:cs="Times New Roman"/>
        </w:rPr>
        <w:t xml:space="preserve"> for</w:t>
      </w:r>
      <w:r w:rsidRPr="0072729B">
        <w:rPr>
          <w:rFonts w:ascii="Times New Roman" w:hAnsi="Times New Roman" w:cs="Times New Roman"/>
        </w:rPr>
        <w:t xml:space="preserve"> </w:t>
      </w:r>
      <w:r w:rsidRPr="00CC7570">
        <w:rPr>
          <w:rFonts w:ascii="Times New Roman" w:hAnsi="Times New Roman" w:cs="Times New Roman"/>
        </w:rPr>
        <w:t>students entering directly through Math B</w:t>
      </w:r>
      <w:r>
        <w:rPr>
          <w:rFonts w:ascii="Times New Roman" w:hAnsi="Times New Roman" w:cs="Times New Roman"/>
        </w:rPr>
        <w:t>22</w:t>
      </w:r>
      <w:r w:rsidRPr="00CC7570">
        <w:rPr>
          <w:rFonts w:ascii="Times New Roman" w:hAnsi="Times New Roman" w:cs="Times New Roman"/>
        </w:rPr>
        <w:t xml:space="preserve"> </w:t>
      </w:r>
      <w:r w:rsidRPr="0072729B">
        <w:rPr>
          <w:rFonts w:ascii="Times New Roman" w:hAnsi="Times New Roman" w:cs="Times New Roman"/>
        </w:rPr>
        <w:t xml:space="preserve">by [2] the </w:t>
      </w:r>
      <w:r>
        <w:rPr>
          <w:rFonts w:ascii="Times New Roman" w:hAnsi="Times New Roman" w:cs="Times New Roman"/>
        </w:rPr>
        <w:t>73</w:t>
      </w:r>
      <w:r w:rsidRPr="0072729B">
        <w:rPr>
          <w:rFonts w:ascii="Times New Roman" w:hAnsi="Times New Roman" w:cs="Times New Roman"/>
        </w:rPr>
        <w:t>% of students entering directly through Math B</w:t>
      </w:r>
      <w:r>
        <w:rPr>
          <w:rFonts w:ascii="Times New Roman" w:hAnsi="Times New Roman" w:cs="Times New Roman"/>
        </w:rPr>
        <w:t>22</w:t>
      </w:r>
      <w:r w:rsidRPr="0072729B">
        <w:rPr>
          <w:rFonts w:ascii="Times New Roman" w:hAnsi="Times New Roman" w:cs="Times New Roman"/>
        </w:rPr>
        <w:t xml:space="preserve"> who are expected to fail or withdraw from Math B</w:t>
      </w:r>
      <w:r>
        <w:rPr>
          <w:rFonts w:ascii="Times New Roman" w:hAnsi="Times New Roman" w:cs="Times New Roman"/>
        </w:rPr>
        <w:t>22</w:t>
      </w:r>
      <w:r w:rsidRPr="0072729B">
        <w:rPr>
          <w:rFonts w:ascii="Times New Roman" w:hAnsi="Times New Roman" w:cs="Times New Roman"/>
        </w:rPr>
        <w:t xml:space="preserve"> and also fail to </w:t>
      </w:r>
      <w:r>
        <w:rPr>
          <w:rFonts w:ascii="Times New Roman" w:hAnsi="Times New Roman" w:cs="Times New Roman"/>
        </w:rPr>
        <w:t>complete</w:t>
      </w:r>
      <w:r w:rsidRPr="0072729B">
        <w:rPr>
          <w:rFonts w:ascii="Times New Roman" w:hAnsi="Times New Roman" w:cs="Times New Roman"/>
        </w:rPr>
        <w:t xml:space="preserve"> any other transfer-level quantitative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7CE7" w14:textId="15489B4A" w:rsidR="0072729B" w:rsidRPr="005E07CB" w:rsidRDefault="0072729B" w:rsidP="00ED6486">
    <w:pPr>
      <w:pStyle w:val="Header"/>
      <w:jc w:val="right"/>
      <w:rPr>
        <w:rFonts w:ascii="Times New Roman" w:hAnsi="Times New Roman" w:cs="Times New Roman"/>
        <w:sz w:val="24"/>
        <w:szCs w:val="24"/>
      </w:rPr>
    </w:pPr>
    <w:r w:rsidRPr="005E07CB">
      <w:rPr>
        <w:rFonts w:ascii="Times New Roman" w:hAnsi="Times New Roman" w:cs="Times New Roman"/>
        <w:sz w:val="24"/>
        <w:szCs w:val="24"/>
      </w:rPr>
      <w:t xml:space="preserve">Bahr / Revised </w:t>
    </w:r>
    <w:r>
      <w:rPr>
        <w:rFonts w:ascii="Times New Roman" w:hAnsi="Times New Roman" w:cs="Times New Roman"/>
        <w:sz w:val="24"/>
        <w:szCs w:val="24"/>
      </w:rPr>
      <w:t>October 26</w:t>
    </w:r>
    <w:r w:rsidRPr="005E07CB">
      <w:rPr>
        <w:rFonts w:ascii="Times New Roman" w:hAnsi="Times New Roman" w:cs="Times New Roman"/>
        <w:sz w:val="24"/>
        <w:szCs w:val="24"/>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6470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75287"/>
    <w:multiLevelType w:val="hybridMultilevel"/>
    <w:tmpl w:val="7414C7B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D5CC1"/>
    <w:multiLevelType w:val="hybridMultilevel"/>
    <w:tmpl w:val="855CA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30F42"/>
    <w:multiLevelType w:val="hybridMultilevel"/>
    <w:tmpl w:val="E2DCB08C"/>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9416966"/>
    <w:multiLevelType w:val="hybridMultilevel"/>
    <w:tmpl w:val="7F98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36C62"/>
    <w:multiLevelType w:val="hybridMultilevel"/>
    <w:tmpl w:val="D3CE2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5160E"/>
    <w:multiLevelType w:val="hybridMultilevel"/>
    <w:tmpl w:val="7A6633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76E14"/>
    <w:multiLevelType w:val="hybridMultilevel"/>
    <w:tmpl w:val="855CA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338EA"/>
    <w:multiLevelType w:val="hybridMultilevel"/>
    <w:tmpl w:val="E2DCB08C"/>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D9D7FE6"/>
    <w:multiLevelType w:val="hybridMultilevel"/>
    <w:tmpl w:val="C568E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40405"/>
    <w:multiLevelType w:val="hybridMultilevel"/>
    <w:tmpl w:val="D3CE2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D0536"/>
    <w:multiLevelType w:val="hybridMultilevel"/>
    <w:tmpl w:val="855CA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73B91"/>
    <w:multiLevelType w:val="hybridMultilevel"/>
    <w:tmpl w:val="F4ECBD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5A97214"/>
    <w:multiLevelType w:val="hybridMultilevel"/>
    <w:tmpl w:val="C568E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3651B"/>
    <w:multiLevelType w:val="hybridMultilevel"/>
    <w:tmpl w:val="855CA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D0E8C"/>
    <w:multiLevelType w:val="hybridMultilevel"/>
    <w:tmpl w:val="684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A7684"/>
    <w:multiLevelType w:val="multilevel"/>
    <w:tmpl w:val="EAAA264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0"/>
  </w:num>
  <w:num w:numId="2">
    <w:abstractNumId w:val="16"/>
  </w:num>
  <w:num w:numId="3">
    <w:abstractNumId w:val="4"/>
  </w:num>
  <w:num w:numId="4">
    <w:abstractNumId w:val="15"/>
  </w:num>
  <w:num w:numId="5">
    <w:abstractNumId w:val="7"/>
  </w:num>
  <w:num w:numId="6">
    <w:abstractNumId w:val="11"/>
  </w:num>
  <w:num w:numId="7">
    <w:abstractNumId w:val="6"/>
  </w:num>
  <w:num w:numId="8">
    <w:abstractNumId w:val="2"/>
  </w:num>
  <w:num w:numId="9">
    <w:abstractNumId w:val="5"/>
  </w:num>
  <w:num w:numId="10">
    <w:abstractNumId w:val="14"/>
  </w:num>
  <w:num w:numId="11">
    <w:abstractNumId w:val="3"/>
  </w:num>
  <w:num w:numId="12">
    <w:abstractNumId w:val="1"/>
  </w:num>
  <w:num w:numId="13">
    <w:abstractNumId w:val="8"/>
  </w:num>
  <w:num w:numId="14">
    <w:abstractNumId w:val="0"/>
  </w:num>
  <w:num w:numId="15">
    <w:abstractNumId w:val="12"/>
  </w:num>
  <w:num w:numId="16">
    <w:abstractNumId w:val="9"/>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95"/>
    <w:rsid w:val="00000BDE"/>
    <w:rsid w:val="00001FA1"/>
    <w:rsid w:val="000040F6"/>
    <w:rsid w:val="0000413C"/>
    <w:rsid w:val="000041F7"/>
    <w:rsid w:val="000043D0"/>
    <w:rsid w:val="0000561C"/>
    <w:rsid w:val="000069B7"/>
    <w:rsid w:val="000069F4"/>
    <w:rsid w:val="0000712D"/>
    <w:rsid w:val="00007311"/>
    <w:rsid w:val="00011034"/>
    <w:rsid w:val="00013006"/>
    <w:rsid w:val="000136FD"/>
    <w:rsid w:val="00013A92"/>
    <w:rsid w:val="000145E0"/>
    <w:rsid w:val="000146CD"/>
    <w:rsid w:val="000179F1"/>
    <w:rsid w:val="00017DA1"/>
    <w:rsid w:val="0002110A"/>
    <w:rsid w:val="0002473E"/>
    <w:rsid w:val="0002547E"/>
    <w:rsid w:val="0002624E"/>
    <w:rsid w:val="00026E30"/>
    <w:rsid w:val="0002794A"/>
    <w:rsid w:val="000356C1"/>
    <w:rsid w:val="00037B5E"/>
    <w:rsid w:val="000414C2"/>
    <w:rsid w:val="0004314E"/>
    <w:rsid w:val="00043648"/>
    <w:rsid w:val="00046697"/>
    <w:rsid w:val="00050B55"/>
    <w:rsid w:val="00056C55"/>
    <w:rsid w:val="0006441E"/>
    <w:rsid w:val="00066F39"/>
    <w:rsid w:val="000676D9"/>
    <w:rsid w:val="00067CD2"/>
    <w:rsid w:val="0007131D"/>
    <w:rsid w:val="00072536"/>
    <w:rsid w:val="00075141"/>
    <w:rsid w:val="000758A3"/>
    <w:rsid w:val="00076064"/>
    <w:rsid w:val="00076125"/>
    <w:rsid w:val="0007703B"/>
    <w:rsid w:val="00077BE5"/>
    <w:rsid w:val="00087F0F"/>
    <w:rsid w:val="000915B7"/>
    <w:rsid w:val="00096CDF"/>
    <w:rsid w:val="00097F12"/>
    <w:rsid w:val="000A34FF"/>
    <w:rsid w:val="000A5449"/>
    <w:rsid w:val="000A694B"/>
    <w:rsid w:val="000B073A"/>
    <w:rsid w:val="000B2232"/>
    <w:rsid w:val="000B247D"/>
    <w:rsid w:val="000B319B"/>
    <w:rsid w:val="000B3763"/>
    <w:rsid w:val="000B4534"/>
    <w:rsid w:val="000B4DDB"/>
    <w:rsid w:val="000B6413"/>
    <w:rsid w:val="000C031E"/>
    <w:rsid w:val="000C0917"/>
    <w:rsid w:val="000C18F3"/>
    <w:rsid w:val="000C312F"/>
    <w:rsid w:val="000C3BAD"/>
    <w:rsid w:val="000C52A8"/>
    <w:rsid w:val="000C580F"/>
    <w:rsid w:val="000C601D"/>
    <w:rsid w:val="000C6BDA"/>
    <w:rsid w:val="000C7134"/>
    <w:rsid w:val="000D19FA"/>
    <w:rsid w:val="000D1C6A"/>
    <w:rsid w:val="000D25FF"/>
    <w:rsid w:val="000D3729"/>
    <w:rsid w:val="000D6C66"/>
    <w:rsid w:val="000D7196"/>
    <w:rsid w:val="000D799A"/>
    <w:rsid w:val="000E0050"/>
    <w:rsid w:val="000E0BC8"/>
    <w:rsid w:val="000E10BA"/>
    <w:rsid w:val="000E2E70"/>
    <w:rsid w:val="000E37AE"/>
    <w:rsid w:val="000E44DB"/>
    <w:rsid w:val="000E5B41"/>
    <w:rsid w:val="000E6480"/>
    <w:rsid w:val="000E727B"/>
    <w:rsid w:val="000E7C8F"/>
    <w:rsid w:val="000F2CC3"/>
    <w:rsid w:val="000F60A3"/>
    <w:rsid w:val="00100702"/>
    <w:rsid w:val="00107454"/>
    <w:rsid w:val="001115F3"/>
    <w:rsid w:val="00111CDF"/>
    <w:rsid w:val="00111D52"/>
    <w:rsid w:val="00114333"/>
    <w:rsid w:val="00115561"/>
    <w:rsid w:val="001155F6"/>
    <w:rsid w:val="0011589B"/>
    <w:rsid w:val="00116D4A"/>
    <w:rsid w:val="001202F9"/>
    <w:rsid w:val="0012261E"/>
    <w:rsid w:val="001230A5"/>
    <w:rsid w:val="001242D4"/>
    <w:rsid w:val="00124C92"/>
    <w:rsid w:val="00125354"/>
    <w:rsid w:val="00130CA0"/>
    <w:rsid w:val="00130FC9"/>
    <w:rsid w:val="00131A81"/>
    <w:rsid w:val="00131C9E"/>
    <w:rsid w:val="001320DA"/>
    <w:rsid w:val="001335AE"/>
    <w:rsid w:val="00134142"/>
    <w:rsid w:val="0013463A"/>
    <w:rsid w:val="00135D59"/>
    <w:rsid w:val="00137E66"/>
    <w:rsid w:val="00141953"/>
    <w:rsid w:val="00143D4B"/>
    <w:rsid w:val="001447F1"/>
    <w:rsid w:val="00145990"/>
    <w:rsid w:val="001468A2"/>
    <w:rsid w:val="0014697F"/>
    <w:rsid w:val="00146DCA"/>
    <w:rsid w:val="0014760D"/>
    <w:rsid w:val="0015329F"/>
    <w:rsid w:val="00154843"/>
    <w:rsid w:val="001619D5"/>
    <w:rsid w:val="0016217E"/>
    <w:rsid w:val="00163AC5"/>
    <w:rsid w:val="00165394"/>
    <w:rsid w:val="00165721"/>
    <w:rsid w:val="001661A8"/>
    <w:rsid w:val="001672FF"/>
    <w:rsid w:val="00170510"/>
    <w:rsid w:val="001709D6"/>
    <w:rsid w:val="00170FC4"/>
    <w:rsid w:val="00171245"/>
    <w:rsid w:val="001722C6"/>
    <w:rsid w:val="00172672"/>
    <w:rsid w:val="00175552"/>
    <w:rsid w:val="00175642"/>
    <w:rsid w:val="00175B63"/>
    <w:rsid w:val="00177D09"/>
    <w:rsid w:val="00177D55"/>
    <w:rsid w:val="00180771"/>
    <w:rsid w:val="001813EC"/>
    <w:rsid w:val="001838DE"/>
    <w:rsid w:val="00183E35"/>
    <w:rsid w:val="0019154A"/>
    <w:rsid w:val="00191BF2"/>
    <w:rsid w:val="00192549"/>
    <w:rsid w:val="001962A0"/>
    <w:rsid w:val="001965EE"/>
    <w:rsid w:val="001973CF"/>
    <w:rsid w:val="001977AB"/>
    <w:rsid w:val="001977EA"/>
    <w:rsid w:val="001A0C17"/>
    <w:rsid w:val="001A30D6"/>
    <w:rsid w:val="001A3430"/>
    <w:rsid w:val="001A4A57"/>
    <w:rsid w:val="001A67CA"/>
    <w:rsid w:val="001B32C7"/>
    <w:rsid w:val="001B63A6"/>
    <w:rsid w:val="001B6637"/>
    <w:rsid w:val="001C00B5"/>
    <w:rsid w:val="001C1164"/>
    <w:rsid w:val="001C35B3"/>
    <w:rsid w:val="001C5187"/>
    <w:rsid w:val="001C724D"/>
    <w:rsid w:val="001C728B"/>
    <w:rsid w:val="001C7C7B"/>
    <w:rsid w:val="001D23B0"/>
    <w:rsid w:val="001D2B18"/>
    <w:rsid w:val="001D2B3B"/>
    <w:rsid w:val="001D2B50"/>
    <w:rsid w:val="001D307A"/>
    <w:rsid w:val="001D3B8A"/>
    <w:rsid w:val="001D63F3"/>
    <w:rsid w:val="001D7DCF"/>
    <w:rsid w:val="001E2623"/>
    <w:rsid w:val="001E7971"/>
    <w:rsid w:val="001F042F"/>
    <w:rsid w:val="001F10E1"/>
    <w:rsid w:val="001F2A10"/>
    <w:rsid w:val="001F2F5F"/>
    <w:rsid w:val="001F3F47"/>
    <w:rsid w:val="001F5B30"/>
    <w:rsid w:val="001F61C8"/>
    <w:rsid w:val="00200C24"/>
    <w:rsid w:val="00200D50"/>
    <w:rsid w:val="00201A0F"/>
    <w:rsid w:val="00203456"/>
    <w:rsid w:val="00203529"/>
    <w:rsid w:val="00206CC0"/>
    <w:rsid w:val="00212513"/>
    <w:rsid w:val="00212B4E"/>
    <w:rsid w:val="00212BB4"/>
    <w:rsid w:val="00212D97"/>
    <w:rsid w:val="00213F83"/>
    <w:rsid w:val="0021572F"/>
    <w:rsid w:val="00215B42"/>
    <w:rsid w:val="00216DCA"/>
    <w:rsid w:val="00217775"/>
    <w:rsid w:val="00220F1C"/>
    <w:rsid w:val="00223829"/>
    <w:rsid w:val="00225BB2"/>
    <w:rsid w:val="00227133"/>
    <w:rsid w:val="00227341"/>
    <w:rsid w:val="002278C0"/>
    <w:rsid w:val="00230221"/>
    <w:rsid w:val="00230ED3"/>
    <w:rsid w:val="00231198"/>
    <w:rsid w:val="002320C7"/>
    <w:rsid w:val="0023313A"/>
    <w:rsid w:val="00234C96"/>
    <w:rsid w:val="00234D33"/>
    <w:rsid w:val="00235345"/>
    <w:rsid w:val="0023605C"/>
    <w:rsid w:val="00237AF9"/>
    <w:rsid w:val="00240D73"/>
    <w:rsid w:val="002415A9"/>
    <w:rsid w:val="00241CA0"/>
    <w:rsid w:val="00241F3F"/>
    <w:rsid w:val="00242B44"/>
    <w:rsid w:val="00242E9E"/>
    <w:rsid w:val="00243E2B"/>
    <w:rsid w:val="002448D3"/>
    <w:rsid w:val="0024664C"/>
    <w:rsid w:val="00247061"/>
    <w:rsid w:val="002471CA"/>
    <w:rsid w:val="00247F85"/>
    <w:rsid w:val="00252318"/>
    <w:rsid w:val="00253445"/>
    <w:rsid w:val="00255F6E"/>
    <w:rsid w:val="00256A67"/>
    <w:rsid w:val="00256CE4"/>
    <w:rsid w:val="00257B30"/>
    <w:rsid w:val="002603A7"/>
    <w:rsid w:val="00261A4D"/>
    <w:rsid w:val="0026336F"/>
    <w:rsid w:val="00263ECA"/>
    <w:rsid w:val="002665F2"/>
    <w:rsid w:val="0026767E"/>
    <w:rsid w:val="00271D5D"/>
    <w:rsid w:val="002724B8"/>
    <w:rsid w:val="00274693"/>
    <w:rsid w:val="00275537"/>
    <w:rsid w:val="0027590F"/>
    <w:rsid w:val="00276DDF"/>
    <w:rsid w:val="00277973"/>
    <w:rsid w:val="00280860"/>
    <w:rsid w:val="00280A74"/>
    <w:rsid w:val="0028111B"/>
    <w:rsid w:val="00281BFF"/>
    <w:rsid w:val="00282C3C"/>
    <w:rsid w:val="002843C2"/>
    <w:rsid w:val="00284A24"/>
    <w:rsid w:val="002863D9"/>
    <w:rsid w:val="00286C2D"/>
    <w:rsid w:val="0028763C"/>
    <w:rsid w:val="002879AE"/>
    <w:rsid w:val="00290761"/>
    <w:rsid w:val="0029271C"/>
    <w:rsid w:val="0029387A"/>
    <w:rsid w:val="0029460B"/>
    <w:rsid w:val="002947EC"/>
    <w:rsid w:val="00294F0E"/>
    <w:rsid w:val="002A10D7"/>
    <w:rsid w:val="002A1348"/>
    <w:rsid w:val="002A167B"/>
    <w:rsid w:val="002A16DD"/>
    <w:rsid w:val="002A25BE"/>
    <w:rsid w:val="002A2B5F"/>
    <w:rsid w:val="002A3A71"/>
    <w:rsid w:val="002A4B0C"/>
    <w:rsid w:val="002A4CD8"/>
    <w:rsid w:val="002A55C2"/>
    <w:rsid w:val="002A5CA7"/>
    <w:rsid w:val="002A66A8"/>
    <w:rsid w:val="002B0F23"/>
    <w:rsid w:val="002B1ABE"/>
    <w:rsid w:val="002B3E54"/>
    <w:rsid w:val="002B440D"/>
    <w:rsid w:val="002B50B5"/>
    <w:rsid w:val="002B562A"/>
    <w:rsid w:val="002B587F"/>
    <w:rsid w:val="002B6788"/>
    <w:rsid w:val="002B7A20"/>
    <w:rsid w:val="002C03A1"/>
    <w:rsid w:val="002C06D7"/>
    <w:rsid w:val="002C1DB6"/>
    <w:rsid w:val="002C30D7"/>
    <w:rsid w:val="002C4797"/>
    <w:rsid w:val="002C5E68"/>
    <w:rsid w:val="002C6229"/>
    <w:rsid w:val="002C63EE"/>
    <w:rsid w:val="002C7B08"/>
    <w:rsid w:val="002D2AE1"/>
    <w:rsid w:val="002D4049"/>
    <w:rsid w:val="002D4293"/>
    <w:rsid w:val="002D6838"/>
    <w:rsid w:val="002D6EC9"/>
    <w:rsid w:val="002D7613"/>
    <w:rsid w:val="002D7910"/>
    <w:rsid w:val="002D79F8"/>
    <w:rsid w:val="002E002E"/>
    <w:rsid w:val="002E0177"/>
    <w:rsid w:val="002E23D6"/>
    <w:rsid w:val="002E3641"/>
    <w:rsid w:val="002E63BA"/>
    <w:rsid w:val="002E6B8C"/>
    <w:rsid w:val="002E7848"/>
    <w:rsid w:val="002F1633"/>
    <w:rsid w:val="002F49F8"/>
    <w:rsid w:val="002F5994"/>
    <w:rsid w:val="002F59B3"/>
    <w:rsid w:val="0030071F"/>
    <w:rsid w:val="00302084"/>
    <w:rsid w:val="0030228C"/>
    <w:rsid w:val="003023D3"/>
    <w:rsid w:val="003065FC"/>
    <w:rsid w:val="00311F7C"/>
    <w:rsid w:val="00315CF2"/>
    <w:rsid w:val="00316FCE"/>
    <w:rsid w:val="00320454"/>
    <w:rsid w:val="00320A08"/>
    <w:rsid w:val="0032112F"/>
    <w:rsid w:val="003220EC"/>
    <w:rsid w:val="00323CF0"/>
    <w:rsid w:val="00325311"/>
    <w:rsid w:val="0032537D"/>
    <w:rsid w:val="00327F42"/>
    <w:rsid w:val="003321CD"/>
    <w:rsid w:val="00332348"/>
    <w:rsid w:val="003337D0"/>
    <w:rsid w:val="003344BA"/>
    <w:rsid w:val="00336FFB"/>
    <w:rsid w:val="00340CD5"/>
    <w:rsid w:val="0034161B"/>
    <w:rsid w:val="00341B40"/>
    <w:rsid w:val="003430DA"/>
    <w:rsid w:val="003433BA"/>
    <w:rsid w:val="00344240"/>
    <w:rsid w:val="0034557E"/>
    <w:rsid w:val="0034640E"/>
    <w:rsid w:val="0034666C"/>
    <w:rsid w:val="00347697"/>
    <w:rsid w:val="0035075B"/>
    <w:rsid w:val="003507BF"/>
    <w:rsid w:val="00351652"/>
    <w:rsid w:val="00354B17"/>
    <w:rsid w:val="00356AD5"/>
    <w:rsid w:val="003625EF"/>
    <w:rsid w:val="00364750"/>
    <w:rsid w:val="003653B8"/>
    <w:rsid w:val="00366AF7"/>
    <w:rsid w:val="00366C67"/>
    <w:rsid w:val="00370702"/>
    <w:rsid w:val="003713CA"/>
    <w:rsid w:val="00371EBE"/>
    <w:rsid w:val="0037331B"/>
    <w:rsid w:val="00375B41"/>
    <w:rsid w:val="00376759"/>
    <w:rsid w:val="0038249B"/>
    <w:rsid w:val="003831B5"/>
    <w:rsid w:val="0038410E"/>
    <w:rsid w:val="003843B0"/>
    <w:rsid w:val="003858E8"/>
    <w:rsid w:val="00385C0E"/>
    <w:rsid w:val="00386A28"/>
    <w:rsid w:val="00386BDD"/>
    <w:rsid w:val="003913F7"/>
    <w:rsid w:val="00392EAB"/>
    <w:rsid w:val="00393A67"/>
    <w:rsid w:val="00393E58"/>
    <w:rsid w:val="003A083F"/>
    <w:rsid w:val="003A2D54"/>
    <w:rsid w:val="003A33A2"/>
    <w:rsid w:val="003A415A"/>
    <w:rsid w:val="003A6750"/>
    <w:rsid w:val="003A6C31"/>
    <w:rsid w:val="003B08B2"/>
    <w:rsid w:val="003B0D64"/>
    <w:rsid w:val="003B1288"/>
    <w:rsid w:val="003B23C6"/>
    <w:rsid w:val="003B23D1"/>
    <w:rsid w:val="003B38A0"/>
    <w:rsid w:val="003B3F69"/>
    <w:rsid w:val="003B40C4"/>
    <w:rsid w:val="003B4624"/>
    <w:rsid w:val="003B4AD4"/>
    <w:rsid w:val="003B4DA9"/>
    <w:rsid w:val="003B52F3"/>
    <w:rsid w:val="003B5D9E"/>
    <w:rsid w:val="003B6314"/>
    <w:rsid w:val="003B78DA"/>
    <w:rsid w:val="003C20AF"/>
    <w:rsid w:val="003C34E2"/>
    <w:rsid w:val="003C353D"/>
    <w:rsid w:val="003C5F36"/>
    <w:rsid w:val="003C6BEB"/>
    <w:rsid w:val="003C6CB8"/>
    <w:rsid w:val="003C729E"/>
    <w:rsid w:val="003D0A98"/>
    <w:rsid w:val="003D24EF"/>
    <w:rsid w:val="003D43F5"/>
    <w:rsid w:val="003D4F0E"/>
    <w:rsid w:val="003D5967"/>
    <w:rsid w:val="003D70DF"/>
    <w:rsid w:val="003E27C5"/>
    <w:rsid w:val="003E289E"/>
    <w:rsid w:val="003E6F1C"/>
    <w:rsid w:val="003F1679"/>
    <w:rsid w:val="003F3CA2"/>
    <w:rsid w:val="003F52F5"/>
    <w:rsid w:val="003F55D3"/>
    <w:rsid w:val="003F5F4C"/>
    <w:rsid w:val="003F6929"/>
    <w:rsid w:val="003F692A"/>
    <w:rsid w:val="004007EB"/>
    <w:rsid w:val="00401203"/>
    <w:rsid w:val="00401AF3"/>
    <w:rsid w:val="00401FC5"/>
    <w:rsid w:val="00403016"/>
    <w:rsid w:val="00403538"/>
    <w:rsid w:val="004051C9"/>
    <w:rsid w:val="004060C0"/>
    <w:rsid w:val="00407033"/>
    <w:rsid w:val="00410381"/>
    <w:rsid w:val="00410562"/>
    <w:rsid w:val="00411E2A"/>
    <w:rsid w:val="0041368C"/>
    <w:rsid w:val="00414DAA"/>
    <w:rsid w:val="004156B3"/>
    <w:rsid w:val="00415FED"/>
    <w:rsid w:val="004173B5"/>
    <w:rsid w:val="0041775B"/>
    <w:rsid w:val="00417CE6"/>
    <w:rsid w:val="00417F76"/>
    <w:rsid w:val="00420C76"/>
    <w:rsid w:val="00421A2A"/>
    <w:rsid w:val="00422E56"/>
    <w:rsid w:val="00423143"/>
    <w:rsid w:val="00423D07"/>
    <w:rsid w:val="004242BE"/>
    <w:rsid w:val="0042438C"/>
    <w:rsid w:val="00424684"/>
    <w:rsid w:val="00424BBC"/>
    <w:rsid w:val="00425883"/>
    <w:rsid w:val="00426511"/>
    <w:rsid w:val="00426CA2"/>
    <w:rsid w:val="00426E19"/>
    <w:rsid w:val="00427118"/>
    <w:rsid w:val="00432CB5"/>
    <w:rsid w:val="00433B67"/>
    <w:rsid w:val="004342B1"/>
    <w:rsid w:val="00435388"/>
    <w:rsid w:val="00436AB9"/>
    <w:rsid w:val="00436F44"/>
    <w:rsid w:val="00436FD7"/>
    <w:rsid w:val="00437A97"/>
    <w:rsid w:val="00437B0C"/>
    <w:rsid w:val="004412DF"/>
    <w:rsid w:val="00441731"/>
    <w:rsid w:val="00441E14"/>
    <w:rsid w:val="0044200A"/>
    <w:rsid w:val="004423C5"/>
    <w:rsid w:val="00442BBF"/>
    <w:rsid w:val="004443F5"/>
    <w:rsid w:val="00446B85"/>
    <w:rsid w:val="0045192C"/>
    <w:rsid w:val="00452ED9"/>
    <w:rsid w:val="00453C06"/>
    <w:rsid w:val="00454403"/>
    <w:rsid w:val="00454B6D"/>
    <w:rsid w:val="00455747"/>
    <w:rsid w:val="00457323"/>
    <w:rsid w:val="00460104"/>
    <w:rsid w:val="00460FEF"/>
    <w:rsid w:val="00461C9E"/>
    <w:rsid w:val="00461D2D"/>
    <w:rsid w:val="00462783"/>
    <w:rsid w:val="00464B9D"/>
    <w:rsid w:val="0046529B"/>
    <w:rsid w:val="004659F6"/>
    <w:rsid w:val="0046660B"/>
    <w:rsid w:val="004667BB"/>
    <w:rsid w:val="0047530C"/>
    <w:rsid w:val="004754C6"/>
    <w:rsid w:val="00475FF4"/>
    <w:rsid w:val="00483A16"/>
    <w:rsid w:val="004865CA"/>
    <w:rsid w:val="00487D31"/>
    <w:rsid w:val="00491623"/>
    <w:rsid w:val="0049208B"/>
    <w:rsid w:val="0049279E"/>
    <w:rsid w:val="004934C9"/>
    <w:rsid w:val="00493C4B"/>
    <w:rsid w:val="00494E8F"/>
    <w:rsid w:val="00495E69"/>
    <w:rsid w:val="00497486"/>
    <w:rsid w:val="004A12A1"/>
    <w:rsid w:val="004A4365"/>
    <w:rsid w:val="004A5127"/>
    <w:rsid w:val="004A6BFB"/>
    <w:rsid w:val="004B52C8"/>
    <w:rsid w:val="004B702D"/>
    <w:rsid w:val="004C0730"/>
    <w:rsid w:val="004C0CD1"/>
    <w:rsid w:val="004D1011"/>
    <w:rsid w:val="004D169C"/>
    <w:rsid w:val="004D2C6E"/>
    <w:rsid w:val="004D4B31"/>
    <w:rsid w:val="004D69CA"/>
    <w:rsid w:val="004E1225"/>
    <w:rsid w:val="004E5409"/>
    <w:rsid w:val="004E59B0"/>
    <w:rsid w:val="004E7C71"/>
    <w:rsid w:val="004E7E43"/>
    <w:rsid w:val="004E7EFD"/>
    <w:rsid w:val="004F1906"/>
    <w:rsid w:val="004F3195"/>
    <w:rsid w:val="004F5D12"/>
    <w:rsid w:val="004F61FA"/>
    <w:rsid w:val="004F715D"/>
    <w:rsid w:val="004F7CDE"/>
    <w:rsid w:val="004F7DA7"/>
    <w:rsid w:val="00500A49"/>
    <w:rsid w:val="00503460"/>
    <w:rsid w:val="005040AD"/>
    <w:rsid w:val="005054AC"/>
    <w:rsid w:val="00506022"/>
    <w:rsid w:val="005062E3"/>
    <w:rsid w:val="00506442"/>
    <w:rsid w:val="00511F89"/>
    <w:rsid w:val="0051272A"/>
    <w:rsid w:val="00512752"/>
    <w:rsid w:val="005148F5"/>
    <w:rsid w:val="00514C94"/>
    <w:rsid w:val="0051723A"/>
    <w:rsid w:val="005216C8"/>
    <w:rsid w:val="00522BA6"/>
    <w:rsid w:val="00522BC0"/>
    <w:rsid w:val="00523FB6"/>
    <w:rsid w:val="00523FED"/>
    <w:rsid w:val="0052464A"/>
    <w:rsid w:val="0052571D"/>
    <w:rsid w:val="005260E3"/>
    <w:rsid w:val="0052713F"/>
    <w:rsid w:val="005312E4"/>
    <w:rsid w:val="00531BCE"/>
    <w:rsid w:val="00531D18"/>
    <w:rsid w:val="0053424F"/>
    <w:rsid w:val="0053614F"/>
    <w:rsid w:val="005361A4"/>
    <w:rsid w:val="005401E4"/>
    <w:rsid w:val="00540381"/>
    <w:rsid w:val="00542A1A"/>
    <w:rsid w:val="0054312A"/>
    <w:rsid w:val="005459CC"/>
    <w:rsid w:val="00546F8F"/>
    <w:rsid w:val="00553084"/>
    <w:rsid w:val="005540E3"/>
    <w:rsid w:val="0055432C"/>
    <w:rsid w:val="00554894"/>
    <w:rsid w:val="0055588B"/>
    <w:rsid w:val="00557B10"/>
    <w:rsid w:val="00561299"/>
    <w:rsid w:val="00563771"/>
    <w:rsid w:val="005649F1"/>
    <w:rsid w:val="0056643A"/>
    <w:rsid w:val="00567CED"/>
    <w:rsid w:val="00567E6A"/>
    <w:rsid w:val="00570973"/>
    <w:rsid w:val="00571038"/>
    <w:rsid w:val="005754A0"/>
    <w:rsid w:val="00580784"/>
    <w:rsid w:val="00580C81"/>
    <w:rsid w:val="00583A7B"/>
    <w:rsid w:val="00583C67"/>
    <w:rsid w:val="00584909"/>
    <w:rsid w:val="00587F1A"/>
    <w:rsid w:val="00591D4C"/>
    <w:rsid w:val="00591E06"/>
    <w:rsid w:val="00592F0B"/>
    <w:rsid w:val="00593A2E"/>
    <w:rsid w:val="0059566C"/>
    <w:rsid w:val="0059594D"/>
    <w:rsid w:val="00595BB2"/>
    <w:rsid w:val="00595C91"/>
    <w:rsid w:val="00596FAB"/>
    <w:rsid w:val="005974E6"/>
    <w:rsid w:val="005A0739"/>
    <w:rsid w:val="005A1556"/>
    <w:rsid w:val="005A2E47"/>
    <w:rsid w:val="005A5444"/>
    <w:rsid w:val="005A5A60"/>
    <w:rsid w:val="005A6B2D"/>
    <w:rsid w:val="005B0B84"/>
    <w:rsid w:val="005B11CF"/>
    <w:rsid w:val="005B1E9A"/>
    <w:rsid w:val="005B2028"/>
    <w:rsid w:val="005B2164"/>
    <w:rsid w:val="005B3553"/>
    <w:rsid w:val="005B3CF3"/>
    <w:rsid w:val="005B3F84"/>
    <w:rsid w:val="005B54DB"/>
    <w:rsid w:val="005C2B07"/>
    <w:rsid w:val="005C2E2A"/>
    <w:rsid w:val="005C31C7"/>
    <w:rsid w:val="005C3DAC"/>
    <w:rsid w:val="005C63AD"/>
    <w:rsid w:val="005D1527"/>
    <w:rsid w:val="005D2B3E"/>
    <w:rsid w:val="005D4B80"/>
    <w:rsid w:val="005D6B99"/>
    <w:rsid w:val="005D6C48"/>
    <w:rsid w:val="005E07CB"/>
    <w:rsid w:val="005E08B9"/>
    <w:rsid w:val="005E1A8E"/>
    <w:rsid w:val="005E420C"/>
    <w:rsid w:val="005E53E2"/>
    <w:rsid w:val="005E69D5"/>
    <w:rsid w:val="005E6D6A"/>
    <w:rsid w:val="005F1076"/>
    <w:rsid w:val="005F14AA"/>
    <w:rsid w:val="005F2DB6"/>
    <w:rsid w:val="005F5159"/>
    <w:rsid w:val="005F55D9"/>
    <w:rsid w:val="005F6BDB"/>
    <w:rsid w:val="00600DFC"/>
    <w:rsid w:val="0060255C"/>
    <w:rsid w:val="00602C32"/>
    <w:rsid w:val="006045A1"/>
    <w:rsid w:val="00604D2B"/>
    <w:rsid w:val="006064FE"/>
    <w:rsid w:val="00611E6E"/>
    <w:rsid w:val="006126F2"/>
    <w:rsid w:val="00614045"/>
    <w:rsid w:val="006144EB"/>
    <w:rsid w:val="0061674B"/>
    <w:rsid w:val="00616AA1"/>
    <w:rsid w:val="0061741F"/>
    <w:rsid w:val="00617A2D"/>
    <w:rsid w:val="00620665"/>
    <w:rsid w:val="0062355B"/>
    <w:rsid w:val="00624D95"/>
    <w:rsid w:val="00625D4F"/>
    <w:rsid w:val="00625EAA"/>
    <w:rsid w:val="006278CD"/>
    <w:rsid w:val="00630D9E"/>
    <w:rsid w:val="00631DD4"/>
    <w:rsid w:val="0063295F"/>
    <w:rsid w:val="00632B82"/>
    <w:rsid w:val="00633507"/>
    <w:rsid w:val="00633968"/>
    <w:rsid w:val="00634901"/>
    <w:rsid w:val="00635827"/>
    <w:rsid w:val="006367E4"/>
    <w:rsid w:val="006378A4"/>
    <w:rsid w:val="00640433"/>
    <w:rsid w:val="0064067A"/>
    <w:rsid w:val="00640C53"/>
    <w:rsid w:val="00640E28"/>
    <w:rsid w:val="00641DBB"/>
    <w:rsid w:val="006429DB"/>
    <w:rsid w:val="0064339B"/>
    <w:rsid w:val="00643525"/>
    <w:rsid w:val="0064384A"/>
    <w:rsid w:val="00643D51"/>
    <w:rsid w:val="0064567D"/>
    <w:rsid w:val="006467DC"/>
    <w:rsid w:val="00647255"/>
    <w:rsid w:val="006473CA"/>
    <w:rsid w:val="00651FB6"/>
    <w:rsid w:val="006529A6"/>
    <w:rsid w:val="0065305F"/>
    <w:rsid w:val="00653644"/>
    <w:rsid w:val="006547C6"/>
    <w:rsid w:val="00655587"/>
    <w:rsid w:val="00655DAE"/>
    <w:rsid w:val="00655F4E"/>
    <w:rsid w:val="00656908"/>
    <w:rsid w:val="00660C00"/>
    <w:rsid w:val="00661B72"/>
    <w:rsid w:val="006656F5"/>
    <w:rsid w:val="00665F8B"/>
    <w:rsid w:val="00666F7F"/>
    <w:rsid w:val="00670433"/>
    <w:rsid w:val="00675548"/>
    <w:rsid w:val="00675F03"/>
    <w:rsid w:val="0068094E"/>
    <w:rsid w:val="00680FAB"/>
    <w:rsid w:val="00681079"/>
    <w:rsid w:val="00684754"/>
    <w:rsid w:val="00685B70"/>
    <w:rsid w:val="00685D8D"/>
    <w:rsid w:val="00686640"/>
    <w:rsid w:val="00687EF9"/>
    <w:rsid w:val="006909C9"/>
    <w:rsid w:val="00692090"/>
    <w:rsid w:val="006924E1"/>
    <w:rsid w:val="006925F6"/>
    <w:rsid w:val="00692C2E"/>
    <w:rsid w:val="00693045"/>
    <w:rsid w:val="006938BE"/>
    <w:rsid w:val="00693CE9"/>
    <w:rsid w:val="006A36EB"/>
    <w:rsid w:val="006A38FC"/>
    <w:rsid w:val="006A3DD4"/>
    <w:rsid w:val="006A4559"/>
    <w:rsid w:val="006A6AFB"/>
    <w:rsid w:val="006B04E8"/>
    <w:rsid w:val="006B223F"/>
    <w:rsid w:val="006B3AF3"/>
    <w:rsid w:val="006B519F"/>
    <w:rsid w:val="006B59A0"/>
    <w:rsid w:val="006B5C34"/>
    <w:rsid w:val="006B5EBD"/>
    <w:rsid w:val="006B69E7"/>
    <w:rsid w:val="006B7D30"/>
    <w:rsid w:val="006C1A4A"/>
    <w:rsid w:val="006C29CC"/>
    <w:rsid w:val="006C2AF5"/>
    <w:rsid w:val="006C421B"/>
    <w:rsid w:val="006C670C"/>
    <w:rsid w:val="006C70CB"/>
    <w:rsid w:val="006C7E04"/>
    <w:rsid w:val="006D04D9"/>
    <w:rsid w:val="006D2857"/>
    <w:rsid w:val="006D2A62"/>
    <w:rsid w:val="006D2D9A"/>
    <w:rsid w:val="006D4920"/>
    <w:rsid w:val="006D5812"/>
    <w:rsid w:val="006E0D1D"/>
    <w:rsid w:val="006E2A6E"/>
    <w:rsid w:val="006E4C01"/>
    <w:rsid w:val="006F07C9"/>
    <w:rsid w:val="006F0A66"/>
    <w:rsid w:val="006F1EBE"/>
    <w:rsid w:val="006F26B4"/>
    <w:rsid w:val="006F2A0E"/>
    <w:rsid w:val="006F4800"/>
    <w:rsid w:val="006F4859"/>
    <w:rsid w:val="006F4F97"/>
    <w:rsid w:val="006F73F5"/>
    <w:rsid w:val="006F748E"/>
    <w:rsid w:val="006F7D36"/>
    <w:rsid w:val="0070109F"/>
    <w:rsid w:val="00702DAE"/>
    <w:rsid w:val="00704D3F"/>
    <w:rsid w:val="007056FA"/>
    <w:rsid w:val="007064DE"/>
    <w:rsid w:val="00706890"/>
    <w:rsid w:val="007074E6"/>
    <w:rsid w:val="007075AA"/>
    <w:rsid w:val="00707D7F"/>
    <w:rsid w:val="00710923"/>
    <w:rsid w:val="0071274C"/>
    <w:rsid w:val="00712EF5"/>
    <w:rsid w:val="00713A37"/>
    <w:rsid w:val="0071435F"/>
    <w:rsid w:val="00714C5A"/>
    <w:rsid w:val="007157B8"/>
    <w:rsid w:val="00715DAB"/>
    <w:rsid w:val="00716177"/>
    <w:rsid w:val="007161C5"/>
    <w:rsid w:val="0071697A"/>
    <w:rsid w:val="00721E4B"/>
    <w:rsid w:val="00723BF8"/>
    <w:rsid w:val="00723ED8"/>
    <w:rsid w:val="0072419B"/>
    <w:rsid w:val="007241F5"/>
    <w:rsid w:val="0072427D"/>
    <w:rsid w:val="0072494F"/>
    <w:rsid w:val="00724B6E"/>
    <w:rsid w:val="0072729B"/>
    <w:rsid w:val="00731558"/>
    <w:rsid w:val="007323B7"/>
    <w:rsid w:val="007333F8"/>
    <w:rsid w:val="00734493"/>
    <w:rsid w:val="00734C96"/>
    <w:rsid w:val="00740320"/>
    <w:rsid w:val="007406E2"/>
    <w:rsid w:val="00743619"/>
    <w:rsid w:val="007443CD"/>
    <w:rsid w:val="00745AA0"/>
    <w:rsid w:val="00746FB9"/>
    <w:rsid w:val="00747440"/>
    <w:rsid w:val="007475A6"/>
    <w:rsid w:val="007476B7"/>
    <w:rsid w:val="00750967"/>
    <w:rsid w:val="00751D0E"/>
    <w:rsid w:val="00752636"/>
    <w:rsid w:val="007554E7"/>
    <w:rsid w:val="007571A4"/>
    <w:rsid w:val="0075749D"/>
    <w:rsid w:val="007575D1"/>
    <w:rsid w:val="00762A9E"/>
    <w:rsid w:val="0076404C"/>
    <w:rsid w:val="00766431"/>
    <w:rsid w:val="00767214"/>
    <w:rsid w:val="00767665"/>
    <w:rsid w:val="00770FC8"/>
    <w:rsid w:val="00773B29"/>
    <w:rsid w:val="00773C28"/>
    <w:rsid w:val="00773E0F"/>
    <w:rsid w:val="00775FD7"/>
    <w:rsid w:val="00776216"/>
    <w:rsid w:val="00776957"/>
    <w:rsid w:val="00777896"/>
    <w:rsid w:val="00780DE4"/>
    <w:rsid w:val="00786726"/>
    <w:rsid w:val="00786E63"/>
    <w:rsid w:val="007902E0"/>
    <w:rsid w:val="00791348"/>
    <w:rsid w:val="0079210B"/>
    <w:rsid w:val="00792364"/>
    <w:rsid w:val="00792CB1"/>
    <w:rsid w:val="0079394F"/>
    <w:rsid w:val="00793CA3"/>
    <w:rsid w:val="00795D7F"/>
    <w:rsid w:val="007973E2"/>
    <w:rsid w:val="00797A46"/>
    <w:rsid w:val="007A2BC4"/>
    <w:rsid w:val="007A3580"/>
    <w:rsid w:val="007A370D"/>
    <w:rsid w:val="007A45B1"/>
    <w:rsid w:val="007A4FB6"/>
    <w:rsid w:val="007A5889"/>
    <w:rsid w:val="007A7300"/>
    <w:rsid w:val="007A7908"/>
    <w:rsid w:val="007A7FAA"/>
    <w:rsid w:val="007B297F"/>
    <w:rsid w:val="007B3FEF"/>
    <w:rsid w:val="007B5A6E"/>
    <w:rsid w:val="007B610C"/>
    <w:rsid w:val="007B785C"/>
    <w:rsid w:val="007B7AC1"/>
    <w:rsid w:val="007B7EDB"/>
    <w:rsid w:val="007C1335"/>
    <w:rsid w:val="007C162A"/>
    <w:rsid w:val="007C78F3"/>
    <w:rsid w:val="007C7A0C"/>
    <w:rsid w:val="007D057F"/>
    <w:rsid w:val="007D0EA0"/>
    <w:rsid w:val="007D21B3"/>
    <w:rsid w:val="007D2B49"/>
    <w:rsid w:val="007D3020"/>
    <w:rsid w:val="007D3CA4"/>
    <w:rsid w:val="007D4701"/>
    <w:rsid w:val="007D58D6"/>
    <w:rsid w:val="007D737A"/>
    <w:rsid w:val="007D7CE2"/>
    <w:rsid w:val="007E0122"/>
    <w:rsid w:val="007E0EBC"/>
    <w:rsid w:val="007E11A5"/>
    <w:rsid w:val="007E19A1"/>
    <w:rsid w:val="007E1CF7"/>
    <w:rsid w:val="007E2FF2"/>
    <w:rsid w:val="007E341E"/>
    <w:rsid w:val="007E5022"/>
    <w:rsid w:val="007E5C98"/>
    <w:rsid w:val="007E7BF4"/>
    <w:rsid w:val="007E7C76"/>
    <w:rsid w:val="007F004C"/>
    <w:rsid w:val="007F0AA5"/>
    <w:rsid w:val="007F0CCC"/>
    <w:rsid w:val="007F2125"/>
    <w:rsid w:val="007F246C"/>
    <w:rsid w:val="007F3C96"/>
    <w:rsid w:val="007F3E82"/>
    <w:rsid w:val="007F50E9"/>
    <w:rsid w:val="007F545E"/>
    <w:rsid w:val="007F5E8C"/>
    <w:rsid w:val="007F6ACE"/>
    <w:rsid w:val="007F6B0F"/>
    <w:rsid w:val="007F7A7A"/>
    <w:rsid w:val="00800822"/>
    <w:rsid w:val="008024FE"/>
    <w:rsid w:val="00802776"/>
    <w:rsid w:val="00802F28"/>
    <w:rsid w:val="00804E72"/>
    <w:rsid w:val="0080539E"/>
    <w:rsid w:val="00805C96"/>
    <w:rsid w:val="00805F82"/>
    <w:rsid w:val="00807BAD"/>
    <w:rsid w:val="00810330"/>
    <w:rsid w:val="00810753"/>
    <w:rsid w:val="00810B8F"/>
    <w:rsid w:val="00811D00"/>
    <w:rsid w:val="00812E48"/>
    <w:rsid w:val="00813AAC"/>
    <w:rsid w:val="00813AD7"/>
    <w:rsid w:val="00814F12"/>
    <w:rsid w:val="008156BD"/>
    <w:rsid w:val="0081606F"/>
    <w:rsid w:val="00822D35"/>
    <w:rsid w:val="00824529"/>
    <w:rsid w:val="00824989"/>
    <w:rsid w:val="00825545"/>
    <w:rsid w:val="008262DF"/>
    <w:rsid w:val="0082685F"/>
    <w:rsid w:val="00826BE9"/>
    <w:rsid w:val="008275E5"/>
    <w:rsid w:val="0083025C"/>
    <w:rsid w:val="0083091E"/>
    <w:rsid w:val="00831AF5"/>
    <w:rsid w:val="008322BA"/>
    <w:rsid w:val="00833732"/>
    <w:rsid w:val="00834AD5"/>
    <w:rsid w:val="00834D36"/>
    <w:rsid w:val="00836BFB"/>
    <w:rsid w:val="0084010F"/>
    <w:rsid w:val="00842720"/>
    <w:rsid w:val="00844B19"/>
    <w:rsid w:val="00845244"/>
    <w:rsid w:val="00845D79"/>
    <w:rsid w:val="00846DE6"/>
    <w:rsid w:val="0084703F"/>
    <w:rsid w:val="00847657"/>
    <w:rsid w:val="00850B1D"/>
    <w:rsid w:val="00850C18"/>
    <w:rsid w:val="00850DB4"/>
    <w:rsid w:val="00852444"/>
    <w:rsid w:val="00852AD9"/>
    <w:rsid w:val="008540E6"/>
    <w:rsid w:val="00854590"/>
    <w:rsid w:val="0085583C"/>
    <w:rsid w:val="00855C0F"/>
    <w:rsid w:val="00856C97"/>
    <w:rsid w:val="008629AC"/>
    <w:rsid w:val="00862F4F"/>
    <w:rsid w:val="00865AE9"/>
    <w:rsid w:val="00867BAB"/>
    <w:rsid w:val="00867E03"/>
    <w:rsid w:val="00871660"/>
    <w:rsid w:val="00874B34"/>
    <w:rsid w:val="008753C0"/>
    <w:rsid w:val="008805E6"/>
    <w:rsid w:val="00881B6B"/>
    <w:rsid w:val="00881F37"/>
    <w:rsid w:val="00882473"/>
    <w:rsid w:val="00883287"/>
    <w:rsid w:val="00885942"/>
    <w:rsid w:val="00886574"/>
    <w:rsid w:val="00891D70"/>
    <w:rsid w:val="00891F91"/>
    <w:rsid w:val="008927C5"/>
    <w:rsid w:val="008939AA"/>
    <w:rsid w:val="008967F8"/>
    <w:rsid w:val="00896CDB"/>
    <w:rsid w:val="00897501"/>
    <w:rsid w:val="00897AC1"/>
    <w:rsid w:val="008A2E33"/>
    <w:rsid w:val="008A3330"/>
    <w:rsid w:val="008A482B"/>
    <w:rsid w:val="008B5574"/>
    <w:rsid w:val="008C097F"/>
    <w:rsid w:val="008C16E1"/>
    <w:rsid w:val="008C279C"/>
    <w:rsid w:val="008C36CE"/>
    <w:rsid w:val="008C4059"/>
    <w:rsid w:val="008C55DD"/>
    <w:rsid w:val="008C7A91"/>
    <w:rsid w:val="008D12D3"/>
    <w:rsid w:val="008D5883"/>
    <w:rsid w:val="008E0C7B"/>
    <w:rsid w:val="008E2112"/>
    <w:rsid w:val="008E40A5"/>
    <w:rsid w:val="008E40AF"/>
    <w:rsid w:val="008E4F2F"/>
    <w:rsid w:val="008E52B9"/>
    <w:rsid w:val="008E638A"/>
    <w:rsid w:val="008E6A1F"/>
    <w:rsid w:val="008E6DEC"/>
    <w:rsid w:val="008F097F"/>
    <w:rsid w:val="008F1333"/>
    <w:rsid w:val="008F30BF"/>
    <w:rsid w:val="008F3EAA"/>
    <w:rsid w:val="008F5DC5"/>
    <w:rsid w:val="008F7CF3"/>
    <w:rsid w:val="009007CB"/>
    <w:rsid w:val="0090111C"/>
    <w:rsid w:val="0090194C"/>
    <w:rsid w:val="00902EF6"/>
    <w:rsid w:val="009041D6"/>
    <w:rsid w:val="0090473B"/>
    <w:rsid w:val="00904FCC"/>
    <w:rsid w:val="00905417"/>
    <w:rsid w:val="00910E77"/>
    <w:rsid w:val="00911877"/>
    <w:rsid w:val="00912991"/>
    <w:rsid w:val="009133ED"/>
    <w:rsid w:val="00914062"/>
    <w:rsid w:val="0091535D"/>
    <w:rsid w:val="00916EA5"/>
    <w:rsid w:val="0091760D"/>
    <w:rsid w:val="00922A5B"/>
    <w:rsid w:val="00930022"/>
    <w:rsid w:val="0093541A"/>
    <w:rsid w:val="0093650A"/>
    <w:rsid w:val="009374B1"/>
    <w:rsid w:val="009400FF"/>
    <w:rsid w:val="00940A30"/>
    <w:rsid w:val="0094483F"/>
    <w:rsid w:val="00944EB1"/>
    <w:rsid w:val="00945573"/>
    <w:rsid w:val="009459F7"/>
    <w:rsid w:val="00947CB8"/>
    <w:rsid w:val="00950BEF"/>
    <w:rsid w:val="00950DB6"/>
    <w:rsid w:val="009515B6"/>
    <w:rsid w:val="009516CE"/>
    <w:rsid w:val="00951AF6"/>
    <w:rsid w:val="00952652"/>
    <w:rsid w:val="0095575B"/>
    <w:rsid w:val="00957CE7"/>
    <w:rsid w:val="00962323"/>
    <w:rsid w:val="00962EFC"/>
    <w:rsid w:val="009643F3"/>
    <w:rsid w:val="00967662"/>
    <w:rsid w:val="009676A2"/>
    <w:rsid w:val="00970186"/>
    <w:rsid w:val="0097288E"/>
    <w:rsid w:val="009733D4"/>
    <w:rsid w:val="00975416"/>
    <w:rsid w:val="009764C3"/>
    <w:rsid w:val="009769FC"/>
    <w:rsid w:val="0098039F"/>
    <w:rsid w:val="009807EA"/>
    <w:rsid w:val="0098216A"/>
    <w:rsid w:val="00982970"/>
    <w:rsid w:val="00982C97"/>
    <w:rsid w:val="00982D44"/>
    <w:rsid w:val="00982DFB"/>
    <w:rsid w:val="00983440"/>
    <w:rsid w:val="00983554"/>
    <w:rsid w:val="009839BE"/>
    <w:rsid w:val="00985CCE"/>
    <w:rsid w:val="00986111"/>
    <w:rsid w:val="009861E7"/>
    <w:rsid w:val="00993DFC"/>
    <w:rsid w:val="00994867"/>
    <w:rsid w:val="00996168"/>
    <w:rsid w:val="009A0B9B"/>
    <w:rsid w:val="009A159E"/>
    <w:rsid w:val="009A1D1E"/>
    <w:rsid w:val="009A2706"/>
    <w:rsid w:val="009A296E"/>
    <w:rsid w:val="009A34B7"/>
    <w:rsid w:val="009A3BFA"/>
    <w:rsid w:val="009A3D89"/>
    <w:rsid w:val="009A5402"/>
    <w:rsid w:val="009A6499"/>
    <w:rsid w:val="009A7201"/>
    <w:rsid w:val="009A7B0E"/>
    <w:rsid w:val="009B1362"/>
    <w:rsid w:val="009B18F7"/>
    <w:rsid w:val="009B2A11"/>
    <w:rsid w:val="009B4453"/>
    <w:rsid w:val="009B4523"/>
    <w:rsid w:val="009B54F7"/>
    <w:rsid w:val="009B7741"/>
    <w:rsid w:val="009C4716"/>
    <w:rsid w:val="009C7829"/>
    <w:rsid w:val="009D15B4"/>
    <w:rsid w:val="009D3CA1"/>
    <w:rsid w:val="009D4381"/>
    <w:rsid w:val="009D4510"/>
    <w:rsid w:val="009D53A0"/>
    <w:rsid w:val="009D5DDE"/>
    <w:rsid w:val="009D64DE"/>
    <w:rsid w:val="009D7EB2"/>
    <w:rsid w:val="009E03F1"/>
    <w:rsid w:val="009E072F"/>
    <w:rsid w:val="009E1FE3"/>
    <w:rsid w:val="009E337E"/>
    <w:rsid w:val="009E3F31"/>
    <w:rsid w:val="009E4C3A"/>
    <w:rsid w:val="009E6238"/>
    <w:rsid w:val="009E7D04"/>
    <w:rsid w:val="009E7D6C"/>
    <w:rsid w:val="009F160B"/>
    <w:rsid w:val="009F5297"/>
    <w:rsid w:val="009F737C"/>
    <w:rsid w:val="009F7575"/>
    <w:rsid w:val="009F7821"/>
    <w:rsid w:val="009F797C"/>
    <w:rsid w:val="00A0099D"/>
    <w:rsid w:val="00A01744"/>
    <w:rsid w:val="00A02601"/>
    <w:rsid w:val="00A06282"/>
    <w:rsid w:val="00A1035D"/>
    <w:rsid w:val="00A10C05"/>
    <w:rsid w:val="00A10FA5"/>
    <w:rsid w:val="00A111B0"/>
    <w:rsid w:val="00A11F48"/>
    <w:rsid w:val="00A1306D"/>
    <w:rsid w:val="00A130EC"/>
    <w:rsid w:val="00A13AFD"/>
    <w:rsid w:val="00A13CBF"/>
    <w:rsid w:val="00A140AE"/>
    <w:rsid w:val="00A14190"/>
    <w:rsid w:val="00A143BA"/>
    <w:rsid w:val="00A15129"/>
    <w:rsid w:val="00A15EB9"/>
    <w:rsid w:val="00A16A0F"/>
    <w:rsid w:val="00A2044C"/>
    <w:rsid w:val="00A2135E"/>
    <w:rsid w:val="00A21E9D"/>
    <w:rsid w:val="00A263F1"/>
    <w:rsid w:val="00A26912"/>
    <w:rsid w:val="00A31234"/>
    <w:rsid w:val="00A31315"/>
    <w:rsid w:val="00A319C0"/>
    <w:rsid w:val="00A323C3"/>
    <w:rsid w:val="00A32E22"/>
    <w:rsid w:val="00A34417"/>
    <w:rsid w:val="00A34DCD"/>
    <w:rsid w:val="00A35AE0"/>
    <w:rsid w:val="00A35D9F"/>
    <w:rsid w:val="00A35DAD"/>
    <w:rsid w:val="00A40CD7"/>
    <w:rsid w:val="00A42E7B"/>
    <w:rsid w:val="00A45121"/>
    <w:rsid w:val="00A51C3B"/>
    <w:rsid w:val="00A53A82"/>
    <w:rsid w:val="00A54004"/>
    <w:rsid w:val="00A5589D"/>
    <w:rsid w:val="00A57EA3"/>
    <w:rsid w:val="00A612D1"/>
    <w:rsid w:val="00A61E08"/>
    <w:rsid w:val="00A6323D"/>
    <w:rsid w:val="00A6371C"/>
    <w:rsid w:val="00A63828"/>
    <w:rsid w:val="00A64792"/>
    <w:rsid w:val="00A65708"/>
    <w:rsid w:val="00A700D9"/>
    <w:rsid w:val="00A73C63"/>
    <w:rsid w:val="00A743E0"/>
    <w:rsid w:val="00A74685"/>
    <w:rsid w:val="00A74CE5"/>
    <w:rsid w:val="00A76056"/>
    <w:rsid w:val="00A77FC9"/>
    <w:rsid w:val="00A807C7"/>
    <w:rsid w:val="00A81156"/>
    <w:rsid w:val="00A8136D"/>
    <w:rsid w:val="00A8192E"/>
    <w:rsid w:val="00A81F74"/>
    <w:rsid w:val="00A83A72"/>
    <w:rsid w:val="00A846EC"/>
    <w:rsid w:val="00A85082"/>
    <w:rsid w:val="00A90080"/>
    <w:rsid w:val="00A91091"/>
    <w:rsid w:val="00A929EB"/>
    <w:rsid w:val="00A93989"/>
    <w:rsid w:val="00A957B6"/>
    <w:rsid w:val="00A95988"/>
    <w:rsid w:val="00AA0620"/>
    <w:rsid w:val="00AA1207"/>
    <w:rsid w:val="00AA1E25"/>
    <w:rsid w:val="00AA2614"/>
    <w:rsid w:val="00AA37FE"/>
    <w:rsid w:val="00AA3AF7"/>
    <w:rsid w:val="00AA4642"/>
    <w:rsid w:val="00AA4A9A"/>
    <w:rsid w:val="00AA4C08"/>
    <w:rsid w:val="00AA5CD6"/>
    <w:rsid w:val="00AA72C0"/>
    <w:rsid w:val="00AB1C2D"/>
    <w:rsid w:val="00AB22C7"/>
    <w:rsid w:val="00AB41BF"/>
    <w:rsid w:val="00AB44E7"/>
    <w:rsid w:val="00AB47FC"/>
    <w:rsid w:val="00AB4C13"/>
    <w:rsid w:val="00AC012C"/>
    <w:rsid w:val="00AC12F6"/>
    <w:rsid w:val="00AC22E7"/>
    <w:rsid w:val="00AC4133"/>
    <w:rsid w:val="00AC4518"/>
    <w:rsid w:val="00AC54D2"/>
    <w:rsid w:val="00AD0F28"/>
    <w:rsid w:val="00AD3063"/>
    <w:rsid w:val="00AD33CA"/>
    <w:rsid w:val="00AD3CA2"/>
    <w:rsid w:val="00AD6640"/>
    <w:rsid w:val="00AE0E7B"/>
    <w:rsid w:val="00AE401B"/>
    <w:rsid w:val="00AE6F74"/>
    <w:rsid w:val="00AF001B"/>
    <w:rsid w:val="00AF0420"/>
    <w:rsid w:val="00AF04BB"/>
    <w:rsid w:val="00AF2C60"/>
    <w:rsid w:val="00AF4085"/>
    <w:rsid w:val="00AF42FC"/>
    <w:rsid w:val="00AF509C"/>
    <w:rsid w:val="00AF5A7D"/>
    <w:rsid w:val="00AF619B"/>
    <w:rsid w:val="00AF7455"/>
    <w:rsid w:val="00B01075"/>
    <w:rsid w:val="00B020D5"/>
    <w:rsid w:val="00B02240"/>
    <w:rsid w:val="00B022B1"/>
    <w:rsid w:val="00B02798"/>
    <w:rsid w:val="00B029E6"/>
    <w:rsid w:val="00B02DD7"/>
    <w:rsid w:val="00B04373"/>
    <w:rsid w:val="00B04BBA"/>
    <w:rsid w:val="00B05B6E"/>
    <w:rsid w:val="00B1297A"/>
    <w:rsid w:val="00B12B85"/>
    <w:rsid w:val="00B14198"/>
    <w:rsid w:val="00B1590F"/>
    <w:rsid w:val="00B15E93"/>
    <w:rsid w:val="00B168CB"/>
    <w:rsid w:val="00B16DFC"/>
    <w:rsid w:val="00B20FE6"/>
    <w:rsid w:val="00B22514"/>
    <w:rsid w:val="00B23DEF"/>
    <w:rsid w:val="00B24571"/>
    <w:rsid w:val="00B24F1F"/>
    <w:rsid w:val="00B25A09"/>
    <w:rsid w:val="00B26251"/>
    <w:rsid w:val="00B316C5"/>
    <w:rsid w:val="00B33BF7"/>
    <w:rsid w:val="00B33DB2"/>
    <w:rsid w:val="00B401DC"/>
    <w:rsid w:val="00B42F6A"/>
    <w:rsid w:val="00B42FC4"/>
    <w:rsid w:val="00B43897"/>
    <w:rsid w:val="00B46308"/>
    <w:rsid w:val="00B47E3F"/>
    <w:rsid w:val="00B51A0A"/>
    <w:rsid w:val="00B54D61"/>
    <w:rsid w:val="00B550A3"/>
    <w:rsid w:val="00B561EE"/>
    <w:rsid w:val="00B56B02"/>
    <w:rsid w:val="00B56B54"/>
    <w:rsid w:val="00B603D8"/>
    <w:rsid w:val="00B6192F"/>
    <w:rsid w:val="00B61E93"/>
    <w:rsid w:val="00B61EC1"/>
    <w:rsid w:val="00B62BB9"/>
    <w:rsid w:val="00B66D70"/>
    <w:rsid w:val="00B66DA2"/>
    <w:rsid w:val="00B67C32"/>
    <w:rsid w:val="00B7097C"/>
    <w:rsid w:val="00B737BB"/>
    <w:rsid w:val="00B756C0"/>
    <w:rsid w:val="00B76674"/>
    <w:rsid w:val="00B80A89"/>
    <w:rsid w:val="00B81A0C"/>
    <w:rsid w:val="00B81E45"/>
    <w:rsid w:val="00B835F3"/>
    <w:rsid w:val="00B84005"/>
    <w:rsid w:val="00B87AA9"/>
    <w:rsid w:val="00B930E5"/>
    <w:rsid w:val="00B934E4"/>
    <w:rsid w:val="00B95171"/>
    <w:rsid w:val="00B95305"/>
    <w:rsid w:val="00B95D49"/>
    <w:rsid w:val="00B96B48"/>
    <w:rsid w:val="00BA0C8C"/>
    <w:rsid w:val="00BA0D38"/>
    <w:rsid w:val="00BA187F"/>
    <w:rsid w:val="00BA358D"/>
    <w:rsid w:val="00BA4CC1"/>
    <w:rsid w:val="00BA4F0E"/>
    <w:rsid w:val="00BA6C5C"/>
    <w:rsid w:val="00BB0484"/>
    <w:rsid w:val="00BB0709"/>
    <w:rsid w:val="00BB14D3"/>
    <w:rsid w:val="00BB17F3"/>
    <w:rsid w:val="00BB204D"/>
    <w:rsid w:val="00BB2491"/>
    <w:rsid w:val="00BB3760"/>
    <w:rsid w:val="00BB4286"/>
    <w:rsid w:val="00BB6766"/>
    <w:rsid w:val="00BB77CC"/>
    <w:rsid w:val="00BC112D"/>
    <w:rsid w:val="00BC4251"/>
    <w:rsid w:val="00BD035B"/>
    <w:rsid w:val="00BD0E5D"/>
    <w:rsid w:val="00BD1899"/>
    <w:rsid w:val="00BD24D9"/>
    <w:rsid w:val="00BD33CA"/>
    <w:rsid w:val="00BD3E07"/>
    <w:rsid w:val="00BD50D4"/>
    <w:rsid w:val="00BD5BF3"/>
    <w:rsid w:val="00BD7A29"/>
    <w:rsid w:val="00BD7B0B"/>
    <w:rsid w:val="00BE21A7"/>
    <w:rsid w:val="00BE58D8"/>
    <w:rsid w:val="00BE597D"/>
    <w:rsid w:val="00BE7190"/>
    <w:rsid w:val="00BF0634"/>
    <w:rsid w:val="00BF1622"/>
    <w:rsid w:val="00BF1A6F"/>
    <w:rsid w:val="00BF3CF4"/>
    <w:rsid w:val="00BF574A"/>
    <w:rsid w:val="00C038D7"/>
    <w:rsid w:val="00C03AC1"/>
    <w:rsid w:val="00C0433E"/>
    <w:rsid w:val="00C06182"/>
    <w:rsid w:val="00C1008A"/>
    <w:rsid w:val="00C11963"/>
    <w:rsid w:val="00C13116"/>
    <w:rsid w:val="00C13C45"/>
    <w:rsid w:val="00C162B8"/>
    <w:rsid w:val="00C16BD2"/>
    <w:rsid w:val="00C16E0F"/>
    <w:rsid w:val="00C173F2"/>
    <w:rsid w:val="00C17D97"/>
    <w:rsid w:val="00C20230"/>
    <w:rsid w:val="00C21435"/>
    <w:rsid w:val="00C22646"/>
    <w:rsid w:val="00C233D5"/>
    <w:rsid w:val="00C2686A"/>
    <w:rsid w:val="00C2688C"/>
    <w:rsid w:val="00C27B9D"/>
    <w:rsid w:val="00C30400"/>
    <w:rsid w:val="00C32031"/>
    <w:rsid w:val="00C3606C"/>
    <w:rsid w:val="00C376A6"/>
    <w:rsid w:val="00C376DA"/>
    <w:rsid w:val="00C403FA"/>
    <w:rsid w:val="00C422AF"/>
    <w:rsid w:val="00C42744"/>
    <w:rsid w:val="00C42D1E"/>
    <w:rsid w:val="00C43974"/>
    <w:rsid w:val="00C47A67"/>
    <w:rsid w:val="00C501FC"/>
    <w:rsid w:val="00C52B5E"/>
    <w:rsid w:val="00C566C6"/>
    <w:rsid w:val="00C571C5"/>
    <w:rsid w:val="00C60380"/>
    <w:rsid w:val="00C628FB"/>
    <w:rsid w:val="00C65989"/>
    <w:rsid w:val="00C70291"/>
    <w:rsid w:val="00C709C8"/>
    <w:rsid w:val="00C71C3C"/>
    <w:rsid w:val="00C752D9"/>
    <w:rsid w:val="00C77385"/>
    <w:rsid w:val="00C808B3"/>
    <w:rsid w:val="00C8136C"/>
    <w:rsid w:val="00C81866"/>
    <w:rsid w:val="00C8285E"/>
    <w:rsid w:val="00C828A7"/>
    <w:rsid w:val="00C82A2B"/>
    <w:rsid w:val="00C83AC0"/>
    <w:rsid w:val="00C84015"/>
    <w:rsid w:val="00C84276"/>
    <w:rsid w:val="00C84EE8"/>
    <w:rsid w:val="00C863B1"/>
    <w:rsid w:val="00C90169"/>
    <w:rsid w:val="00C9072C"/>
    <w:rsid w:val="00C92B80"/>
    <w:rsid w:val="00C93054"/>
    <w:rsid w:val="00C94C3C"/>
    <w:rsid w:val="00C9522A"/>
    <w:rsid w:val="00C97E69"/>
    <w:rsid w:val="00CA02D3"/>
    <w:rsid w:val="00CA066C"/>
    <w:rsid w:val="00CA0AD3"/>
    <w:rsid w:val="00CA0E6A"/>
    <w:rsid w:val="00CA24D7"/>
    <w:rsid w:val="00CA3EDF"/>
    <w:rsid w:val="00CA5363"/>
    <w:rsid w:val="00CA663F"/>
    <w:rsid w:val="00CA7252"/>
    <w:rsid w:val="00CB11FB"/>
    <w:rsid w:val="00CB34E0"/>
    <w:rsid w:val="00CB797B"/>
    <w:rsid w:val="00CC0D37"/>
    <w:rsid w:val="00CC1464"/>
    <w:rsid w:val="00CC16C6"/>
    <w:rsid w:val="00CC18B9"/>
    <w:rsid w:val="00CC51A8"/>
    <w:rsid w:val="00CC59E6"/>
    <w:rsid w:val="00CC5E1B"/>
    <w:rsid w:val="00CC5FF1"/>
    <w:rsid w:val="00CC7AF0"/>
    <w:rsid w:val="00CD2CB3"/>
    <w:rsid w:val="00CD357F"/>
    <w:rsid w:val="00CD44F9"/>
    <w:rsid w:val="00CD495C"/>
    <w:rsid w:val="00CD5BE6"/>
    <w:rsid w:val="00CD6E11"/>
    <w:rsid w:val="00CD6EF1"/>
    <w:rsid w:val="00CE0171"/>
    <w:rsid w:val="00CE0DBF"/>
    <w:rsid w:val="00CE10CE"/>
    <w:rsid w:val="00CE1252"/>
    <w:rsid w:val="00CE1FD5"/>
    <w:rsid w:val="00CE3091"/>
    <w:rsid w:val="00CE47BA"/>
    <w:rsid w:val="00CE5AC1"/>
    <w:rsid w:val="00CE753B"/>
    <w:rsid w:val="00CF13E5"/>
    <w:rsid w:val="00CF1454"/>
    <w:rsid w:val="00CF1C5A"/>
    <w:rsid w:val="00CF3ED0"/>
    <w:rsid w:val="00CF5CB3"/>
    <w:rsid w:val="00CF6474"/>
    <w:rsid w:val="00D00E3C"/>
    <w:rsid w:val="00D02334"/>
    <w:rsid w:val="00D032AA"/>
    <w:rsid w:val="00D03918"/>
    <w:rsid w:val="00D0393C"/>
    <w:rsid w:val="00D03A29"/>
    <w:rsid w:val="00D05098"/>
    <w:rsid w:val="00D05D5D"/>
    <w:rsid w:val="00D0637C"/>
    <w:rsid w:val="00D06482"/>
    <w:rsid w:val="00D06B1A"/>
    <w:rsid w:val="00D10B09"/>
    <w:rsid w:val="00D120D5"/>
    <w:rsid w:val="00D12A55"/>
    <w:rsid w:val="00D13841"/>
    <w:rsid w:val="00D16899"/>
    <w:rsid w:val="00D179E5"/>
    <w:rsid w:val="00D21031"/>
    <w:rsid w:val="00D22AE7"/>
    <w:rsid w:val="00D234CE"/>
    <w:rsid w:val="00D27103"/>
    <w:rsid w:val="00D306B5"/>
    <w:rsid w:val="00D307D2"/>
    <w:rsid w:val="00D30BFD"/>
    <w:rsid w:val="00D327C5"/>
    <w:rsid w:val="00D334A5"/>
    <w:rsid w:val="00D342A7"/>
    <w:rsid w:val="00D36200"/>
    <w:rsid w:val="00D40E24"/>
    <w:rsid w:val="00D4212B"/>
    <w:rsid w:val="00D43237"/>
    <w:rsid w:val="00D45B32"/>
    <w:rsid w:val="00D462F2"/>
    <w:rsid w:val="00D4767E"/>
    <w:rsid w:val="00D479FD"/>
    <w:rsid w:val="00D500AB"/>
    <w:rsid w:val="00D52064"/>
    <w:rsid w:val="00D53817"/>
    <w:rsid w:val="00D53E56"/>
    <w:rsid w:val="00D5541E"/>
    <w:rsid w:val="00D55F8C"/>
    <w:rsid w:val="00D6046F"/>
    <w:rsid w:val="00D620E3"/>
    <w:rsid w:val="00D628D6"/>
    <w:rsid w:val="00D62D30"/>
    <w:rsid w:val="00D63899"/>
    <w:rsid w:val="00D63AE1"/>
    <w:rsid w:val="00D64C3F"/>
    <w:rsid w:val="00D664A0"/>
    <w:rsid w:val="00D6697F"/>
    <w:rsid w:val="00D669E9"/>
    <w:rsid w:val="00D7158C"/>
    <w:rsid w:val="00D72042"/>
    <w:rsid w:val="00D72092"/>
    <w:rsid w:val="00D7375E"/>
    <w:rsid w:val="00D7415B"/>
    <w:rsid w:val="00D75338"/>
    <w:rsid w:val="00D7679A"/>
    <w:rsid w:val="00D774EF"/>
    <w:rsid w:val="00D8166B"/>
    <w:rsid w:val="00D83DF2"/>
    <w:rsid w:val="00D858E5"/>
    <w:rsid w:val="00D872D4"/>
    <w:rsid w:val="00D90C4D"/>
    <w:rsid w:val="00D94F68"/>
    <w:rsid w:val="00D9520A"/>
    <w:rsid w:val="00D960FD"/>
    <w:rsid w:val="00D97373"/>
    <w:rsid w:val="00D97B6E"/>
    <w:rsid w:val="00DA1231"/>
    <w:rsid w:val="00DA1ACF"/>
    <w:rsid w:val="00DA27CA"/>
    <w:rsid w:val="00DA4AEC"/>
    <w:rsid w:val="00DA6CD1"/>
    <w:rsid w:val="00DA718C"/>
    <w:rsid w:val="00DB2EB9"/>
    <w:rsid w:val="00DB3192"/>
    <w:rsid w:val="00DB39B0"/>
    <w:rsid w:val="00DB3A59"/>
    <w:rsid w:val="00DB4ECC"/>
    <w:rsid w:val="00DB5007"/>
    <w:rsid w:val="00DB75CA"/>
    <w:rsid w:val="00DB7C66"/>
    <w:rsid w:val="00DB7C91"/>
    <w:rsid w:val="00DC1626"/>
    <w:rsid w:val="00DC1977"/>
    <w:rsid w:val="00DC1D6D"/>
    <w:rsid w:val="00DC2009"/>
    <w:rsid w:val="00DC3C13"/>
    <w:rsid w:val="00DC471D"/>
    <w:rsid w:val="00DC4CD2"/>
    <w:rsid w:val="00DD26EF"/>
    <w:rsid w:val="00DD3474"/>
    <w:rsid w:val="00DD4493"/>
    <w:rsid w:val="00DD4C6C"/>
    <w:rsid w:val="00DD6620"/>
    <w:rsid w:val="00DE0568"/>
    <w:rsid w:val="00DE0CFC"/>
    <w:rsid w:val="00DE236F"/>
    <w:rsid w:val="00DE341F"/>
    <w:rsid w:val="00DE3DD1"/>
    <w:rsid w:val="00DE3E98"/>
    <w:rsid w:val="00DE5933"/>
    <w:rsid w:val="00DE65E2"/>
    <w:rsid w:val="00DE69E1"/>
    <w:rsid w:val="00DE6B36"/>
    <w:rsid w:val="00DE6C87"/>
    <w:rsid w:val="00DF03EB"/>
    <w:rsid w:val="00DF154A"/>
    <w:rsid w:val="00DF1E46"/>
    <w:rsid w:val="00DF248F"/>
    <w:rsid w:val="00DF2E1B"/>
    <w:rsid w:val="00DF33B0"/>
    <w:rsid w:val="00DF37BF"/>
    <w:rsid w:val="00DF5BAD"/>
    <w:rsid w:val="00DF6CD0"/>
    <w:rsid w:val="00DF6E63"/>
    <w:rsid w:val="00DF7695"/>
    <w:rsid w:val="00E04AB5"/>
    <w:rsid w:val="00E11A1A"/>
    <w:rsid w:val="00E14CC8"/>
    <w:rsid w:val="00E15A7B"/>
    <w:rsid w:val="00E16A7C"/>
    <w:rsid w:val="00E16EE2"/>
    <w:rsid w:val="00E1727D"/>
    <w:rsid w:val="00E172F5"/>
    <w:rsid w:val="00E20ED2"/>
    <w:rsid w:val="00E21A9C"/>
    <w:rsid w:val="00E22CDE"/>
    <w:rsid w:val="00E24A7F"/>
    <w:rsid w:val="00E275A2"/>
    <w:rsid w:val="00E2792F"/>
    <w:rsid w:val="00E27E29"/>
    <w:rsid w:val="00E30BF7"/>
    <w:rsid w:val="00E3104F"/>
    <w:rsid w:val="00E32131"/>
    <w:rsid w:val="00E33816"/>
    <w:rsid w:val="00E34224"/>
    <w:rsid w:val="00E348ED"/>
    <w:rsid w:val="00E35BA8"/>
    <w:rsid w:val="00E36172"/>
    <w:rsid w:val="00E361EF"/>
    <w:rsid w:val="00E37F7F"/>
    <w:rsid w:val="00E37FF9"/>
    <w:rsid w:val="00E40740"/>
    <w:rsid w:val="00E40E39"/>
    <w:rsid w:val="00E4103C"/>
    <w:rsid w:val="00E41202"/>
    <w:rsid w:val="00E41E51"/>
    <w:rsid w:val="00E41F93"/>
    <w:rsid w:val="00E4397E"/>
    <w:rsid w:val="00E4578A"/>
    <w:rsid w:val="00E47986"/>
    <w:rsid w:val="00E522F5"/>
    <w:rsid w:val="00E5271B"/>
    <w:rsid w:val="00E52AD2"/>
    <w:rsid w:val="00E533B5"/>
    <w:rsid w:val="00E53410"/>
    <w:rsid w:val="00E53B53"/>
    <w:rsid w:val="00E53CFD"/>
    <w:rsid w:val="00E56991"/>
    <w:rsid w:val="00E57274"/>
    <w:rsid w:val="00E61E34"/>
    <w:rsid w:val="00E636BB"/>
    <w:rsid w:val="00E6383A"/>
    <w:rsid w:val="00E64026"/>
    <w:rsid w:val="00E6476E"/>
    <w:rsid w:val="00E654EE"/>
    <w:rsid w:val="00E66D3F"/>
    <w:rsid w:val="00E66E62"/>
    <w:rsid w:val="00E677A7"/>
    <w:rsid w:val="00E7213D"/>
    <w:rsid w:val="00E7288D"/>
    <w:rsid w:val="00E7291B"/>
    <w:rsid w:val="00E738B1"/>
    <w:rsid w:val="00E73C3E"/>
    <w:rsid w:val="00E74242"/>
    <w:rsid w:val="00E747AA"/>
    <w:rsid w:val="00E74976"/>
    <w:rsid w:val="00E774C0"/>
    <w:rsid w:val="00E83E21"/>
    <w:rsid w:val="00E847C2"/>
    <w:rsid w:val="00E848A7"/>
    <w:rsid w:val="00E85296"/>
    <w:rsid w:val="00E85417"/>
    <w:rsid w:val="00E871D2"/>
    <w:rsid w:val="00E920AF"/>
    <w:rsid w:val="00E93D2D"/>
    <w:rsid w:val="00E94BEE"/>
    <w:rsid w:val="00E95848"/>
    <w:rsid w:val="00E9793F"/>
    <w:rsid w:val="00E97D28"/>
    <w:rsid w:val="00EA08B9"/>
    <w:rsid w:val="00EA40AC"/>
    <w:rsid w:val="00EA5256"/>
    <w:rsid w:val="00EA52B3"/>
    <w:rsid w:val="00EA5520"/>
    <w:rsid w:val="00EA5A89"/>
    <w:rsid w:val="00EA5D89"/>
    <w:rsid w:val="00EA5DE7"/>
    <w:rsid w:val="00EB0275"/>
    <w:rsid w:val="00EB155A"/>
    <w:rsid w:val="00EB1B0F"/>
    <w:rsid w:val="00EB3768"/>
    <w:rsid w:val="00EB4893"/>
    <w:rsid w:val="00EB6281"/>
    <w:rsid w:val="00EC5A4B"/>
    <w:rsid w:val="00EC617B"/>
    <w:rsid w:val="00EC65B2"/>
    <w:rsid w:val="00EC76C9"/>
    <w:rsid w:val="00EC7701"/>
    <w:rsid w:val="00ED152E"/>
    <w:rsid w:val="00ED1BDB"/>
    <w:rsid w:val="00ED1E3C"/>
    <w:rsid w:val="00ED1F60"/>
    <w:rsid w:val="00ED314C"/>
    <w:rsid w:val="00ED3BAC"/>
    <w:rsid w:val="00ED40D8"/>
    <w:rsid w:val="00ED6486"/>
    <w:rsid w:val="00ED7037"/>
    <w:rsid w:val="00ED76A1"/>
    <w:rsid w:val="00ED7D8D"/>
    <w:rsid w:val="00EE0841"/>
    <w:rsid w:val="00EE2392"/>
    <w:rsid w:val="00EE28A0"/>
    <w:rsid w:val="00EE2C3C"/>
    <w:rsid w:val="00EE2EBC"/>
    <w:rsid w:val="00EE4FFC"/>
    <w:rsid w:val="00EE5615"/>
    <w:rsid w:val="00EE605C"/>
    <w:rsid w:val="00EE7605"/>
    <w:rsid w:val="00EF1AE8"/>
    <w:rsid w:val="00EF2DD9"/>
    <w:rsid w:val="00EF5835"/>
    <w:rsid w:val="00EF6CD7"/>
    <w:rsid w:val="00EF6F61"/>
    <w:rsid w:val="00EF7AC7"/>
    <w:rsid w:val="00F007FC"/>
    <w:rsid w:val="00F014A1"/>
    <w:rsid w:val="00F02291"/>
    <w:rsid w:val="00F02E91"/>
    <w:rsid w:val="00F0386D"/>
    <w:rsid w:val="00F0414D"/>
    <w:rsid w:val="00F05A1A"/>
    <w:rsid w:val="00F06235"/>
    <w:rsid w:val="00F069A5"/>
    <w:rsid w:val="00F07281"/>
    <w:rsid w:val="00F07A8D"/>
    <w:rsid w:val="00F07C66"/>
    <w:rsid w:val="00F12E93"/>
    <w:rsid w:val="00F1327C"/>
    <w:rsid w:val="00F13CBA"/>
    <w:rsid w:val="00F1591C"/>
    <w:rsid w:val="00F16395"/>
    <w:rsid w:val="00F17219"/>
    <w:rsid w:val="00F177AD"/>
    <w:rsid w:val="00F179F6"/>
    <w:rsid w:val="00F21757"/>
    <w:rsid w:val="00F21C91"/>
    <w:rsid w:val="00F2263D"/>
    <w:rsid w:val="00F226B2"/>
    <w:rsid w:val="00F23CA4"/>
    <w:rsid w:val="00F279E1"/>
    <w:rsid w:val="00F27FAC"/>
    <w:rsid w:val="00F307C7"/>
    <w:rsid w:val="00F31571"/>
    <w:rsid w:val="00F3376B"/>
    <w:rsid w:val="00F34AE8"/>
    <w:rsid w:val="00F3567C"/>
    <w:rsid w:val="00F35D95"/>
    <w:rsid w:val="00F4127D"/>
    <w:rsid w:val="00F42071"/>
    <w:rsid w:val="00F471D1"/>
    <w:rsid w:val="00F47F77"/>
    <w:rsid w:val="00F51AB3"/>
    <w:rsid w:val="00F530C6"/>
    <w:rsid w:val="00F53491"/>
    <w:rsid w:val="00F564A2"/>
    <w:rsid w:val="00F60B64"/>
    <w:rsid w:val="00F6285B"/>
    <w:rsid w:val="00F63247"/>
    <w:rsid w:val="00F634DD"/>
    <w:rsid w:val="00F63909"/>
    <w:rsid w:val="00F63E05"/>
    <w:rsid w:val="00F63F76"/>
    <w:rsid w:val="00F64B5E"/>
    <w:rsid w:val="00F65457"/>
    <w:rsid w:val="00F6771C"/>
    <w:rsid w:val="00F67B18"/>
    <w:rsid w:val="00F67E2D"/>
    <w:rsid w:val="00F67E63"/>
    <w:rsid w:val="00F712DA"/>
    <w:rsid w:val="00F71365"/>
    <w:rsid w:val="00F72F50"/>
    <w:rsid w:val="00F730AE"/>
    <w:rsid w:val="00F735B4"/>
    <w:rsid w:val="00F7634C"/>
    <w:rsid w:val="00F773D8"/>
    <w:rsid w:val="00F8312B"/>
    <w:rsid w:val="00F83590"/>
    <w:rsid w:val="00F83B7F"/>
    <w:rsid w:val="00F85601"/>
    <w:rsid w:val="00F869B8"/>
    <w:rsid w:val="00F903A1"/>
    <w:rsid w:val="00F903A5"/>
    <w:rsid w:val="00F92EAB"/>
    <w:rsid w:val="00F968DC"/>
    <w:rsid w:val="00FA172D"/>
    <w:rsid w:val="00FA2B1B"/>
    <w:rsid w:val="00FA3F33"/>
    <w:rsid w:val="00FA6A25"/>
    <w:rsid w:val="00FB14C5"/>
    <w:rsid w:val="00FB7D3D"/>
    <w:rsid w:val="00FC1122"/>
    <w:rsid w:val="00FC44D1"/>
    <w:rsid w:val="00FC479C"/>
    <w:rsid w:val="00FC4927"/>
    <w:rsid w:val="00FC5BF3"/>
    <w:rsid w:val="00FC6AA6"/>
    <w:rsid w:val="00FC7B20"/>
    <w:rsid w:val="00FD3D70"/>
    <w:rsid w:val="00FD65C4"/>
    <w:rsid w:val="00FD7FA7"/>
    <w:rsid w:val="00FE1CF8"/>
    <w:rsid w:val="00FE2B5B"/>
    <w:rsid w:val="00FE5300"/>
    <w:rsid w:val="00FE5E33"/>
    <w:rsid w:val="00FE619F"/>
    <w:rsid w:val="00FF3053"/>
    <w:rsid w:val="00FF3A9D"/>
    <w:rsid w:val="00FF651E"/>
    <w:rsid w:val="00FF6B6D"/>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F373"/>
  <w15:chartTrackingRefBased/>
  <w15:docId w15:val="{ADF5AF23-8A3B-490B-A184-B0025F9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EC"/>
    <w:pPr>
      <w:ind w:left="720"/>
      <w:contextualSpacing/>
    </w:pPr>
  </w:style>
  <w:style w:type="character" w:styleId="CommentReference">
    <w:name w:val="annotation reference"/>
    <w:basedOn w:val="DefaultParagraphFont"/>
    <w:uiPriority w:val="99"/>
    <w:semiHidden/>
    <w:unhideWhenUsed/>
    <w:rsid w:val="000E5B41"/>
    <w:rPr>
      <w:sz w:val="16"/>
      <w:szCs w:val="16"/>
    </w:rPr>
  </w:style>
  <w:style w:type="paragraph" w:styleId="CommentText">
    <w:name w:val="annotation text"/>
    <w:basedOn w:val="Normal"/>
    <w:link w:val="CommentTextChar"/>
    <w:uiPriority w:val="99"/>
    <w:semiHidden/>
    <w:unhideWhenUsed/>
    <w:rsid w:val="000E5B41"/>
    <w:pPr>
      <w:spacing w:line="240" w:lineRule="auto"/>
    </w:pPr>
    <w:rPr>
      <w:sz w:val="20"/>
      <w:szCs w:val="20"/>
    </w:rPr>
  </w:style>
  <w:style w:type="character" w:customStyle="1" w:styleId="CommentTextChar">
    <w:name w:val="Comment Text Char"/>
    <w:basedOn w:val="DefaultParagraphFont"/>
    <w:link w:val="CommentText"/>
    <w:uiPriority w:val="99"/>
    <w:semiHidden/>
    <w:rsid w:val="000E5B41"/>
    <w:rPr>
      <w:sz w:val="20"/>
      <w:szCs w:val="20"/>
    </w:rPr>
  </w:style>
  <w:style w:type="paragraph" w:styleId="CommentSubject">
    <w:name w:val="annotation subject"/>
    <w:basedOn w:val="CommentText"/>
    <w:next w:val="CommentText"/>
    <w:link w:val="CommentSubjectChar"/>
    <w:uiPriority w:val="99"/>
    <w:semiHidden/>
    <w:unhideWhenUsed/>
    <w:rsid w:val="000E5B41"/>
    <w:rPr>
      <w:b/>
      <w:bCs/>
    </w:rPr>
  </w:style>
  <w:style w:type="character" w:customStyle="1" w:styleId="CommentSubjectChar">
    <w:name w:val="Comment Subject Char"/>
    <w:basedOn w:val="CommentTextChar"/>
    <w:link w:val="CommentSubject"/>
    <w:uiPriority w:val="99"/>
    <w:semiHidden/>
    <w:rsid w:val="000E5B41"/>
    <w:rPr>
      <w:b/>
      <w:bCs/>
      <w:sz w:val="20"/>
      <w:szCs w:val="20"/>
    </w:rPr>
  </w:style>
  <w:style w:type="paragraph" w:styleId="BalloonText">
    <w:name w:val="Balloon Text"/>
    <w:basedOn w:val="Normal"/>
    <w:link w:val="BalloonTextChar"/>
    <w:uiPriority w:val="99"/>
    <w:semiHidden/>
    <w:unhideWhenUsed/>
    <w:rsid w:val="000E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41"/>
    <w:rPr>
      <w:rFonts w:ascii="Segoe UI" w:hAnsi="Segoe UI" w:cs="Segoe UI"/>
      <w:sz w:val="18"/>
      <w:szCs w:val="18"/>
    </w:rPr>
  </w:style>
  <w:style w:type="paragraph" w:styleId="Header">
    <w:name w:val="header"/>
    <w:basedOn w:val="Normal"/>
    <w:link w:val="HeaderChar"/>
    <w:uiPriority w:val="99"/>
    <w:unhideWhenUsed/>
    <w:rsid w:val="000D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C66"/>
  </w:style>
  <w:style w:type="paragraph" w:styleId="Footer">
    <w:name w:val="footer"/>
    <w:basedOn w:val="Normal"/>
    <w:link w:val="FooterChar"/>
    <w:uiPriority w:val="99"/>
    <w:unhideWhenUsed/>
    <w:rsid w:val="000D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C66"/>
  </w:style>
  <w:style w:type="paragraph" w:customStyle="1" w:styleId="Default">
    <w:name w:val="Default"/>
    <w:rsid w:val="00201A0F"/>
    <w:pPr>
      <w:autoSpaceDE w:val="0"/>
      <w:autoSpaceDN w:val="0"/>
      <w:adjustRightInd w:val="0"/>
      <w:spacing w:after="0" w:line="240" w:lineRule="auto"/>
    </w:pPr>
    <w:rPr>
      <w:rFonts w:ascii="Source Sans Pro" w:hAnsi="Source Sans Pro" w:cs="Source Sans Pro"/>
      <w:color w:val="000000"/>
      <w:sz w:val="24"/>
      <w:szCs w:val="24"/>
    </w:rPr>
  </w:style>
  <w:style w:type="paragraph" w:styleId="FootnoteText">
    <w:name w:val="footnote text"/>
    <w:basedOn w:val="Normal"/>
    <w:link w:val="FootnoteTextChar"/>
    <w:uiPriority w:val="99"/>
    <w:semiHidden/>
    <w:unhideWhenUsed/>
    <w:rsid w:val="003220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0EC"/>
    <w:rPr>
      <w:sz w:val="20"/>
      <w:szCs w:val="20"/>
    </w:rPr>
  </w:style>
  <w:style w:type="character" w:styleId="FootnoteReference">
    <w:name w:val="footnote reference"/>
    <w:basedOn w:val="DefaultParagraphFont"/>
    <w:uiPriority w:val="99"/>
    <w:semiHidden/>
    <w:unhideWhenUsed/>
    <w:rsid w:val="003220EC"/>
    <w:rPr>
      <w:vertAlign w:val="superscript"/>
    </w:rPr>
  </w:style>
  <w:style w:type="paragraph" w:styleId="Revision">
    <w:name w:val="Revision"/>
    <w:hidden/>
    <w:uiPriority w:val="99"/>
    <w:semiHidden/>
    <w:rsid w:val="003A33A2"/>
    <w:pPr>
      <w:spacing w:after="0" w:line="240" w:lineRule="auto"/>
    </w:pPr>
  </w:style>
  <w:style w:type="paragraph" w:styleId="ListBullet">
    <w:name w:val="List Bullet"/>
    <w:basedOn w:val="Normal"/>
    <w:uiPriority w:val="99"/>
    <w:unhideWhenUsed/>
    <w:rsid w:val="00656908"/>
    <w:pPr>
      <w:numPr>
        <w:numId w:val="14"/>
      </w:numPr>
      <w:contextualSpacing/>
    </w:pPr>
  </w:style>
  <w:style w:type="character" w:styleId="Hyperlink">
    <w:name w:val="Hyperlink"/>
    <w:basedOn w:val="DefaultParagraphFont"/>
    <w:rsid w:val="00E920AF"/>
    <w:rPr>
      <w:color w:val="330099"/>
      <w:u w:val="single"/>
    </w:rPr>
  </w:style>
  <w:style w:type="character" w:styleId="PlaceholderText">
    <w:name w:val="Placeholder Text"/>
    <w:basedOn w:val="DefaultParagraphFont"/>
    <w:uiPriority w:val="99"/>
    <w:semiHidden/>
    <w:rsid w:val="00935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323">
      <w:bodyDiv w:val="1"/>
      <w:marLeft w:val="0"/>
      <w:marRight w:val="0"/>
      <w:marTop w:val="0"/>
      <w:marBottom w:val="0"/>
      <w:divBdr>
        <w:top w:val="none" w:sz="0" w:space="0" w:color="auto"/>
        <w:left w:val="none" w:sz="0" w:space="0" w:color="auto"/>
        <w:bottom w:val="none" w:sz="0" w:space="0" w:color="auto"/>
        <w:right w:val="none" w:sz="0" w:space="0" w:color="auto"/>
      </w:divBdr>
    </w:div>
    <w:div w:id="119032462">
      <w:bodyDiv w:val="1"/>
      <w:marLeft w:val="0"/>
      <w:marRight w:val="0"/>
      <w:marTop w:val="0"/>
      <w:marBottom w:val="0"/>
      <w:divBdr>
        <w:top w:val="none" w:sz="0" w:space="0" w:color="auto"/>
        <w:left w:val="none" w:sz="0" w:space="0" w:color="auto"/>
        <w:bottom w:val="none" w:sz="0" w:space="0" w:color="auto"/>
        <w:right w:val="none" w:sz="0" w:space="0" w:color="auto"/>
      </w:divBdr>
    </w:div>
    <w:div w:id="319314773">
      <w:bodyDiv w:val="1"/>
      <w:marLeft w:val="0"/>
      <w:marRight w:val="0"/>
      <w:marTop w:val="0"/>
      <w:marBottom w:val="0"/>
      <w:divBdr>
        <w:top w:val="none" w:sz="0" w:space="0" w:color="auto"/>
        <w:left w:val="none" w:sz="0" w:space="0" w:color="auto"/>
        <w:bottom w:val="none" w:sz="0" w:space="0" w:color="auto"/>
        <w:right w:val="none" w:sz="0" w:space="0" w:color="auto"/>
      </w:divBdr>
    </w:div>
    <w:div w:id="421146689">
      <w:bodyDiv w:val="1"/>
      <w:marLeft w:val="0"/>
      <w:marRight w:val="0"/>
      <w:marTop w:val="0"/>
      <w:marBottom w:val="0"/>
      <w:divBdr>
        <w:top w:val="none" w:sz="0" w:space="0" w:color="auto"/>
        <w:left w:val="none" w:sz="0" w:space="0" w:color="auto"/>
        <w:bottom w:val="none" w:sz="0" w:space="0" w:color="auto"/>
        <w:right w:val="none" w:sz="0" w:space="0" w:color="auto"/>
      </w:divBdr>
    </w:div>
    <w:div w:id="469324944">
      <w:bodyDiv w:val="1"/>
      <w:marLeft w:val="0"/>
      <w:marRight w:val="0"/>
      <w:marTop w:val="0"/>
      <w:marBottom w:val="0"/>
      <w:divBdr>
        <w:top w:val="none" w:sz="0" w:space="0" w:color="auto"/>
        <w:left w:val="none" w:sz="0" w:space="0" w:color="auto"/>
        <w:bottom w:val="none" w:sz="0" w:space="0" w:color="auto"/>
        <w:right w:val="none" w:sz="0" w:space="0" w:color="auto"/>
      </w:divBdr>
    </w:div>
    <w:div w:id="699823966">
      <w:bodyDiv w:val="1"/>
      <w:marLeft w:val="0"/>
      <w:marRight w:val="0"/>
      <w:marTop w:val="0"/>
      <w:marBottom w:val="0"/>
      <w:divBdr>
        <w:top w:val="none" w:sz="0" w:space="0" w:color="auto"/>
        <w:left w:val="none" w:sz="0" w:space="0" w:color="auto"/>
        <w:bottom w:val="none" w:sz="0" w:space="0" w:color="auto"/>
        <w:right w:val="none" w:sz="0" w:space="0" w:color="auto"/>
      </w:divBdr>
    </w:div>
    <w:div w:id="719986093">
      <w:bodyDiv w:val="1"/>
      <w:marLeft w:val="0"/>
      <w:marRight w:val="0"/>
      <w:marTop w:val="0"/>
      <w:marBottom w:val="0"/>
      <w:divBdr>
        <w:top w:val="none" w:sz="0" w:space="0" w:color="auto"/>
        <w:left w:val="none" w:sz="0" w:space="0" w:color="auto"/>
        <w:bottom w:val="none" w:sz="0" w:space="0" w:color="auto"/>
        <w:right w:val="none" w:sz="0" w:space="0" w:color="auto"/>
      </w:divBdr>
    </w:div>
    <w:div w:id="827745684">
      <w:bodyDiv w:val="1"/>
      <w:marLeft w:val="0"/>
      <w:marRight w:val="0"/>
      <w:marTop w:val="0"/>
      <w:marBottom w:val="0"/>
      <w:divBdr>
        <w:top w:val="none" w:sz="0" w:space="0" w:color="auto"/>
        <w:left w:val="none" w:sz="0" w:space="0" w:color="auto"/>
        <w:bottom w:val="none" w:sz="0" w:space="0" w:color="auto"/>
        <w:right w:val="none" w:sz="0" w:space="0" w:color="auto"/>
      </w:divBdr>
    </w:div>
    <w:div w:id="988947445">
      <w:bodyDiv w:val="1"/>
      <w:marLeft w:val="0"/>
      <w:marRight w:val="0"/>
      <w:marTop w:val="0"/>
      <w:marBottom w:val="0"/>
      <w:divBdr>
        <w:top w:val="none" w:sz="0" w:space="0" w:color="auto"/>
        <w:left w:val="none" w:sz="0" w:space="0" w:color="auto"/>
        <w:bottom w:val="none" w:sz="0" w:space="0" w:color="auto"/>
        <w:right w:val="none" w:sz="0" w:space="0" w:color="auto"/>
      </w:divBdr>
    </w:div>
    <w:div w:id="1214850597">
      <w:bodyDiv w:val="1"/>
      <w:marLeft w:val="0"/>
      <w:marRight w:val="0"/>
      <w:marTop w:val="0"/>
      <w:marBottom w:val="0"/>
      <w:divBdr>
        <w:top w:val="none" w:sz="0" w:space="0" w:color="auto"/>
        <w:left w:val="none" w:sz="0" w:space="0" w:color="auto"/>
        <w:bottom w:val="none" w:sz="0" w:space="0" w:color="auto"/>
        <w:right w:val="none" w:sz="0" w:space="0" w:color="auto"/>
      </w:divBdr>
    </w:div>
    <w:div w:id="1386218265">
      <w:bodyDiv w:val="1"/>
      <w:marLeft w:val="0"/>
      <w:marRight w:val="0"/>
      <w:marTop w:val="0"/>
      <w:marBottom w:val="0"/>
      <w:divBdr>
        <w:top w:val="none" w:sz="0" w:space="0" w:color="auto"/>
        <w:left w:val="none" w:sz="0" w:space="0" w:color="auto"/>
        <w:bottom w:val="none" w:sz="0" w:space="0" w:color="auto"/>
        <w:right w:val="none" w:sz="0" w:space="0" w:color="auto"/>
      </w:divBdr>
    </w:div>
    <w:div w:id="1406562424">
      <w:bodyDiv w:val="1"/>
      <w:marLeft w:val="0"/>
      <w:marRight w:val="0"/>
      <w:marTop w:val="0"/>
      <w:marBottom w:val="0"/>
      <w:divBdr>
        <w:top w:val="none" w:sz="0" w:space="0" w:color="auto"/>
        <w:left w:val="none" w:sz="0" w:space="0" w:color="auto"/>
        <w:bottom w:val="none" w:sz="0" w:space="0" w:color="auto"/>
        <w:right w:val="none" w:sz="0" w:space="0" w:color="auto"/>
      </w:divBdr>
    </w:div>
    <w:div w:id="1537961219">
      <w:bodyDiv w:val="1"/>
      <w:marLeft w:val="0"/>
      <w:marRight w:val="0"/>
      <w:marTop w:val="0"/>
      <w:marBottom w:val="0"/>
      <w:divBdr>
        <w:top w:val="none" w:sz="0" w:space="0" w:color="auto"/>
        <w:left w:val="none" w:sz="0" w:space="0" w:color="auto"/>
        <w:bottom w:val="none" w:sz="0" w:space="0" w:color="auto"/>
        <w:right w:val="none" w:sz="0" w:space="0" w:color="auto"/>
      </w:divBdr>
    </w:div>
    <w:div w:id="1581793430">
      <w:bodyDiv w:val="1"/>
      <w:marLeft w:val="0"/>
      <w:marRight w:val="0"/>
      <w:marTop w:val="0"/>
      <w:marBottom w:val="0"/>
      <w:divBdr>
        <w:top w:val="none" w:sz="0" w:space="0" w:color="auto"/>
        <w:left w:val="none" w:sz="0" w:space="0" w:color="auto"/>
        <w:bottom w:val="none" w:sz="0" w:space="0" w:color="auto"/>
        <w:right w:val="none" w:sz="0" w:space="0" w:color="auto"/>
      </w:divBdr>
    </w:div>
    <w:div w:id="1602447622">
      <w:bodyDiv w:val="1"/>
      <w:marLeft w:val="0"/>
      <w:marRight w:val="0"/>
      <w:marTop w:val="0"/>
      <w:marBottom w:val="0"/>
      <w:divBdr>
        <w:top w:val="none" w:sz="0" w:space="0" w:color="auto"/>
        <w:left w:val="none" w:sz="0" w:space="0" w:color="auto"/>
        <w:bottom w:val="none" w:sz="0" w:space="0" w:color="auto"/>
        <w:right w:val="none" w:sz="0" w:space="0" w:color="auto"/>
      </w:divBdr>
    </w:div>
    <w:div w:id="1821732946">
      <w:bodyDiv w:val="1"/>
      <w:marLeft w:val="0"/>
      <w:marRight w:val="0"/>
      <w:marTop w:val="0"/>
      <w:marBottom w:val="0"/>
      <w:divBdr>
        <w:top w:val="none" w:sz="0" w:space="0" w:color="auto"/>
        <w:left w:val="none" w:sz="0" w:space="0" w:color="auto"/>
        <w:bottom w:val="none" w:sz="0" w:space="0" w:color="auto"/>
        <w:right w:val="none" w:sz="0" w:space="0" w:color="auto"/>
      </w:divBdr>
    </w:div>
    <w:div w:id="1843423589">
      <w:bodyDiv w:val="1"/>
      <w:marLeft w:val="0"/>
      <w:marRight w:val="0"/>
      <w:marTop w:val="0"/>
      <w:marBottom w:val="0"/>
      <w:divBdr>
        <w:top w:val="none" w:sz="0" w:space="0" w:color="auto"/>
        <w:left w:val="none" w:sz="0" w:space="0" w:color="auto"/>
        <w:bottom w:val="none" w:sz="0" w:space="0" w:color="auto"/>
        <w:right w:val="none" w:sz="0" w:space="0" w:color="auto"/>
      </w:divBdr>
    </w:div>
    <w:div w:id="1908683073">
      <w:bodyDiv w:val="1"/>
      <w:marLeft w:val="0"/>
      <w:marRight w:val="0"/>
      <w:marTop w:val="0"/>
      <w:marBottom w:val="0"/>
      <w:divBdr>
        <w:top w:val="none" w:sz="0" w:space="0" w:color="auto"/>
        <w:left w:val="none" w:sz="0" w:space="0" w:color="auto"/>
        <w:bottom w:val="none" w:sz="0" w:space="0" w:color="auto"/>
        <w:right w:val="none" w:sz="0" w:space="0" w:color="auto"/>
      </w:divBdr>
    </w:div>
    <w:div w:id="20656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C265-52ED-4158-9952-191A9423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58</Pages>
  <Words>19413</Words>
  <Characters>110659</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129813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Bahr</dc:creator>
  <cp:keywords/>
  <dc:description/>
  <cp:lastModifiedBy>prbahr</cp:lastModifiedBy>
  <cp:revision>8</cp:revision>
  <cp:lastPrinted>2018-08-14T01:34:00Z</cp:lastPrinted>
  <dcterms:created xsi:type="dcterms:W3CDTF">2018-10-27T04:29:00Z</dcterms:created>
  <dcterms:modified xsi:type="dcterms:W3CDTF">2018-10-27T05:06:00Z</dcterms:modified>
</cp:coreProperties>
</file>