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ED9" w:rsidRPr="00E3013D" w:rsidRDefault="00731ED9" w:rsidP="00731ED9">
      <w:pPr>
        <w:spacing w:beforeLines="60" w:before="144" w:afterLines="60" w:after="144" w:line="240" w:lineRule="auto"/>
        <w:rPr>
          <w:sz w:val="24"/>
          <w:szCs w:val="24"/>
        </w:rPr>
      </w:pPr>
    </w:p>
    <w:tbl>
      <w:tblPr>
        <w:tblStyle w:val="TableGrid"/>
        <w:tblW w:w="11589" w:type="dxa"/>
        <w:jc w:val="center"/>
        <w:tblLayout w:type="fixed"/>
        <w:tblCellMar>
          <w:left w:w="115" w:type="dxa"/>
          <w:right w:w="115" w:type="dxa"/>
        </w:tblCellMar>
        <w:tblLook w:val="04A0" w:firstRow="1" w:lastRow="0" w:firstColumn="1" w:lastColumn="0" w:noHBand="0" w:noVBand="1"/>
      </w:tblPr>
      <w:tblGrid>
        <w:gridCol w:w="2541"/>
        <w:gridCol w:w="452"/>
        <w:gridCol w:w="2888"/>
        <w:gridCol w:w="4801"/>
        <w:gridCol w:w="907"/>
      </w:tblGrid>
      <w:tr w:rsidR="00722867" w:rsidRPr="00E3013D" w:rsidTr="00BA166B">
        <w:trPr>
          <w:trHeight w:val="1104"/>
          <w:jc w:val="center"/>
        </w:trPr>
        <w:tc>
          <w:tcPr>
            <w:tcW w:w="11589" w:type="dxa"/>
            <w:gridSpan w:val="5"/>
            <w:shd w:val="clear" w:color="auto" w:fill="FFC000"/>
          </w:tcPr>
          <w:p w:rsidR="00722867" w:rsidRDefault="00722867"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BC ASSESSMENT COMMITTEE MEETING</w:t>
            </w:r>
          </w:p>
          <w:p w:rsidR="00722867" w:rsidRPr="00610060" w:rsidRDefault="002F04B1"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September 11</w:t>
            </w:r>
            <w:r w:rsidRPr="002F04B1">
              <w:rPr>
                <w:rFonts w:ascii="Lucida Sans Unicode" w:eastAsia="Times New Roman" w:hAnsi="Lucida Sans Unicode" w:cs="Lucida Sans Unicode"/>
                <w:color w:val="000000"/>
                <w:kern w:val="28"/>
                <w:sz w:val="24"/>
                <w:szCs w:val="24"/>
                <w:vertAlign w:val="superscript"/>
              </w:rPr>
              <w:t>th</w:t>
            </w:r>
            <w:r>
              <w:rPr>
                <w:rFonts w:ascii="Lucida Sans Unicode" w:eastAsia="Times New Roman" w:hAnsi="Lucida Sans Unicode" w:cs="Lucida Sans Unicode"/>
                <w:color w:val="000000"/>
                <w:kern w:val="28"/>
                <w:sz w:val="24"/>
                <w:szCs w:val="24"/>
              </w:rPr>
              <w:t xml:space="preserve"> </w:t>
            </w:r>
            <w:r w:rsidR="00722867">
              <w:rPr>
                <w:rFonts w:ascii="Lucida Sans Unicode" w:eastAsia="Times New Roman" w:hAnsi="Lucida Sans Unicode" w:cs="Lucida Sans Unicode"/>
                <w:color w:val="000000"/>
                <w:kern w:val="28"/>
                <w:sz w:val="24"/>
                <w:szCs w:val="24"/>
              </w:rPr>
              <w:t xml:space="preserve"> 4pm-5pm in Collins Conference Center</w:t>
            </w:r>
          </w:p>
          <w:p w:rsidR="00722867" w:rsidRPr="00CF1D8E" w:rsidRDefault="00722867" w:rsidP="00894FC8">
            <w:pPr>
              <w:spacing w:line="240" w:lineRule="auto"/>
              <w:jc w:val="center"/>
              <w:rPr>
                <w:rFonts w:ascii="Century Gothic" w:eastAsia="Times New Roman" w:hAnsi="Century Gothic" w:cs="Century Gothic"/>
                <w:b/>
                <w:i/>
                <w:color w:val="000000"/>
                <w:kern w:val="28"/>
                <w:sz w:val="20"/>
                <w:szCs w:val="20"/>
              </w:rPr>
            </w:pPr>
            <w:r w:rsidRPr="00CF1D8E">
              <w:rPr>
                <w:rFonts w:ascii="Century Gothic" w:eastAsia="Times New Roman" w:hAnsi="Century Gothic" w:cs="Century Gothic"/>
                <w:b/>
                <w:i/>
                <w:color w:val="000000"/>
                <w:kern w:val="28"/>
                <w:sz w:val="20"/>
                <w:szCs w:val="20"/>
              </w:rPr>
              <w:t>Agendas, Minutes and Meeting Materials on the Committee Website</w:t>
            </w:r>
          </w:p>
          <w:p w:rsidR="00722867" w:rsidRPr="00CF1D8E" w:rsidRDefault="004904BD" w:rsidP="00894FC8">
            <w:pPr>
              <w:spacing w:line="240" w:lineRule="auto"/>
              <w:jc w:val="center"/>
              <w:rPr>
                <w:rFonts w:ascii="Times New Roman" w:eastAsia="Times New Roman" w:hAnsi="Times New Roman" w:cs="Times New Roman"/>
                <w:color w:val="000000"/>
                <w:kern w:val="28"/>
                <w:sz w:val="20"/>
                <w:szCs w:val="20"/>
              </w:rPr>
            </w:pPr>
            <w:hyperlink r:id="rId5" w:history="1">
              <w:r w:rsidR="00722867" w:rsidRPr="00CF1D8E">
                <w:rPr>
                  <w:rFonts w:ascii="Times New Roman" w:eastAsia="Times New Roman" w:hAnsi="Times New Roman" w:cs="Times New Roman"/>
                  <w:color w:val="AD1F1F"/>
                  <w:kern w:val="28"/>
                  <w:sz w:val="20"/>
                  <w:szCs w:val="20"/>
                  <w:u w:val="single"/>
                </w:rPr>
                <w:t>https://committees.kccd.edu/bc/committee/assessment</w:t>
              </w:r>
            </w:hyperlink>
          </w:p>
        </w:tc>
      </w:tr>
      <w:tr w:rsidR="009155BA" w:rsidRPr="00E65219" w:rsidTr="00BA166B">
        <w:trPr>
          <w:trHeight w:val="522"/>
          <w:jc w:val="center"/>
        </w:trPr>
        <w:tc>
          <w:tcPr>
            <w:tcW w:w="2541" w:type="dxa"/>
          </w:tcPr>
          <w:p w:rsidR="009155BA" w:rsidRDefault="009155BA" w:rsidP="00894FC8">
            <w:pPr>
              <w:spacing w:line="240" w:lineRule="auto"/>
              <w:jc w:val="center"/>
              <w:rPr>
                <w:rFonts w:ascii="Nyala" w:eastAsia="Times New Roman" w:hAnsi="Nyala" w:cs="Tahoma"/>
                <w:b/>
                <w:color w:val="2A2003"/>
                <w:kern w:val="28"/>
                <w:sz w:val="24"/>
                <w:szCs w:val="24"/>
              </w:rPr>
            </w:pPr>
          </w:p>
        </w:tc>
        <w:tc>
          <w:tcPr>
            <w:tcW w:w="452" w:type="dxa"/>
          </w:tcPr>
          <w:p w:rsidR="009155BA" w:rsidRPr="00E65219" w:rsidRDefault="009155BA" w:rsidP="00894FC8">
            <w:pPr>
              <w:spacing w:beforeLines="60" w:before="144" w:afterLines="60" w:after="144" w:line="240" w:lineRule="auto"/>
              <w:jc w:val="center"/>
            </w:pPr>
          </w:p>
        </w:tc>
        <w:tc>
          <w:tcPr>
            <w:tcW w:w="2888" w:type="dxa"/>
          </w:tcPr>
          <w:p w:rsidR="009155BA" w:rsidRPr="00722867" w:rsidRDefault="009155BA" w:rsidP="00722867">
            <w:pPr>
              <w:spacing w:beforeLines="60" w:before="144" w:afterLines="60" w:after="144" w:line="240" w:lineRule="auto"/>
              <w:jc w:val="center"/>
              <w:rPr>
                <w:b/>
              </w:rPr>
            </w:pPr>
            <w:r>
              <w:rPr>
                <w:b/>
              </w:rPr>
              <w:t>Present;</w:t>
            </w:r>
          </w:p>
        </w:tc>
        <w:tc>
          <w:tcPr>
            <w:tcW w:w="4801" w:type="dxa"/>
          </w:tcPr>
          <w:p w:rsidR="009155BA" w:rsidRDefault="009155BA" w:rsidP="00894FC8">
            <w:pPr>
              <w:spacing w:beforeLines="60" w:before="144" w:afterLines="60" w:after="144" w:line="240" w:lineRule="auto"/>
              <w:jc w:val="center"/>
              <w:rPr>
                <w:b/>
                <w:sz w:val="20"/>
                <w:szCs w:val="20"/>
              </w:rPr>
            </w:pPr>
            <w:r>
              <w:rPr>
                <w:b/>
                <w:sz w:val="20"/>
                <w:szCs w:val="20"/>
              </w:rPr>
              <w:t>Bill Moseley, Di Hoffman, Darrin Ekern, Eleonora Hicks, Galye Richardson, Savanna Andrasian, Janice Green, Faith Bradham, Nigie Shi, Brian Sivesind, Jana Richardson, Erica Menchaca, Sandy Davis, Edie Nelson, Pam Rivers, Maria Wright, and Stephen Waller</w:t>
            </w:r>
          </w:p>
        </w:tc>
        <w:tc>
          <w:tcPr>
            <w:tcW w:w="905" w:type="dxa"/>
          </w:tcPr>
          <w:p w:rsidR="009155BA" w:rsidRPr="00397C90" w:rsidRDefault="009155BA" w:rsidP="00894FC8">
            <w:pPr>
              <w:spacing w:beforeLines="60" w:before="144" w:afterLines="60" w:after="144" w:line="240" w:lineRule="auto"/>
              <w:jc w:val="center"/>
              <w:rPr>
                <w:sz w:val="20"/>
                <w:szCs w:val="20"/>
              </w:rPr>
            </w:pPr>
          </w:p>
        </w:tc>
      </w:tr>
      <w:tr w:rsidR="00722867" w:rsidRPr="00E65219" w:rsidTr="00BA166B">
        <w:trPr>
          <w:trHeight w:val="522"/>
          <w:jc w:val="center"/>
        </w:trPr>
        <w:tc>
          <w:tcPr>
            <w:tcW w:w="2541" w:type="dxa"/>
          </w:tcPr>
          <w:p w:rsidR="00722867" w:rsidRDefault="00722867" w:rsidP="00894FC8">
            <w:pPr>
              <w:spacing w:line="240" w:lineRule="auto"/>
              <w:jc w:val="center"/>
              <w:rPr>
                <w:rFonts w:ascii="Nyala" w:eastAsia="Times New Roman" w:hAnsi="Nyala" w:cs="Tahoma"/>
                <w:b/>
                <w:color w:val="2A2003"/>
                <w:kern w:val="28"/>
                <w:sz w:val="24"/>
                <w:szCs w:val="24"/>
              </w:rPr>
            </w:pPr>
          </w:p>
        </w:tc>
        <w:tc>
          <w:tcPr>
            <w:tcW w:w="452" w:type="dxa"/>
          </w:tcPr>
          <w:p w:rsidR="00722867" w:rsidRPr="00E65219" w:rsidRDefault="00722867" w:rsidP="00894FC8">
            <w:pPr>
              <w:spacing w:beforeLines="60" w:before="144" w:afterLines="60" w:after="144" w:line="240" w:lineRule="auto"/>
              <w:jc w:val="center"/>
            </w:pPr>
          </w:p>
        </w:tc>
        <w:tc>
          <w:tcPr>
            <w:tcW w:w="2888" w:type="dxa"/>
          </w:tcPr>
          <w:p w:rsidR="00722867" w:rsidRPr="00722867" w:rsidRDefault="00722867" w:rsidP="00722867">
            <w:pPr>
              <w:spacing w:beforeLines="60" w:before="144" w:afterLines="60" w:after="144" w:line="240" w:lineRule="auto"/>
              <w:jc w:val="center"/>
              <w:rPr>
                <w:b/>
              </w:rPr>
            </w:pPr>
            <w:r w:rsidRPr="00722867">
              <w:rPr>
                <w:b/>
              </w:rPr>
              <w:t>AGENDA ITEM</w:t>
            </w:r>
          </w:p>
        </w:tc>
        <w:tc>
          <w:tcPr>
            <w:tcW w:w="4801" w:type="dxa"/>
          </w:tcPr>
          <w:p w:rsidR="00722867" w:rsidRPr="00722867" w:rsidRDefault="00392B90" w:rsidP="00894FC8">
            <w:pPr>
              <w:spacing w:beforeLines="60" w:before="144" w:afterLines="60" w:after="144" w:line="240" w:lineRule="auto"/>
              <w:jc w:val="center"/>
              <w:rPr>
                <w:b/>
                <w:sz w:val="20"/>
                <w:szCs w:val="20"/>
              </w:rPr>
            </w:pPr>
            <w:r>
              <w:rPr>
                <w:b/>
                <w:sz w:val="20"/>
                <w:szCs w:val="20"/>
              </w:rPr>
              <w:t>NOTES/</w:t>
            </w:r>
            <w:r w:rsidR="00722867" w:rsidRPr="00722867">
              <w:rPr>
                <w:b/>
                <w:sz w:val="20"/>
                <w:szCs w:val="20"/>
              </w:rPr>
              <w:t>DISCUSSION/FOLLOW-UP/ACTION</w:t>
            </w:r>
          </w:p>
        </w:tc>
        <w:tc>
          <w:tcPr>
            <w:tcW w:w="905" w:type="dxa"/>
          </w:tcPr>
          <w:p w:rsidR="00722867" w:rsidRPr="00397C90" w:rsidRDefault="00722867" w:rsidP="00894FC8">
            <w:pPr>
              <w:spacing w:beforeLines="60" w:before="144" w:afterLines="60" w:after="144" w:line="240" w:lineRule="auto"/>
              <w:jc w:val="center"/>
              <w:rPr>
                <w:sz w:val="20"/>
                <w:szCs w:val="20"/>
              </w:rPr>
            </w:pPr>
          </w:p>
        </w:tc>
      </w:tr>
      <w:tr w:rsidR="00722867" w:rsidRPr="00E65219" w:rsidTr="00BA166B">
        <w:trPr>
          <w:trHeight w:val="943"/>
          <w:jc w:val="center"/>
        </w:trPr>
        <w:tc>
          <w:tcPr>
            <w:tcW w:w="2541" w:type="dxa"/>
            <w:vMerge w:val="restart"/>
          </w:tcPr>
          <w:p w:rsidR="00722867" w:rsidRDefault="00722867" w:rsidP="00894FC8">
            <w:pPr>
              <w:spacing w:line="240" w:lineRule="auto"/>
              <w:jc w:val="center"/>
              <w:rPr>
                <w:rFonts w:ascii="Nyala" w:eastAsia="Times New Roman" w:hAnsi="Nyala" w:cs="Tahoma"/>
                <w:b/>
                <w:color w:val="2A2003"/>
                <w:kern w:val="28"/>
                <w:sz w:val="24"/>
                <w:szCs w:val="24"/>
              </w:rPr>
            </w:pPr>
          </w:p>
          <w:p w:rsidR="00722867" w:rsidRDefault="00722867"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Bakersfield College Mission</w:t>
            </w:r>
          </w:p>
          <w:p w:rsidR="00722867" w:rsidRPr="00894FC8" w:rsidRDefault="00722867" w:rsidP="00894FC8">
            <w:pPr>
              <w:spacing w:line="240" w:lineRule="auto"/>
              <w:jc w:val="center"/>
              <w:rPr>
                <w:rFonts w:ascii="Nyala" w:eastAsia="Times New Roman" w:hAnsi="Nyala" w:cs="Tahoma"/>
                <w:color w:val="2A2003"/>
                <w:kern w:val="28"/>
              </w:rPr>
            </w:pPr>
            <w:r w:rsidRPr="00894FC8">
              <w:rPr>
                <w:rFonts w:ascii="Nyala" w:eastAsia="Times New Roman" w:hAnsi="Nyala" w:cs="Tahoma"/>
                <w:color w:val="2A2003"/>
                <w:kern w:val="28"/>
              </w:rPr>
              <w:t>Bakersfield College provides opportunities for students from diverse economic, cultural, and educational backgrounds to attain Associate and Baccalaureate degrees and certificates, workplace skills, and preparation for transfer. Our rigorous and supportive learning environment fosters students’ abilities to think critically, communicate effectively, and demonstrate competencies and skills in order to engage productively in their communities and the world.</w:t>
            </w:r>
          </w:p>
          <w:p w:rsidR="00722867" w:rsidRDefault="00722867" w:rsidP="00894FC8">
            <w:pPr>
              <w:spacing w:line="240" w:lineRule="auto"/>
              <w:rPr>
                <w:rFonts w:ascii="Nyala" w:eastAsia="Times New Roman" w:hAnsi="Nyala" w:cs="Tahoma"/>
                <w:b/>
                <w:color w:val="2A2003"/>
                <w:kern w:val="28"/>
                <w:sz w:val="24"/>
                <w:szCs w:val="24"/>
              </w:rPr>
            </w:pPr>
          </w:p>
          <w:p w:rsidR="00722867" w:rsidRPr="00392B90" w:rsidRDefault="00392B90" w:rsidP="00392B90">
            <w:pPr>
              <w:spacing w:line="240" w:lineRule="auto"/>
              <w:jc w:val="center"/>
              <w:rPr>
                <w:rFonts w:ascii="Nyala" w:eastAsia="Times New Roman" w:hAnsi="Nyala" w:cs="Tahoma"/>
                <w:b/>
                <w:color w:val="2A2003"/>
                <w:kern w:val="28"/>
                <w:sz w:val="20"/>
                <w:szCs w:val="20"/>
              </w:rPr>
            </w:pPr>
            <w:r w:rsidRPr="00392B90">
              <w:rPr>
                <w:rFonts w:ascii="Nyala" w:eastAsia="Times New Roman" w:hAnsi="Nyala" w:cs="Tahoma"/>
                <w:b/>
                <w:color w:val="2A2003"/>
                <w:kern w:val="28"/>
                <w:sz w:val="20"/>
                <w:szCs w:val="20"/>
              </w:rPr>
              <w:t xml:space="preserve">ASSESSMENT </w:t>
            </w:r>
            <w:r w:rsidR="00722867" w:rsidRPr="00392B90">
              <w:rPr>
                <w:rFonts w:ascii="Nyala" w:eastAsia="Times New Roman" w:hAnsi="Nyala" w:cs="Tahoma"/>
                <w:b/>
                <w:color w:val="2A2003"/>
                <w:kern w:val="28"/>
                <w:sz w:val="20"/>
                <w:szCs w:val="20"/>
              </w:rPr>
              <w:t>COMMITTEE</w:t>
            </w:r>
          </w:p>
          <w:p w:rsidR="00722867" w:rsidRDefault="00722867" w:rsidP="00392B90">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GOALS 17-18</w:t>
            </w:r>
          </w:p>
          <w:p w:rsidR="00722867" w:rsidRPr="00397C90" w:rsidRDefault="00722867" w:rsidP="0019577D">
            <w:pPr>
              <w:spacing w:line="240" w:lineRule="auto"/>
              <w:jc w:val="center"/>
              <w:rPr>
                <w:rFonts w:ascii="Nyala" w:eastAsia="Times New Roman" w:hAnsi="Nyala" w:cs="Tahoma"/>
                <w:i/>
                <w:color w:val="2A2003"/>
                <w:kern w:val="28"/>
                <w:lang w:val="en"/>
              </w:rPr>
            </w:pPr>
            <w:r w:rsidRPr="00397C90">
              <w:rPr>
                <w:rFonts w:ascii="Nyala" w:eastAsia="Times New Roman" w:hAnsi="Nyala" w:cs="Tahoma"/>
                <w:b/>
                <w:color w:val="2A2003"/>
                <w:kern w:val="28"/>
                <w:sz w:val="24"/>
                <w:szCs w:val="24"/>
              </w:rPr>
              <w:t>Goal 1:</w:t>
            </w:r>
            <w:r w:rsidRPr="00397C90">
              <w:rPr>
                <w:rFonts w:ascii="Nyala" w:eastAsia="Times New Roman" w:hAnsi="Nyala" w:cs="Tahoma"/>
                <w:color w:val="2A2003"/>
                <w:kern w:val="28"/>
                <w:sz w:val="24"/>
                <w:szCs w:val="24"/>
              </w:rPr>
              <w:t xml:space="preserve">  </w:t>
            </w:r>
          </w:p>
          <w:p w:rsidR="00392B90" w:rsidRDefault="00392B90" w:rsidP="00392B90">
            <w:pPr>
              <w:pStyle w:val="ListParagraph"/>
              <w:numPr>
                <w:ilvl w:val="0"/>
                <w:numId w:val="4"/>
              </w:numPr>
              <w:spacing w:line="240" w:lineRule="auto"/>
              <w:ind w:left="150" w:hanging="150"/>
              <w:rPr>
                <w:rFonts w:ascii="Nyala" w:eastAsia="Times New Roman" w:hAnsi="Nyala" w:cs="Tahoma"/>
                <w:color w:val="2A2003"/>
                <w:kern w:val="28"/>
                <w:sz w:val="20"/>
                <w:szCs w:val="24"/>
                <w:lang w:val="en"/>
              </w:rPr>
            </w:pPr>
            <w:r w:rsidRPr="00392B90">
              <w:rPr>
                <w:rFonts w:ascii="Nyala" w:eastAsia="Times New Roman" w:hAnsi="Nyala" w:cs="Tahoma"/>
                <w:color w:val="2A2003"/>
                <w:kern w:val="28"/>
                <w:sz w:val="20"/>
                <w:szCs w:val="24"/>
                <w:lang w:val="en"/>
              </w:rPr>
              <w:t>Ensure clear, thorough, measurable and level-appropriate SLO’s, PLO’s, AUO’s are developed, mapped and assessed on a regular basis.</w:t>
            </w:r>
          </w:p>
          <w:p w:rsidR="00392B90" w:rsidRDefault="00392B90" w:rsidP="00392B90">
            <w:pPr>
              <w:pStyle w:val="ListParagraph"/>
              <w:numPr>
                <w:ilvl w:val="0"/>
                <w:numId w:val="4"/>
              </w:numPr>
              <w:spacing w:line="240" w:lineRule="auto"/>
              <w:ind w:left="150" w:hanging="150"/>
              <w:rPr>
                <w:rFonts w:ascii="Nyala" w:eastAsia="Times New Roman" w:hAnsi="Nyala" w:cs="Tahoma"/>
                <w:color w:val="2A2003"/>
                <w:kern w:val="28"/>
                <w:sz w:val="20"/>
                <w:szCs w:val="24"/>
                <w:lang w:val="en"/>
              </w:rPr>
            </w:pPr>
            <w:r w:rsidRPr="00392B90">
              <w:rPr>
                <w:rFonts w:ascii="Nyala" w:eastAsia="Times New Roman" w:hAnsi="Nyala" w:cs="Tahoma"/>
                <w:color w:val="2A2003"/>
                <w:kern w:val="28"/>
                <w:sz w:val="20"/>
                <w:szCs w:val="24"/>
                <w:lang w:val="en"/>
              </w:rPr>
              <w:t>Assist in utilization of results of assessments for continuous improvement in student learning.</w:t>
            </w:r>
          </w:p>
          <w:p w:rsidR="00722867" w:rsidRPr="00392B90" w:rsidRDefault="00392B90" w:rsidP="00392B90">
            <w:pPr>
              <w:pStyle w:val="ListParagraph"/>
              <w:numPr>
                <w:ilvl w:val="0"/>
                <w:numId w:val="4"/>
              </w:numPr>
              <w:spacing w:line="240" w:lineRule="auto"/>
              <w:ind w:left="150" w:hanging="150"/>
              <w:rPr>
                <w:rFonts w:ascii="Nyala" w:eastAsia="Times New Roman" w:hAnsi="Nyala" w:cs="Tahoma"/>
                <w:color w:val="2A2003"/>
                <w:kern w:val="28"/>
                <w:sz w:val="20"/>
                <w:szCs w:val="24"/>
                <w:lang w:val="en"/>
              </w:rPr>
            </w:pPr>
            <w:r w:rsidRPr="00392B90">
              <w:rPr>
                <w:rFonts w:ascii="Nyala" w:eastAsia="Times New Roman" w:hAnsi="Nyala" w:cs="Tahoma"/>
                <w:color w:val="2A2003"/>
                <w:kern w:val="28"/>
                <w:sz w:val="20"/>
                <w:szCs w:val="24"/>
                <w:lang w:val="en"/>
              </w:rPr>
              <w:t>Provide faculty with tools needed to achieve competency in student learning assessment process.</w:t>
            </w:r>
          </w:p>
          <w:p w:rsidR="00392B90" w:rsidRDefault="00392B90" w:rsidP="00392B90">
            <w:pPr>
              <w:spacing w:line="240" w:lineRule="auto"/>
              <w:jc w:val="center"/>
              <w:rPr>
                <w:rFonts w:ascii="Nyala" w:eastAsia="Times New Roman" w:hAnsi="Nyala" w:cs="Tahoma"/>
                <w:b/>
                <w:color w:val="2A2003"/>
                <w:kern w:val="28"/>
                <w:sz w:val="24"/>
                <w:szCs w:val="24"/>
              </w:rPr>
            </w:pPr>
          </w:p>
          <w:p w:rsidR="00722867" w:rsidRPr="00392B90" w:rsidRDefault="00722867" w:rsidP="00392B90">
            <w:pPr>
              <w:spacing w:line="240" w:lineRule="auto"/>
              <w:jc w:val="center"/>
              <w:rPr>
                <w:rFonts w:ascii="Nyala" w:eastAsia="Times New Roman" w:hAnsi="Nyala" w:cs="Tahoma"/>
                <w:i/>
                <w:color w:val="2A2003"/>
                <w:kern w:val="28"/>
                <w:lang w:val="en"/>
              </w:rPr>
            </w:pPr>
            <w:r>
              <w:rPr>
                <w:rFonts w:ascii="Nyala" w:eastAsia="Times New Roman" w:hAnsi="Nyala" w:cs="Tahoma"/>
                <w:b/>
                <w:color w:val="2A2003"/>
                <w:kern w:val="28"/>
                <w:sz w:val="24"/>
                <w:szCs w:val="24"/>
              </w:rPr>
              <w:t>Goal 2:</w:t>
            </w:r>
          </w:p>
          <w:p w:rsidR="00722867" w:rsidRPr="00BA166B" w:rsidRDefault="00392B90" w:rsidP="00BA166B">
            <w:pPr>
              <w:spacing w:line="240" w:lineRule="auto"/>
              <w:rPr>
                <w:rFonts w:ascii="Nyala" w:eastAsia="Times New Roman" w:hAnsi="Nyala" w:cs="Tahoma"/>
                <w:color w:val="2A2003"/>
                <w:kern w:val="28"/>
                <w:sz w:val="20"/>
                <w:szCs w:val="20"/>
                <w:lang w:val="en"/>
              </w:rPr>
            </w:pPr>
            <w:r w:rsidRPr="00392B90">
              <w:rPr>
                <w:rFonts w:ascii="Nyala" w:eastAsia="Times New Roman" w:hAnsi="Nyala" w:cs="Tahoma"/>
                <w:color w:val="2A2003"/>
                <w:kern w:val="28"/>
                <w:sz w:val="20"/>
                <w:szCs w:val="20"/>
                <w:lang w:val="en"/>
              </w:rPr>
              <w:t xml:space="preserve">Broadly communicate the results of all assessment and </w:t>
            </w:r>
            <w:r w:rsidRPr="00392B90">
              <w:rPr>
                <w:rFonts w:ascii="Nyala" w:eastAsia="Times New Roman" w:hAnsi="Nyala" w:cs="Tahoma"/>
                <w:color w:val="2A2003"/>
                <w:kern w:val="28"/>
                <w:sz w:val="20"/>
                <w:szCs w:val="20"/>
                <w:lang w:val="en"/>
              </w:rPr>
              <w:lastRenderedPageBreak/>
              <w:t>evaluation activities for shared understanding and for sustained, substantive, and collegial dialogue about our strengths and weaknesses, setting appropriate priorities, student outcomes, and continuous improvement of student learning and achievement.</w:t>
            </w:r>
          </w:p>
          <w:p w:rsidR="00722867" w:rsidRPr="00FB7189" w:rsidRDefault="00722867" w:rsidP="0019577D">
            <w:pPr>
              <w:spacing w:line="240" w:lineRule="auto"/>
              <w:jc w:val="center"/>
              <w:rPr>
                <w:rFonts w:ascii="Nyala" w:eastAsia="Times New Roman" w:hAnsi="Nyala" w:cs="Tahoma"/>
                <w:i/>
                <w:color w:val="2A2003"/>
                <w:kern w:val="28"/>
                <w:lang w:val="en"/>
              </w:rPr>
            </w:pPr>
          </w:p>
        </w:tc>
        <w:tc>
          <w:tcPr>
            <w:tcW w:w="452" w:type="dxa"/>
          </w:tcPr>
          <w:p w:rsidR="00722867" w:rsidRPr="00E65219" w:rsidRDefault="00722867" w:rsidP="00894FC8">
            <w:pPr>
              <w:spacing w:beforeLines="60" w:before="144" w:afterLines="60" w:after="144" w:line="240" w:lineRule="auto"/>
              <w:jc w:val="center"/>
            </w:pPr>
            <w:r w:rsidRPr="00E65219">
              <w:lastRenderedPageBreak/>
              <w:t>1</w:t>
            </w:r>
          </w:p>
        </w:tc>
        <w:tc>
          <w:tcPr>
            <w:tcW w:w="2888" w:type="dxa"/>
          </w:tcPr>
          <w:p w:rsidR="00722867" w:rsidRDefault="00722867" w:rsidP="0019577D">
            <w:pPr>
              <w:spacing w:beforeLines="60" w:before="144" w:afterLines="60" w:after="144" w:line="240" w:lineRule="auto"/>
            </w:pPr>
            <w:r>
              <w:t xml:space="preserve">Call to Order &amp; </w:t>
            </w:r>
            <w:r w:rsidRPr="00E65219">
              <w:t>Welcome!</w:t>
            </w:r>
            <w:r>
              <w:t xml:space="preserve"> </w:t>
            </w:r>
          </w:p>
          <w:p w:rsidR="00392B90" w:rsidRPr="00E65219" w:rsidRDefault="00392B90" w:rsidP="0019577D">
            <w:pPr>
              <w:spacing w:beforeLines="60" w:before="144" w:afterLines="60" w:after="144" w:line="240" w:lineRule="auto"/>
            </w:pPr>
            <w:r>
              <w:t>Approve Minutes 8-28-17</w:t>
            </w:r>
          </w:p>
        </w:tc>
        <w:tc>
          <w:tcPr>
            <w:tcW w:w="4801" w:type="dxa"/>
          </w:tcPr>
          <w:p w:rsidR="00722867" w:rsidRDefault="00C15EA7" w:rsidP="00392B90">
            <w:pPr>
              <w:spacing w:beforeLines="60" w:before="144" w:afterLines="60" w:after="144" w:line="240" w:lineRule="auto"/>
              <w:rPr>
                <w:sz w:val="20"/>
                <w:szCs w:val="20"/>
              </w:rPr>
            </w:pPr>
            <w:r>
              <w:rPr>
                <w:sz w:val="20"/>
                <w:szCs w:val="20"/>
              </w:rPr>
              <w:t xml:space="preserve">Minutes approved, Brian Sivesind and </w:t>
            </w:r>
            <w:r w:rsidRPr="00C15EA7">
              <w:rPr>
                <w:sz w:val="20"/>
                <w:szCs w:val="20"/>
              </w:rPr>
              <w:t>Edie Nelson</w:t>
            </w:r>
            <w:r>
              <w:rPr>
                <w:sz w:val="20"/>
                <w:szCs w:val="20"/>
              </w:rPr>
              <w:t>.</w:t>
            </w:r>
          </w:p>
          <w:p w:rsidR="00C15EA7" w:rsidRPr="00397C90" w:rsidRDefault="00C15EA7" w:rsidP="00392B90">
            <w:pPr>
              <w:spacing w:beforeLines="60" w:before="144" w:afterLines="60" w:after="144" w:line="240" w:lineRule="auto"/>
              <w:rPr>
                <w:sz w:val="20"/>
                <w:szCs w:val="20"/>
              </w:rPr>
            </w:pPr>
            <w:r>
              <w:rPr>
                <w:sz w:val="20"/>
                <w:szCs w:val="20"/>
              </w:rPr>
              <w:t>Re-Introduced ourselves and new members.</w:t>
            </w:r>
          </w:p>
        </w:tc>
        <w:tc>
          <w:tcPr>
            <w:tcW w:w="905" w:type="dxa"/>
          </w:tcPr>
          <w:p w:rsidR="00722867" w:rsidRPr="00397C90" w:rsidRDefault="00722867" w:rsidP="00894FC8">
            <w:pPr>
              <w:spacing w:beforeLines="60" w:before="144" w:afterLines="60" w:after="144" w:line="240" w:lineRule="auto"/>
              <w:jc w:val="center"/>
              <w:rPr>
                <w:sz w:val="20"/>
                <w:szCs w:val="20"/>
              </w:rPr>
            </w:pPr>
            <w:r w:rsidRPr="00397C90">
              <w:rPr>
                <w:sz w:val="20"/>
                <w:szCs w:val="20"/>
              </w:rPr>
              <w:t>5 min</w:t>
            </w:r>
          </w:p>
        </w:tc>
      </w:tr>
      <w:tr w:rsidR="00722867" w:rsidRPr="00E65219" w:rsidTr="00BA166B">
        <w:trPr>
          <w:trHeight w:val="1262"/>
          <w:jc w:val="center"/>
        </w:trPr>
        <w:tc>
          <w:tcPr>
            <w:tcW w:w="2541" w:type="dxa"/>
            <w:vMerge/>
          </w:tcPr>
          <w:p w:rsidR="00722867" w:rsidRPr="00E65219" w:rsidRDefault="00722867" w:rsidP="00894FC8">
            <w:pPr>
              <w:spacing w:beforeLines="60" w:before="144" w:afterLines="60" w:after="144" w:line="240" w:lineRule="auto"/>
              <w:jc w:val="center"/>
            </w:pPr>
          </w:p>
        </w:tc>
        <w:tc>
          <w:tcPr>
            <w:tcW w:w="452" w:type="dxa"/>
          </w:tcPr>
          <w:p w:rsidR="00722867" w:rsidRPr="00E65219" w:rsidRDefault="00722867" w:rsidP="00894FC8">
            <w:pPr>
              <w:spacing w:beforeLines="60" w:before="144" w:afterLines="60" w:after="144" w:line="240" w:lineRule="auto"/>
              <w:jc w:val="center"/>
            </w:pPr>
            <w:r w:rsidRPr="00E65219">
              <w:t>2</w:t>
            </w:r>
          </w:p>
        </w:tc>
        <w:tc>
          <w:tcPr>
            <w:tcW w:w="2888" w:type="dxa"/>
          </w:tcPr>
          <w:p w:rsidR="00722867" w:rsidRPr="002F04B1" w:rsidRDefault="002F04B1" w:rsidP="002F04B1">
            <w:pPr>
              <w:spacing w:beforeLines="60" w:before="144" w:afterLines="60" w:after="144" w:line="240" w:lineRule="auto"/>
            </w:pPr>
            <w:r w:rsidRPr="002F04B1">
              <w:t>Membership follow-up</w:t>
            </w:r>
          </w:p>
        </w:tc>
        <w:tc>
          <w:tcPr>
            <w:tcW w:w="4801" w:type="dxa"/>
          </w:tcPr>
          <w:p w:rsidR="00722867" w:rsidRDefault="00C15EA7" w:rsidP="00392B90">
            <w:pPr>
              <w:spacing w:beforeLines="60" w:before="144" w:afterLines="60" w:after="144" w:line="240" w:lineRule="auto"/>
              <w:rPr>
                <w:sz w:val="20"/>
                <w:szCs w:val="20"/>
              </w:rPr>
            </w:pPr>
            <w:r>
              <w:rPr>
                <w:sz w:val="20"/>
                <w:szCs w:val="20"/>
              </w:rPr>
              <w:t>Di talked about membership and nee</w:t>
            </w:r>
            <w:r w:rsidR="00CF21CE">
              <w:rPr>
                <w:sz w:val="20"/>
                <w:szCs w:val="20"/>
              </w:rPr>
              <w:t xml:space="preserve">d to get adjunct on board and that departments need to keep them informed. </w:t>
            </w:r>
            <w:r w:rsidR="00CF21CE" w:rsidRPr="004904BD">
              <w:rPr>
                <w:strike/>
                <w:color w:val="FF0000"/>
                <w:sz w:val="20"/>
                <w:szCs w:val="20"/>
              </w:rPr>
              <w:t>Adjuncts need to assess, but department compiles data.</w:t>
            </w:r>
          </w:p>
          <w:p w:rsidR="00392B90" w:rsidRDefault="00392B90" w:rsidP="00392B90">
            <w:pPr>
              <w:spacing w:beforeLines="60" w:before="144" w:afterLines="60" w:after="144" w:line="240" w:lineRule="auto"/>
              <w:rPr>
                <w:sz w:val="20"/>
                <w:szCs w:val="20"/>
              </w:rPr>
            </w:pPr>
          </w:p>
          <w:p w:rsidR="00392B90" w:rsidRDefault="00392B90" w:rsidP="00392B90">
            <w:pPr>
              <w:spacing w:beforeLines="60" w:before="144" w:afterLines="60" w:after="144" w:line="240" w:lineRule="auto"/>
              <w:rPr>
                <w:sz w:val="20"/>
                <w:szCs w:val="20"/>
              </w:rPr>
            </w:pPr>
          </w:p>
        </w:tc>
        <w:tc>
          <w:tcPr>
            <w:tcW w:w="905" w:type="dxa"/>
          </w:tcPr>
          <w:p w:rsidR="00722867" w:rsidRPr="00397C90" w:rsidRDefault="002F04B1" w:rsidP="00894FC8">
            <w:pPr>
              <w:spacing w:beforeLines="60" w:before="144" w:afterLines="60" w:after="144" w:line="240" w:lineRule="auto"/>
              <w:jc w:val="center"/>
              <w:rPr>
                <w:sz w:val="20"/>
                <w:szCs w:val="20"/>
              </w:rPr>
            </w:pPr>
            <w:r>
              <w:rPr>
                <w:sz w:val="20"/>
                <w:szCs w:val="20"/>
              </w:rPr>
              <w:t>1</w:t>
            </w:r>
            <w:r w:rsidR="00722867">
              <w:rPr>
                <w:sz w:val="20"/>
                <w:szCs w:val="20"/>
              </w:rPr>
              <w:t>0</w:t>
            </w:r>
            <w:r w:rsidR="00722867" w:rsidRPr="00397C90">
              <w:rPr>
                <w:sz w:val="20"/>
                <w:szCs w:val="20"/>
              </w:rPr>
              <w:t xml:space="preserve"> min</w:t>
            </w:r>
          </w:p>
        </w:tc>
      </w:tr>
      <w:tr w:rsidR="00722867" w:rsidRPr="00E65219" w:rsidTr="00BA166B">
        <w:trPr>
          <w:trHeight w:val="1610"/>
          <w:jc w:val="center"/>
        </w:trPr>
        <w:tc>
          <w:tcPr>
            <w:tcW w:w="2541" w:type="dxa"/>
            <w:vMerge/>
          </w:tcPr>
          <w:p w:rsidR="00722867" w:rsidRPr="00E65219" w:rsidRDefault="00722867" w:rsidP="00894FC8">
            <w:pPr>
              <w:spacing w:beforeLines="60" w:before="144" w:afterLines="60" w:after="144" w:line="240" w:lineRule="auto"/>
              <w:jc w:val="center"/>
            </w:pPr>
          </w:p>
        </w:tc>
        <w:tc>
          <w:tcPr>
            <w:tcW w:w="452" w:type="dxa"/>
          </w:tcPr>
          <w:p w:rsidR="00722867" w:rsidRPr="00E65219" w:rsidRDefault="00722867" w:rsidP="00894FC8">
            <w:pPr>
              <w:spacing w:beforeLines="60" w:before="144" w:afterLines="60" w:after="144" w:line="240" w:lineRule="auto"/>
              <w:jc w:val="center"/>
            </w:pPr>
            <w:r w:rsidRPr="00E65219">
              <w:t>4</w:t>
            </w:r>
          </w:p>
        </w:tc>
        <w:tc>
          <w:tcPr>
            <w:tcW w:w="2888" w:type="dxa"/>
          </w:tcPr>
          <w:p w:rsidR="00722867" w:rsidRDefault="002F04B1" w:rsidP="0014345C">
            <w:pPr>
              <w:spacing w:beforeLines="60" w:before="144" w:afterLines="60" w:after="144" w:line="240" w:lineRule="auto"/>
            </w:pPr>
            <w:r>
              <w:t xml:space="preserve">Accreditation Presentation – </w:t>
            </w:r>
            <w:r w:rsidR="0014345C">
              <w:t>Krista Moreland</w:t>
            </w:r>
          </w:p>
          <w:p w:rsidR="00392B90" w:rsidRDefault="00392B90" w:rsidP="0014345C">
            <w:pPr>
              <w:spacing w:beforeLines="60" w:before="144" w:afterLines="60" w:after="144" w:line="240" w:lineRule="auto"/>
            </w:pPr>
          </w:p>
          <w:p w:rsidR="00392B90" w:rsidRPr="00E65219" w:rsidRDefault="00392B90" w:rsidP="0014345C">
            <w:pPr>
              <w:spacing w:beforeLines="60" w:before="144" w:afterLines="60" w:after="144" w:line="240" w:lineRule="auto"/>
            </w:pPr>
          </w:p>
        </w:tc>
        <w:tc>
          <w:tcPr>
            <w:tcW w:w="4801" w:type="dxa"/>
          </w:tcPr>
          <w:p w:rsidR="00722867" w:rsidRPr="00397C90" w:rsidRDefault="00CF21CE" w:rsidP="00CF21CE">
            <w:pPr>
              <w:spacing w:beforeLines="60" w:before="144" w:afterLines="60" w:after="144" w:line="240" w:lineRule="auto"/>
              <w:rPr>
                <w:sz w:val="20"/>
                <w:szCs w:val="20"/>
              </w:rPr>
            </w:pPr>
            <w:r>
              <w:rPr>
                <w:sz w:val="20"/>
                <w:szCs w:val="20"/>
              </w:rPr>
              <w:t>Krista Moreland did a short presentation about Accreditation and reminded us anyone can be asked questions when the team is on campus. She reminded us there is a link on our website.</w:t>
            </w:r>
          </w:p>
        </w:tc>
        <w:tc>
          <w:tcPr>
            <w:tcW w:w="905" w:type="dxa"/>
          </w:tcPr>
          <w:p w:rsidR="00722867" w:rsidRPr="00397C90" w:rsidRDefault="002F04B1" w:rsidP="00894FC8">
            <w:pPr>
              <w:spacing w:beforeLines="60" w:before="144" w:afterLines="60" w:after="144" w:line="240" w:lineRule="auto"/>
              <w:jc w:val="center"/>
              <w:rPr>
                <w:sz w:val="20"/>
                <w:szCs w:val="20"/>
              </w:rPr>
            </w:pPr>
            <w:r>
              <w:rPr>
                <w:sz w:val="20"/>
                <w:szCs w:val="20"/>
              </w:rPr>
              <w:t>1</w:t>
            </w:r>
            <w:r w:rsidR="00722867" w:rsidRPr="00397C90">
              <w:rPr>
                <w:sz w:val="20"/>
                <w:szCs w:val="20"/>
              </w:rPr>
              <w:t>5 min</w:t>
            </w:r>
          </w:p>
        </w:tc>
      </w:tr>
      <w:tr w:rsidR="00722867" w:rsidRPr="00E65219" w:rsidTr="00BA166B">
        <w:trPr>
          <w:trHeight w:val="1044"/>
          <w:jc w:val="center"/>
        </w:trPr>
        <w:tc>
          <w:tcPr>
            <w:tcW w:w="2541" w:type="dxa"/>
            <w:vMerge/>
          </w:tcPr>
          <w:p w:rsidR="00722867" w:rsidRPr="00E65219" w:rsidRDefault="00722867" w:rsidP="00894FC8">
            <w:pPr>
              <w:spacing w:beforeLines="60" w:before="144" w:afterLines="60" w:after="144" w:line="240" w:lineRule="auto"/>
              <w:jc w:val="center"/>
            </w:pPr>
          </w:p>
        </w:tc>
        <w:tc>
          <w:tcPr>
            <w:tcW w:w="452" w:type="dxa"/>
          </w:tcPr>
          <w:p w:rsidR="00722867" w:rsidRPr="00E65219" w:rsidRDefault="00722867" w:rsidP="00894FC8">
            <w:pPr>
              <w:spacing w:beforeLines="60" w:before="144" w:afterLines="60" w:after="144" w:line="240" w:lineRule="auto"/>
              <w:jc w:val="center"/>
            </w:pPr>
            <w:r w:rsidRPr="00E65219">
              <w:t>6</w:t>
            </w:r>
          </w:p>
        </w:tc>
        <w:tc>
          <w:tcPr>
            <w:tcW w:w="2888" w:type="dxa"/>
          </w:tcPr>
          <w:p w:rsidR="00722867" w:rsidRDefault="00722867" w:rsidP="00392B90">
            <w:pPr>
              <w:spacing w:line="240" w:lineRule="auto"/>
            </w:pPr>
            <w:r>
              <w:t>Review charge:</w:t>
            </w:r>
          </w:p>
          <w:p w:rsidR="00392B90" w:rsidRDefault="00392B90" w:rsidP="00392B90">
            <w:pPr>
              <w:spacing w:line="240" w:lineRule="auto"/>
            </w:pPr>
          </w:p>
          <w:p w:rsidR="00392B90" w:rsidRDefault="00392B90" w:rsidP="00392B90">
            <w:pPr>
              <w:spacing w:line="240" w:lineRule="auto"/>
            </w:pPr>
          </w:p>
          <w:p w:rsidR="00392B90" w:rsidRPr="00E65219" w:rsidRDefault="00392B90" w:rsidP="00392B90">
            <w:pPr>
              <w:spacing w:line="240" w:lineRule="auto"/>
            </w:pPr>
          </w:p>
        </w:tc>
        <w:tc>
          <w:tcPr>
            <w:tcW w:w="4801" w:type="dxa"/>
          </w:tcPr>
          <w:p w:rsidR="00722867" w:rsidRDefault="00CF21CE" w:rsidP="00CF21CE">
            <w:pPr>
              <w:spacing w:beforeLines="60" w:before="144" w:afterLines="60" w:after="144" w:line="240" w:lineRule="auto"/>
              <w:rPr>
                <w:sz w:val="20"/>
                <w:szCs w:val="20"/>
              </w:rPr>
            </w:pPr>
            <w:r>
              <w:rPr>
                <w:sz w:val="20"/>
                <w:szCs w:val="20"/>
              </w:rPr>
              <w:t>We reviewed the Charge and made only a few minor changes. It will be sent to</w:t>
            </w:r>
            <w:r w:rsidR="004904BD">
              <w:rPr>
                <w:sz w:val="20"/>
                <w:szCs w:val="20"/>
              </w:rPr>
              <w:t xml:space="preserve"> </w:t>
            </w:r>
            <w:r w:rsidR="004904BD" w:rsidRPr="004904BD">
              <w:rPr>
                <w:color w:val="FF0000"/>
                <w:sz w:val="20"/>
                <w:szCs w:val="20"/>
              </w:rPr>
              <w:t>Academic Senate Exec Board,</w:t>
            </w:r>
            <w:r w:rsidRPr="004904BD">
              <w:rPr>
                <w:color w:val="FF0000"/>
                <w:sz w:val="20"/>
                <w:szCs w:val="20"/>
              </w:rPr>
              <w:t xml:space="preserve"> </w:t>
            </w:r>
            <w:r>
              <w:rPr>
                <w:sz w:val="20"/>
                <w:szCs w:val="20"/>
              </w:rPr>
              <w:t>Academic Senate and the College Council for approval, then posted to the Assessment webpage.</w:t>
            </w:r>
          </w:p>
        </w:tc>
        <w:tc>
          <w:tcPr>
            <w:tcW w:w="905" w:type="dxa"/>
          </w:tcPr>
          <w:p w:rsidR="00722867" w:rsidRPr="00397C90" w:rsidRDefault="00392B90" w:rsidP="00894FC8">
            <w:pPr>
              <w:spacing w:beforeLines="60" w:before="144" w:afterLines="60" w:after="144" w:line="240" w:lineRule="auto"/>
              <w:jc w:val="center"/>
              <w:rPr>
                <w:sz w:val="20"/>
                <w:szCs w:val="20"/>
              </w:rPr>
            </w:pPr>
            <w:r>
              <w:rPr>
                <w:sz w:val="20"/>
                <w:szCs w:val="20"/>
              </w:rPr>
              <w:t>1</w:t>
            </w:r>
            <w:r w:rsidR="00722867">
              <w:rPr>
                <w:sz w:val="20"/>
                <w:szCs w:val="20"/>
              </w:rPr>
              <w:t>0</w:t>
            </w:r>
            <w:r w:rsidR="00722867" w:rsidRPr="00397C90">
              <w:rPr>
                <w:sz w:val="20"/>
                <w:szCs w:val="20"/>
              </w:rPr>
              <w:t xml:space="preserve"> min</w:t>
            </w:r>
          </w:p>
        </w:tc>
      </w:tr>
      <w:tr w:rsidR="00FD02FC" w:rsidRPr="00E65219" w:rsidTr="00BA166B">
        <w:trPr>
          <w:trHeight w:val="812"/>
          <w:jc w:val="center"/>
        </w:trPr>
        <w:tc>
          <w:tcPr>
            <w:tcW w:w="2541" w:type="dxa"/>
            <w:vMerge/>
          </w:tcPr>
          <w:p w:rsidR="00FD02FC" w:rsidRPr="00E65219" w:rsidRDefault="00FD02FC" w:rsidP="00894FC8">
            <w:pPr>
              <w:spacing w:beforeLines="60" w:before="144" w:afterLines="60" w:after="144" w:line="240" w:lineRule="auto"/>
              <w:jc w:val="center"/>
            </w:pPr>
          </w:p>
        </w:tc>
        <w:tc>
          <w:tcPr>
            <w:tcW w:w="452" w:type="dxa"/>
          </w:tcPr>
          <w:p w:rsidR="00FD02FC" w:rsidRPr="00E65219" w:rsidRDefault="00FD02FC" w:rsidP="00894FC8">
            <w:pPr>
              <w:spacing w:beforeLines="60" w:before="144" w:afterLines="60" w:after="144" w:line="240" w:lineRule="auto"/>
              <w:jc w:val="center"/>
            </w:pPr>
            <w:r>
              <w:t>7</w:t>
            </w:r>
          </w:p>
        </w:tc>
        <w:tc>
          <w:tcPr>
            <w:tcW w:w="2888" w:type="dxa"/>
          </w:tcPr>
          <w:p w:rsidR="00FD02FC" w:rsidRDefault="00FD02FC" w:rsidP="00392B90">
            <w:pPr>
              <w:spacing w:beforeLines="60" w:before="144" w:afterLines="60" w:after="144" w:line="240" w:lineRule="auto"/>
            </w:pPr>
            <w:r>
              <w:t>IEPI – Letter of Interest, timeline</w:t>
            </w:r>
          </w:p>
        </w:tc>
        <w:tc>
          <w:tcPr>
            <w:tcW w:w="4801" w:type="dxa"/>
          </w:tcPr>
          <w:p w:rsidR="00FD02FC" w:rsidRPr="004904BD" w:rsidRDefault="00CF21CE" w:rsidP="00CF21CE">
            <w:pPr>
              <w:spacing w:beforeLines="60" w:before="144" w:afterLines="60" w:after="144" w:line="240" w:lineRule="auto"/>
              <w:rPr>
                <w:color w:val="FF0000"/>
                <w:sz w:val="20"/>
                <w:szCs w:val="20"/>
              </w:rPr>
            </w:pPr>
            <w:r>
              <w:rPr>
                <w:sz w:val="20"/>
                <w:szCs w:val="20"/>
              </w:rPr>
              <w:t xml:space="preserve">Bill explained IEPI and the State sponsored program with grand funding. BC is wanting to </w:t>
            </w:r>
            <w:r w:rsidRPr="004904BD">
              <w:rPr>
                <w:strike/>
                <w:color w:val="FF0000"/>
                <w:sz w:val="20"/>
                <w:szCs w:val="20"/>
              </w:rPr>
              <w:t xml:space="preserve">implement </w:t>
            </w:r>
            <w:proofErr w:type="spellStart"/>
            <w:r w:rsidR="00882721" w:rsidRPr="004904BD">
              <w:rPr>
                <w:strike/>
                <w:color w:val="FF0000"/>
                <w:sz w:val="20"/>
                <w:szCs w:val="20"/>
              </w:rPr>
              <w:t>eLumen</w:t>
            </w:r>
            <w:proofErr w:type="spellEnd"/>
            <w:r w:rsidR="00882721" w:rsidRPr="004904BD">
              <w:rPr>
                <w:strike/>
                <w:color w:val="FF0000"/>
                <w:sz w:val="20"/>
                <w:szCs w:val="20"/>
              </w:rPr>
              <w:t xml:space="preserve"> with Canvas</w:t>
            </w:r>
            <w:r w:rsidR="004904BD" w:rsidRPr="004904BD">
              <w:rPr>
                <w:color w:val="FF0000"/>
                <w:sz w:val="20"/>
                <w:szCs w:val="20"/>
              </w:rPr>
              <w:t xml:space="preserve"> </w:t>
            </w:r>
            <w:r w:rsidR="004904BD">
              <w:rPr>
                <w:color w:val="FF0000"/>
                <w:sz w:val="20"/>
                <w:szCs w:val="20"/>
              </w:rPr>
              <w:t>improve our systems technology (</w:t>
            </w:r>
            <w:proofErr w:type="spellStart"/>
            <w:r w:rsidR="004904BD">
              <w:rPr>
                <w:color w:val="FF0000"/>
                <w:sz w:val="20"/>
                <w:szCs w:val="20"/>
              </w:rPr>
              <w:t>eLumen</w:t>
            </w:r>
            <w:proofErr w:type="spellEnd"/>
            <w:r w:rsidR="004904BD">
              <w:rPr>
                <w:color w:val="FF0000"/>
                <w:sz w:val="20"/>
                <w:szCs w:val="20"/>
              </w:rPr>
              <w:t>, Canvas) to support faculty with assessments</w:t>
            </w:r>
            <w:r w:rsidR="00882721">
              <w:rPr>
                <w:sz w:val="20"/>
                <w:szCs w:val="20"/>
              </w:rPr>
              <w:t xml:space="preserve">. VP’s from both companies are involved. </w:t>
            </w:r>
            <w:r>
              <w:rPr>
                <w:sz w:val="20"/>
                <w:szCs w:val="20"/>
              </w:rPr>
              <w:t>Oct. 4</w:t>
            </w:r>
            <w:r w:rsidRPr="00CF21CE">
              <w:rPr>
                <w:sz w:val="20"/>
                <w:szCs w:val="20"/>
                <w:vertAlign w:val="superscript"/>
              </w:rPr>
              <w:t>th</w:t>
            </w:r>
            <w:r>
              <w:rPr>
                <w:sz w:val="20"/>
                <w:szCs w:val="20"/>
              </w:rPr>
              <w:t xml:space="preserve"> will be the first visit of the IEPI. We need Assessment Comm</w:t>
            </w:r>
            <w:r w:rsidR="00882721">
              <w:rPr>
                <w:sz w:val="20"/>
                <w:szCs w:val="20"/>
              </w:rPr>
              <w:t>.</w:t>
            </w:r>
            <w:r>
              <w:rPr>
                <w:sz w:val="20"/>
                <w:szCs w:val="20"/>
              </w:rPr>
              <w:t xml:space="preserve"> </w:t>
            </w:r>
            <w:r w:rsidR="00882721">
              <w:rPr>
                <w:sz w:val="20"/>
                <w:szCs w:val="20"/>
              </w:rPr>
              <w:t>F</w:t>
            </w:r>
            <w:r>
              <w:rPr>
                <w:sz w:val="20"/>
                <w:szCs w:val="20"/>
              </w:rPr>
              <w:t>aculty to join.</w:t>
            </w:r>
            <w:r w:rsidR="004904BD">
              <w:rPr>
                <w:sz w:val="20"/>
                <w:szCs w:val="20"/>
              </w:rPr>
              <w:t xml:space="preserve">  </w:t>
            </w:r>
            <w:r w:rsidR="004904BD">
              <w:rPr>
                <w:color w:val="FF0000"/>
                <w:sz w:val="20"/>
                <w:szCs w:val="20"/>
              </w:rPr>
              <w:t>Di will be emailing a survey to committee members regarding the current assessment process, please complete to assist with gathering data for 10/4 mtg.</w:t>
            </w:r>
          </w:p>
        </w:tc>
        <w:tc>
          <w:tcPr>
            <w:tcW w:w="905" w:type="dxa"/>
          </w:tcPr>
          <w:p w:rsidR="00FD02FC" w:rsidRDefault="00FD02FC" w:rsidP="00894FC8">
            <w:pPr>
              <w:spacing w:beforeLines="60" w:before="144" w:afterLines="60" w:after="144" w:line="240" w:lineRule="auto"/>
              <w:jc w:val="center"/>
              <w:rPr>
                <w:sz w:val="20"/>
                <w:szCs w:val="20"/>
              </w:rPr>
            </w:pPr>
            <w:r>
              <w:rPr>
                <w:sz w:val="20"/>
                <w:szCs w:val="20"/>
              </w:rPr>
              <w:t>10 min</w:t>
            </w:r>
          </w:p>
        </w:tc>
      </w:tr>
      <w:tr w:rsidR="00722867" w:rsidRPr="00E65219" w:rsidTr="00BA166B">
        <w:trPr>
          <w:trHeight w:val="1349"/>
          <w:jc w:val="center"/>
        </w:trPr>
        <w:tc>
          <w:tcPr>
            <w:tcW w:w="2541" w:type="dxa"/>
            <w:vMerge/>
          </w:tcPr>
          <w:p w:rsidR="00722867" w:rsidRPr="00E65219" w:rsidRDefault="00722867" w:rsidP="00894FC8">
            <w:pPr>
              <w:spacing w:beforeLines="60" w:before="144" w:afterLines="60" w:after="144" w:line="240" w:lineRule="auto"/>
              <w:jc w:val="center"/>
            </w:pPr>
          </w:p>
        </w:tc>
        <w:tc>
          <w:tcPr>
            <w:tcW w:w="452" w:type="dxa"/>
          </w:tcPr>
          <w:p w:rsidR="00722867" w:rsidRPr="00E65219" w:rsidRDefault="00FD02FC" w:rsidP="00894FC8">
            <w:pPr>
              <w:spacing w:beforeLines="60" w:before="144" w:afterLines="60" w:after="144" w:line="240" w:lineRule="auto"/>
              <w:jc w:val="center"/>
            </w:pPr>
            <w:r>
              <w:t>8</w:t>
            </w:r>
          </w:p>
        </w:tc>
        <w:tc>
          <w:tcPr>
            <w:tcW w:w="2888" w:type="dxa"/>
          </w:tcPr>
          <w:p w:rsidR="00722867" w:rsidRDefault="00392B90" w:rsidP="00392B90">
            <w:pPr>
              <w:spacing w:beforeLines="60" w:before="144" w:afterLines="60" w:after="144" w:line="240" w:lineRule="auto"/>
            </w:pPr>
            <w:r>
              <w:t>Action Plan and Assignments</w:t>
            </w:r>
          </w:p>
          <w:p w:rsidR="00392B90" w:rsidRDefault="00392B90" w:rsidP="00392B90">
            <w:pPr>
              <w:spacing w:beforeLines="60" w:before="144" w:afterLines="60" w:after="144" w:line="240" w:lineRule="auto"/>
            </w:pPr>
          </w:p>
          <w:p w:rsidR="00392B90" w:rsidRPr="00E65219" w:rsidRDefault="00392B90" w:rsidP="00392B90">
            <w:pPr>
              <w:spacing w:beforeLines="60" w:before="144" w:afterLines="60" w:after="144" w:line="240" w:lineRule="auto"/>
            </w:pPr>
          </w:p>
        </w:tc>
        <w:tc>
          <w:tcPr>
            <w:tcW w:w="4801" w:type="dxa"/>
          </w:tcPr>
          <w:p w:rsidR="00722867" w:rsidRPr="004904BD" w:rsidRDefault="00882721" w:rsidP="00882721">
            <w:pPr>
              <w:spacing w:beforeLines="60" w:before="144" w:afterLines="60" w:after="144" w:line="240" w:lineRule="auto"/>
              <w:rPr>
                <w:color w:val="FF0000"/>
                <w:sz w:val="20"/>
                <w:szCs w:val="20"/>
              </w:rPr>
            </w:pPr>
            <w:r>
              <w:rPr>
                <w:sz w:val="20"/>
                <w:szCs w:val="20"/>
              </w:rPr>
              <w:t>A few more people have signed up for an action plan activity. There are still openings.</w:t>
            </w:r>
            <w:r w:rsidR="004904BD">
              <w:rPr>
                <w:color w:val="FF0000"/>
                <w:sz w:val="20"/>
                <w:szCs w:val="20"/>
              </w:rPr>
              <w:t xml:space="preserve"> Email Di to sign up for a project</w:t>
            </w:r>
            <w:bookmarkStart w:id="0" w:name="_GoBack"/>
            <w:bookmarkEnd w:id="0"/>
          </w:p>
        </w:tc>
        <w:tc>
          <w:tcPr>
            <w:tcW w:w="905" w:type="dxa"/>
          </w:tcPr>
          <w:p w:rsidR="00722867" w:rsidRPr="00397C90" w:rsidRDefault="00722867" w:rsidP="00894FC8">
            <w:pPr>
              <w:spacing w:beforeLines="60" w:before="144" w:afterLines="60" w:after="144" w:line="240" w:lineRule="auto"/>
              <w:jc w:val="center"/>
              <w:rPr>
                <w:sz w:val="20"/>
                <w:szCs w:val="20"/>
              </w:rPr>
            </w:pPr>
            <w:r>
              <w:rPr>
                <w:sz w:val="20"/>
                <w:szCs w:val="20"/>
              </w:rPr>
              <w:t>10</w:t>
            </w:r>
            <w:r w:rsidRPr="00397C90">
              <w:rPr>
                <w:sz w:val="20"/>
                <w:szCs w:val="20"/>
              </w:rPr>
              <w:t xml:space="preserve"> min</w:t>
            </w:r>
          </w:p>
        </w:tc>
      </w:tr>
      <w:tr w:rsidR="00392B90" w:rsidRPr="00E65219" w:rsidTr="00BA166B">
        <w:trPr>
          <w:trHeight w:val="4832"/>
          <w:jc w:val="center"/>
        </w:trPr>
        <w:tc>
          <w:tcPr>
            <w:tcW w:w="2541" w:type="dxa"/>
            <w:vMerge/>
          </w:tcPr>
          <w:p w:rsidR="00392B90" w:rsidRPr="00E65219" w:rsidRDefault="00392B90" w:rsidP="00894FC8">
            <w:pPr>
              <w:spacing w:beforeLines="60" w:before="144" w:afterLines="60" w:after="144" w:line="240" w:lineRule="auto"/>
              <w:jc w:val="center"/>
            </w:pPr>
          </w:p>
        </w:tc>
        <w:tc>
          <w:tcPr>
            <w:tcW w:w="452" w:type="dxa"/>
          </w:tcPr>
          <w:p w:rsidR="00392B90" w:rsidRPr="00E65219" w:rsidRDefault="00392B90" w:rsidP="00894FC8">
            <w:pPr>
              <w:spacing w:beforeLines="60" w:before="144" w:afterLines="60" w:after="144" w:line="240" w:lineRule="auto"/>
              <w:jc w:val="center"/>
            </w:pPr>
          </w:p>
        </w:tc>
        <w:tc>
          <w:tcPr>
            <w:tcW w:w="2888" w:type="dxa"/>
          </w:tcPr>
          <w:p w:rsidR="00392B90" w:rsidRDefault="00392B90" w:rsidP="00392B90">
            <w:pPr>
              <w:spacing w:beforeLines="60" w:before="144" w:afterLines="60" w:after="144" w:line="240" w:lineRule="auto"/>
            </w:pPr>
          </w:p>
        </w:tc>
        <w:tc>
          <w:tcPr>
            <w:tcW w:w="4801" w:type="dxa"/>
          </w:tcPr>
          <w:p w:rsidR="00392B90" w:rsidRPr="00FD02FC" w:rsidRDefault="00FD02FC" w:rsidP="00FD02FC">
            <w:pPr>
              <w:spacing w:beforeLines="60" w:before="144" w:afterLines="60" w:after="144" w:line="240" w:lineRule="auto"/>
              <w:rPr>
                <w:sz w:val="24"/>
                <w:szCs w:val="24"/>
              </w:rPr>
            </w:pPr>
            <w:r w:rsidRPr="00FD02FC">
              <w:rPr>
                <w:sz w:val="24"/>
                <w:szCs w:val="24"/>
              </w:rPr>
              <w:t>Next Meeting:</w:t>
            </w:r>
          </w:p>
          <w:p w:rsidR="00FD02FC" w:rsidRDefault="00FD02FC" w:rsidP="00FD02FC">
            <w:pPr>
              <w:pStyle w:val="ListParagraph"/>
              <w:numPr>
                <w:ilvl w:val="0"/>
                <w:numId w:val="5"/>
              </w:numPr>
              <w:spacing w:beforeLines="60" w:before="144" w:afterLines="60" w:after="144" w:line="240" w:lineRule="auto"/>
              <w:rPr>
                <w:sz w:val="24"/>
                <w:szCs w:val="24"/>
              </w:rPr>
            </w:pPr>
            <w:r>
              <w:rPr>
                <w:sz w:val="24"/>
                <w:szCs w:val="24"/>
              </w:rPr>
              <w:t>Proposed BC Assessment Cycle (please review before meeting)</w:t>
            </w:r>
          </w:p>
          <w:p w:rsidR="00FD02FC" w:rsidRPr="00FD02FC" w:rsidRDefault="00FD02FC" w:rsidP="00FD02FC">
            <w:pPr>
              <w:pStyle w:val="ListParagraph"/>
              <w:numPr>
                <w:ilvl w:val="0"/>
                <w:numId w:val="5"/>
              </w:numPr>
              <w:spacing w:beforeLines="60" w:before="144" w:afterLines="60" w:after="144" w:line="240" w:lineRule="auto"/>
              <w:rPr>
                <w:sz w:val="24"/>
                <w:szCs w:val="24"/>
              </w:rPr>
            </w:pPr>
            <w:r>
              <w:rPr>
                <w:sz w:val="24"/>
                <w:szCs w:val="24"/>
              </w:rPr>
              <w:t>Proposed SLO Assessment Report</w:t>
            </w:r>
          </w:p>
          <w:p w:rsidR="00392B90" w:rsidRPr="00FD02FC" w:rsidRDefault="00392B90" w:rsidP="00894FC8">
            <w:pPr>
              <w:spacing w:beforeLines="60" w:before="144" w:afterLines="60" w:after="144" w:line="240" w:lineRule="auto"/>
              <w:jc w:val="center"/>
              <w:rPr>
                <w:sz w:val="24"/>
                <w:szCs w:val="24"/>
              </w:rPr>
            </w:pPr>
          </w:p>
          <w:p w:rsidR="00392B90" w:rsidRPr="00BA166B" w:rsidRDefault="00FD02FC" w:rsidP="00BA166B">
            <w:pPr>
              <w:spacing w:beforeLines="60" w:before="144" w:afterLines="60" w:after="144" w:line="240" w:lineRule="auto"/>
              <w:rPr>
                <w:sz w:val="24"/>
                <w:szCs w:val="24"/>
              </w:rPr>
            </w:pPr>
            <w:r w:rsidRPr="00FD02FC">
              <w:rPr>
                <w:sz w:val="24"/>
                <w:szCs w:val="24"/>
              </w:rPr>
              <w:t>September 25th  at 4pm in Collins Conference Center (mtgs 2nd and 4th Mondays of the month)</w:t>
            </w:r>
          </w:p>
        </w:tc>
        <w:tc>
          <w:tcPr>
            <w:tcW w:w="905" w:type="dxa"/>
          </w:tcPr>
          <w:p w:rsidR="00392B90" w:rsidRDefault="00392B90" w:rsidP="00894FC8">
            <w:pPr>
              <w:spacing w:beforeLines="60" w:before="144" w:afterLines="60" w:after="144" w:line="240" w:lineRule="auto"/>
              <w:jc w:val="center"/>
              <w:rPr>
                <w:sz w:val="20"/>
                <w:szCs w:val="20"/>
              </w:rPr>
            </w:pPr>
          </w:p>
        </w:tc>
      </w:tr>
    </w:tbl>
    <w:p w:rsidR="00F43653" w:rsidRDefault="00F43653" w:rsidP="00392B90"/>
    <w:sectPr w:rsidR="00F43653" w:rsidSect="00894FC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Nyala">
    <w:panose1 w:val="02000504070300020003"/>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154CF"/>
    <w:multiLevelType w:val="hybridMultilevel"/>
    <w:tmpl w:val="ABC2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76FA8"/>
    <w:multiLevelType w:val="hybridMultilevel"/>
    <w:tmpl w:val="7FBE35C6"/>
    <w:lvl w:ilvl="0" w:tplc="6642615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EB382E"/>
    <w:multiLevelType w:val="hybridMultilevel"/>
    <w:tmpl w:val="DD9E8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8679B"/>
    <w:multiLevelType w:val="hybridMultilevel"/>
    <w:tmpl w:val="F7F2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C0591"/>
    <w:multiLevelType w:val="hybridMultilevel"/>
    <w:tmpl w:val="551E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D9"/>
    <w:rsid w:val="00065399"/>
    <w:rsid w:val="000D4A50"/>
    <w:rsid w:val="000F7B6A"/>
    <w:rsid w:val="0014345C"/>
    <w:rsid w:val="0019577D"/>
    <w:rsid w:val="001F186B"/>
    <w:rsid w:val="002F04B1"/>
    <w:rsid w:val="0033759F"/>
    <w:rsid w:val="00392B90"/>
    <w:rsid w:val="00397C90"/>
    <w:rsid w:val="003C7B9F"/>
    <w:rsid w:val="003D4E03"/>
    <w:rsid w:val="004904BD"/>
    <w:rsid w:val="00580332"/>
    <w:rsid w:val="005C5709"/>
    <w:rsid w:val="00610060"/>
    <w:rsid w:val="00647BB3"/>
    <w:rsid w:val="006E2747"/>
    <w:rsid w:val="00722867"/>
    <w:rsid w:val="00731ED9"/>
    <w:rsid w:val="00882721"/>
    <w:rsid w:val="00894FC8"/>
    <w:rsid w:val="008974E0"/>
    <w:rsid w:val="009155BA"/>
    <w:rsid w:val="009B01CE"/>
    <w:rsid w:val="00A66552"/>
    <w:rsid w:val="00A665EB"/>
    <w:rsid w:val="00A77A8D"/>
    <w:rsid w:val="00B00881"/>
    <w:rsid w:val="00BA166B"/>
    <w:rsid w:val="00C15EA7"/>
    <w:rsid w:val="00CF1D8E"/>
    <w:rsid w:val="00CF21CE"/>
    <w:rsid w:val="00DB32E5"/>
    <w:rsid w:val="00F43653"/>
    <w:rsid w:val="00FB2096"/>
    <w:rsid w:val="00FB7189"/>
    <w:rsid w:val="00FC22C7"/>
    <w:rsid w:val="00FD02FC"/>
    <w:rsid w:val="00FF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1D101-9E94-42DC-871C-A7B5E200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ED9"/>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ED9"/>
    <w:rPr>
      <w:color w:val="0000FF" w:themeColor="hyperlink"/>
      <w:u w:val="single"/>
    </w:rPr>
  </w:style>
  <w:style w:type="paragraph" w:styleId="ListParagraph">
    <w:name w:val="List Paragraph"/>
    <w:basedOn w:val="Normal"/>
    <w:uiPriority w:val="34"/>
    <w:qFormat/>
    <w:rsid w:val="00CF1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mittees.kccd.edu/bc/committee/assess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Pluta</dc:creator>
  <cp:lastModifiedBy>Dianthe Hoffman</cp:lastModifiedBy>
  <cp:revision>2</cp:revision>
  <cp:lastPrinted>2017-09-07T17:15:00Z</cp:lastPrinted>
  <dcterms:created xsi:type="dcterms:W3CDTF">2017-09-14T14:00:00Z</dcterms:created>
  <dcterms:modified xsi:type="dcterms:W3CDTF">2017-09-14T14:00:00Z</dcterms:modified>
</cp:coreProperties>
</file>