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32" w:rsidRDefault="003F5836">
      <w:pPr>
        <w:spacing w:after="12"/>
        <w:ind w:left="1810"/>
      </w:pPr>
      <w:r>
        <w:rPr>
          <w:rFonts w:ascii="Cambria" w:eastAsia="Cambria" w:hAnsi="Cambria" w:cs="Cambria"/>
          <w:b/>
          <w:sz w:val="28"/>
          <w:u w:val="single" w:color="000000"/>
        </w:rPr>
        <w:t>Office of Student Success and Equity: Program Review and Student Equity Crosswalk</w:t>
      </w:r>
      <w:r>
        <w:rPr>
          <w:rFonts w:ascii="Cambria" w:eastAsia="Cambria" w:hAnsi="Cambria" w:cs="Cambria"/>
          <w:b/>
          <w:sz w:val="28"/>
        </w:rPr>
        <w:t xml:space="preserve"> </w:t>
      </w:r>
    </w:p>
    <w:p w:rsidR="004B5C32" w:rsidRDefault="003F5836">
      <w:pPr>
        <w:spacing w:after="0"/>
        <w:jc w:val="right"/>
      </w:pPr>
      <w:r>
        <w:rPr>
          <w:rFonts w:ascii="Cambria" w:eastAsia="Cambria" w:hAnsi="Cambria" w:cs="Cambria"/>
          <w:sz w:val="24"/>
        </w:rPr>
        <w:t xml:space="preserve">Disproportionately impacted students include: African American/Black, </w:t>
      </w:r>
      <w:proofErr w:type="spellStart"/>
      <w:r>
        <w:rPr>
          <w:rFonts w:ascii="Cambria" w:eastAsia="Cambria" w:hAnsi="Cambria" w:cs="Cambria"/>
          <w:sz w:val="24"/>
        </w:rPr>
        <w:t>Latinx</w:t>
      </w:r>
      <w:proofErr w:type="spellEnd"/>
      <w:r>
        <w:rPr>
          <w:rFonts w:ascii="Cambria" w:eastAsia="Cambria" w:hAnsi="Cambria" w:cs="Cambria"/>
          <w:sz w:val="24"/>
        </w:rPr>
        <w:t>, students with disabilities, and LGBTQ students.</w:t>
      </w:r>
      <w:r>
        <w:rPr>
          <w:rFonts w:ascii="Cambria" w:eastAsia="Cambria" w:hAnsi="Cambria" w:cs="Cambria"/>
          <w:b/>
          <w:sz w:val="28"/>
        </w:rPr>
        <w:t xml:space="preserve"> </w:t>
      </w:r>
    </w:p>
    <w:tbl>
      <w:tblPr>
        <w:tblStyle w:val="TableGrid"/>
        <w:tblW w:w="14971" w:type="dxa"/>
        <w:tblInd w:w="-450" w:type="dxa"/>
        <w:tblCellMar>
          <w:top w:w="45" w:type="dxa"/>
          <w:left w:w="107" w:type="dxa"/>
          <w:right w:w="64" w:type="dxa"/>
        </w:tblCellMar>
        <w:tblLook w:val="04A0" w:firstRow="1" w:lastRow="0" w:firstColumn="1" w:lastColumn="0" w:noHBand="0" w:noVBand="1"/>
      </w:tblPr>
      <w:tblGrid>
        <w:gridCol w:w="5309"/>
        <w:gridCol w:w="9662"/>
      </w:tblGrid>
      <w:tr w:rsidR="004B5C32">
        <w:trPr>
          <w:trHeight w:val="336"/>
        </w:trPr>
        <w:tc>
          <w:tcPr>
            <w:tcW w:w="5309" w:type="dxa"/>
            <w:tcBorders>
              <w:top w:val="single" w:sz="4" w:space="0" w:color="BFBFBF"/>
              <w:left w:val="single" w:sz="4" w:space="0" w:color="BFBFBF"/>
              <w:bottom w:val="single" w:sz="4" w:space="0" w:color="BFBFBF"/>
              <w:right w:val="single" w:sz="4" w:space="0" w:color="BFBFBF"/>
            </w:tcBorders>
            <w:shd w:val="clear" w:color="auto" w:fill="C00000"/>
          </w:tcPr>
          <w:p w:rsidR="004B5C32" w:rsidRDefault="003F5836">
            <w:r>
              <w:rPr>
                <w:rFonts w:ascii="Cambria" w:eastAsia="Cambria" w:hAnsi="Cambria" w:cs="Cambria"/>
                <w:b/>
                <w:color w:val="FFFFFF"/>
                <w:sz w:val="28"/>
              </w:rPr>
              <w:t xml:space="preserve">Current PR Question </w:t>
            </w:r>
          </w:p>
        </w:tc>
        <w:tc>
          <w:tcPr>
            <w:tcW w:w="9662" w:type="dxa"/>
            <w:tcBorders>
              <w:top w:val="single" w:sz="4" w:space="0" w:color="BFBFBF"/>
              <w:left w:val="single" w:sz="4" w:space="0" w:color="BFBFBF"/>
              <w:bottom w:val="single" w:sz="4" w:space="0" w:color="BFBFBF"/>
              <w:right w:val="single" w:sz="4" w:space="0" w:color="BFBFBF"/>
            </w:tcBorders>
            <w:shd w:val="clear" w:color="auto" w:fill="C00000"/>
          </w:tcPr>
          <w:p w:rsidR="004B5C32" w:rsidRDefault="003F5836">
            <w:pPr>
              <w:ind w:left="2"/>
            </w:pPr>
            <w:r>
              <w:rPr>
                <w:rFonts w:ascii="Cambria" w:eastAsia="Cambria" w:hAnsi="Cambria" w:cs="Cambria"/>
                <w:b/>
                <w:color w:val="FFFFFF"/>
                <w:sz w:val="28"/>
              </w:rPr>
              <w:t xml:space="preserve">Equity-enhanced PR Suggestion </w:t>
            </w:r>
          </w:p>
        </w:tc>
      </w:tr>
      <w:tr w:rsidR="004B5C32">
        <w:trPr>
          <w:trHeight w:val="2543"/>
        </w:trPr>
        <w:tc>
          <w:tcPr>
            <w:tcW w:w="5309" w:type="dxa"/>
            <w:tcBorders>
              <w:top w:val="single" w:sz="4" w:space="0" w:color="BFBFBF"/>
              <w:left w:val="single" w:sz="4" w:space="0" w:color="BFBFBF"/>
              <w:bottom w:val="single" w:sz="4" w:space="0" w:color="BFBFBF"/>
              <w:right w:val="single" w:sz="4" w:space="0" w:color="BFBFBF"/>
            </w:tcBorders>
          </w:tcPr>
          <w:p w:rsidR="004B5C32" w:rsidRDefault="003F5836">
            <w:pPr>
              <w:ind w:right="36"/>
            </w:pPr>
            <w:r w:rsidRPr="00410C11">
              <w:rPr>
                <w:rFonts w:ascii="Cambria" w:eastAsia="Cambria" w:hAnsi="Cambria" w:cs="Cambria"/>
                <w:b/>
                <w:sz w:val="24"/>
                <w:highlight w:val="yellow"/>
              </w:rPr>
              <w:t xml:space="preserve">PR Questions A: </w:t>
            </w:r>
            <w:r w:rsidRPr="00410C11">
              <w:rPr>
                <w:rFonts w:ascii="Cambria" w:eastAsia="Cambria" w:hAnsi="Cambria" w:cs="Cambria"/>
                <w:sz w:val="24"/>
                <w:highlight w:val="yellow"/>
              </w:rPr>
              <w:t>List the program’s current goals. For each goal (minimum of 2 goals), discuss progress and changes. If the program is addressing more than two (2) goals, please duplicate this section. Please provide an action plan for each goal that gives the steps to completing the goal and the timeline.</w:t>
            </w:r>
            <w:r>
              <w:rPr>
                <w:rFonts w:ascii="Cambria" w:eastAsia="Cambria" w:hAnsi="Cambria" w:cs="Cambria"/>
                <w:b/>
                <w:sz w:val="24"/>
              </w:rPr>
              <w:t xml:space="preserve"> </w:t>
            </w:r>
          </w:p>
        </w:tc>
        <w:tc>
          <w:tcPr>
            <w:tcW w:w="9662" w:type="dxa"/>
            <w:tcBorders>
              <w:top w:val="single" w:sz="4" w:space="0" w:color="BFBFBF"/>
              <w:left w:val="single" w:sz="4" w:space="0" w:color="BFBFBF"/>
              <w:bottom w:val="single" w:sz="4" w:space="0" w:color="BFBFBF"/>
              <w:right w:val="single" w:sz="4" w:space="0" w:color="BFBFBF"/>
            </w:tcBorders>
          </w:tcPr>
          <w:p w:rsidR="004B5C32" w:rsidRDefault="003F5836">
            <w:pPr>
              <w:ind w:left="2"/>
            </w:pPr>
            <w:r>
              <w:rPr>
                <w:rFonts w:ascii="Cambria" w:eastAsia="Cambria" w:hAnsi="Cambria" w:cs="Cambria"/>
                <w:b/>
                <w:sz w:val="24"/>
              </w:rPr>
              <w:t xml:space="preserve">Suggested addendum:  </w:t>
            </w:r>
          </w:p>
          <w:p w:rsidR="004B5C32" w:rsidRPr="00410C11" w:rsidRDefault="003F5836">
            <w:pPr>
              <w:spacing w:after="2" w:line="238" w:lineRule="auto"/>
              <w:ind w:left="2"/>
            </w:pPr>
            <w:r w:rsidRPr="000202B6">
              <w:rPr>
                <w:rFonts w:ascii="Cambria" w:eastAsia="Cambria" w:hAnsi="Cambria" w:cs="Cambria"/>
                <w:sz w:val="24"/>
                <w:highlight w:val="yellow"/>
              </w:rPr>
              <w:t>If not already identified in your current goals, address programmatic practices you have, or plan to, implement to address closing equity gaps for disproportionately impacted students.</w:t>
            </w:r>
            <w:bookmarkStart w:id="0" w:name="_GoBack"/>
            <w:bookmarkEnd w:id="0"/>
            <w:r w:rsidRPr="00410C11">
              <w:rPr>
                <w:rFonts w:ascii="Cambria" w:eastAsia="Cambria" w:hAnsi="Cambria" w:cs="Cambria"/>
                <w:sz w:val="24"/>
              </w:rPr>
              <w:t xml:space="preserve">  </w:t>
            </w:r>
          </w:p>
          <w:p w:rsidR="004B5C32" w:rsidRPr="00410C11" w:rsidRDefault="003F5836">
            <w:pPr>
              <w:numPr>
                <w:ilvl w:val="0"/>
                <w:numId w:val="1"/>
              </w:numPr>
              <w:spacing w:line="238" w:lineRule="auto"/>
              <w:ind w:hanging="360"/>
              <w:rPr>
                <w:highlight w:val="yellow"/>
              </w:rPr>
            </w:pPr>
            <w:r w:rsidRPr="00410C11">
              <w:rPr>
                <w:rFonts w:ascii="Cambria" w:eastAsia="Cambria" w:hAnsi="Cambria" w:cs="Cambria"/>
                <w:sz w:val="24"/>
                <w:highlight w:val="yellow"/>
              </w:rPr>
              <w:t xml:space="preserve">If you listed equity-driven goals in your last Program Review cycle, provide the status of those goals.  </w:t>
            </w:r>
          </w:p>
          <w:p w:rsidR="004B5C32" w:rsidRPr="00410C11" w:rsidRDefault="003F5836">
            <w:pPr>
              <w:numPr>
                <w:ilvl w:val="0"/>
                <w:numId w:val="1"/>
              </w:numPr>
              <w:spacing w:after="2" w:line="238" w:lineRule="auto"/>
              <w:ind w:hanging="360"/>
              <w:rPr>
                <w:highlight w:val="green"/>
              </w:rPr>
            </w:pPr>
            <w:r w:rsidRPr="00410C11">
              <w:rPr>
                <w:rFonts w:ascii="Cambria" w:eastAsia="Cambria" w:hAnsi="Cambria" w:cs="Cambria"/>
                <w:sz w:val="24"/>
                <w:highlight w:val="green"/>
              </w:rPr>
              <w:t xml:space="preserve">What steps is your department taking to identify equity gaps in student enrollment, achievement, progression, and completion? </w:t>
            </w:r>
          </w:p>
          <w:p w:rsidR="004B5C32" w:rsidRDefault="003F5836">
            <w:pPr>
              <w:numPr>
                <w:ilvl w:val="0"/>
                <w:numId w:val="1"/>
              </w:numPr>
              <w:ind w:hanging="360"/>
            </w:pPr>
            <w:r w:rsidRPr="00410C11">
              <w:rPr>
                <w:rFonts w:ascii="Cambria" w:eastAsia="Cambria" w:hAnsi="Cambria" w:cs="Cambria"/>
                <w:sz w:val="24"/>
                <w:highlight w:val="yellow"/>
              </w:rPr>
              <w:t>What challenges did your department face in trying to implement best practices to address equity issues?</w:t>
            </w:r>
            <w:r>
              <w:rPr>
                <w:rFonts w:ascii="Cambria" w:eastAsia="Cambria" w:hAnsi="Cambria" w:cs="Cambria"/>
                <w:sz w:val="24"/>
              </w:rPr>
              <w:t xml:space="preserve"> </w:t>
            </w:r>
          </w:p>
        </w:tc>
      </w:tr>
      <w:tr w:rsidR="004B5C32">
        <w:trPr>
          <w:trHeight w:val="515"/>
        </w:trPr>
        <w:tc>
          <w:tcPr>
            <w:tcW w:w="14971" w:type="dxa"/>
            <w:gridSpan w:val="2"/>
            <w:tcBorders>
              <w:top w:val="single" w:sz="4" w:space="0" w:color="BFBFBF"/>
              <w:left w:val="single" w:sz="4" w:space="0" w:color="BFBFBF"/>
              <w:bottom w:val="single" w:sz="4" w:space="0" w:color="BFBFBF"/>
              <w:right w:val="single" w:sz="4" w:space="0" w:color="BFBFBF"/>
            </w:tcBorders>
          </w:tcPr>
          <w:p w:rsidR="004B5C32" w:rsidRDefault="003F5836">
            <w:r>
              <w:rPr>
                <w:rFonts w:ascii="Cambria" w:eastAsia="Cambria" w:hAnsi="Cambria" w:cs="Cambria"/>
                <w:b/>
                <w:sz w:val="24"/>
              </w:rPr>
              <w:t xml:space="preserve">PR Analysis, Section B: </w:t>
            </w:r>
            <w:r>
              <w:rPr>
                <w:rFonts w:ascii="Cambria" w:eastAsia="Cambria" w:hAnsi="Cambria" w:cs="Cambria"/>
                <w:sz w:val="24"/>
              </w:rPr>
              <w:t>Take a look at your trend data (all programs should have some form of data that is used to look at changes over time).</w:t>
            </w:r>
            <w:r>
              <w:rPr>
                <w:rFonts w:ascii="Cambria" w:eastAsia="Cambria" w:hAnsi="Cambria" w:cs="Cambria"/>
                <w:b/>
                <w:sz w:val="24"/>
              </w:rPr>
              <w:t xml:space="preserve"> </w:t>
            </w:r>
          </w:p>
        </w:tc>
      </w:tr>
      <w:tr w:rsidR="004B5C32">
        <w:trPr>
          <w:trHeight w:val="1224"/>
        </w:trPr>
        <w:tc>
          <w:tcPr>
            <w:tcW w:w="5309" w:type="dxa"/>
            <w:tcBorders>
              <w:top w:val="single" w:sz="4" w:space="0" w:color="BFBFBF"/>
              <w:left w:val="single" w:sz="4" w:space="0" w:color="BFBFBF"/>
              <w:bottom w:val="single" w:sz="4" w:space="0" w:color="BFBFBF"/>
              <w:right w:val="single" w:sz="4" w:space="0" w:color="BFBFBF"/>
            </w:tcBorders>
            <w:shd w:val="clear" w:color="auto" w:fill="F2F2F2"/>
          </w:tcPr>
          <w:p w:rsidR="004B5C32" w:rsidRDefault="003F5836" w:rsidP="003F5836">
            <w:r>
              <w:rPr>
                <w:rFonts w:ascii="Cambria" w:eastAsia="Cambria" w:hAnsi="Cambria" w:cs="Cambria"/>
                <w:sz w:val="24"/>
              </w:rPr>
              <w:t xml:space="preserve">Were there any changes to student success and retention for face-to-face, as well as online/distance courses? </w:t>
            </w:r>
          </w:p>
          <w:p w:rsidR="004B5C32" w:rsidRDefault="003F5836">
            <w:r>
              <w:rPr>
                <w:rFonts w:ascii="Cambria" w:eastAsia="Cambria" w:hAnsi="Cambria" w:cs="Cambria"/>
                <w:sz w:val="24"/>
              </w:rPr>
              <w:t xml:space="preserve"> </w:t>
            </w:r>
          </w:p>
        </w:tc>
        <w:tc>
          <w:tcPr>
            <w:tcW w:w="9662" w:type="dxa"/>
            <w:tcBorders>
              <w:top w:val="single" w:sz="4" w:space="0" w:color="BFBFBF"/>
              <w:left w:val="single" w:sz="4" w:space="0" w:color="BFBFBF"/>
              <w:bottom w:val="single" w:sz="4" w:space="0" w:color="BFBFBF"/>
              <w:right w:val="single" w:sz="4" w:space="0" w:color="BFBFBF"/>
            </w:tcBorders>
            <w:shd w:val="clear" w:color="auto" w:fill="F2F2F2"/>
          </w:tcPr>
          <w:p w:rsidR="004B5C32" w:rsidRPr="00410C11" w:rsidRDefault="003F5836">
            <w:pPr>
              <w:spacing w:line="238" w:lineRule="auto"/>
              <w:ind w:left="2"/>
              <w:rPr>
                <w:highlight w:val="yellow"/>
              </w:rPr>
            </w:pPr>
            <w:r w:rsidRPr="00410C11">
              <w:rPr>
                <w:rFonts w:ascii="Cambria" w:eastAsia="Cambria" w:hAnsi="Cambria" w:cs="Cambria"/>
                <w:sz w:val="24"/>
                <w:highlight w:val="yellow"/>
              </w:rPr>
              <w:t xml:space="preserve">Do the data show changes to the success and retention for face-to-face, as well as online/distance learning courses? </w:t>
            </w:r>
          </w:p>
          <w:p w:rsidR="004B5C32" w:rsidRPr="00410C11" w:rsidRDefault="003F5836">
            <w:pPr>
              <w:numPr>
                <w:ilvl w:val="0"/>
                <w:numId w:val="2"/>
              </w:numPr>
              <w:ind w:hanging="360"/>
              <w:rPr>
                <w:highlight w:val="yellow"/>
              </w:rPr>
            </w:pPr>
            <w:r w:rsidRPr="00410C11">
              <w:rPr>
                <w:rFonts w:ascii="Cambria" w:eastAsia="Cambria" w:hAnsi="Cambria" w:cs="Cambria"/>
                <w:sz w:val="24"/>
                <w:highlight w:val="yellow"/>
              </w:rPr>
              <w:t xml:space="preserve">When you disaggregate the data by race and gender, what do the data reveal? </w:t>
            </w:r>
          </w:p>
          <w:p w:rsidR="004B5C32" w:rsidRPr="00410C11" w:rsidRDefault="003F5836">
            <w:pPr>
              <w:numPr>
                <w:ilvl w:val="0"/>
                <w:numId w:val="2"/>
              </w:numPr>
              <w:ind w:hanging="360"/>
              <w:rPr>
                <w:highlight w:val="yellow"/>
              </w:rPr>
            </w:pPr>
            <w:r w:rsidRPr="00410C11">
              <w:rPr>
                <w:rFonts w:ascii="Cambria" w:eastAsia="Cambria" w:hAnsi="Cambria" w:cs="Cambria"/>
                <w:sz w:val="24"/>
                <w:highlight w:val="yellow"/>
              </w:rPr>
              <w:t xml:space="preserve">Can your department contextualize the trends identified by the data? </w:t>
            </w:r>
          </w:p>
        </w:tc>
      </w:tr>
      <w:tr w:rsidR="004B5C32">
        <w:trPr>
          <w:trHeight w:val="636"/>
        </w:trPr>
        <w:tc>
          <w:tcPr>
            <w:tcW w:w="5309" w:type="dxa"/>
            <w:tcBorders>
              <w:top w:val="single" w:sz="4" w:space="0" w:color="BFBFBF"/>
              <w:left w:val="single" w:sz="4" w:space="0" w:color="BFBFBF"/>
              <w:bottom w:val="single" w:sz="4" w:space="0" w:color="BFBFBF"/>
              <w:right w:val="single" w:sz="4" w:space="0" w:color="BFBFBF"/>
            </w:tcBorders>
          </w:tcPr>
          <w:p w:rsidR="004B5C32" w:rsidRDefault="003F5836">
            <w:r>
              <w:rPr>
                <w:rFonts w:ascii="Cambria" w:eastAsia="Cambria" w:hAnsi="Cambria" w:cs="Cambria"/>
                <w:sz w:val="24"/>
              </w:rPr>
              <w:t xml:space="preserve">Were there any changes to student demographics (age, gender, or ethnicity) for the past cycle? </w:t>
            </w:r>
          </w:p>
        </w:tc>
        <w:tc>
          <w:tcPr>
            <w:tcW w:w="9662" w:type="dxa"/>
            <w:tcBorders>
              <w:top w:val="single" w:sz="4" w:space="0" w:color="BFBFBF"/>
              <w:left w:val="single" w:sz="4" w:space="0" w:color="BFBFBF"/>
              <w:bottom w:val="single" w:sz="4" w:space="0" w:color="BFBFBF"/>
              <w:right w:val="single" w:sz="4" w:space="0" w:color="BFBFBF"/>
            </w:tcBorders>
          </w:tcPr>
          <w:p w:rsidR="004B5C32" w:rsidRPr="00410C11" w:rsidRDefault="003F5836">
            <w:pPr>
              <w:ind w:left="2"/>
              <w:rPr>
                <w:highlight w:val="yellow"/>
              </w:rPr>
            </w:pPr>
            <w:r w:rsidRPr="00410C11">
              <w:rPr>
                <w:rFonts w:ascii="Cambria" w:eastAsia="Cambria" w:hAnsi="Cambria" w:cs="Cambria"/>
                <w:sz w:val="24"/>
                <w:highlight w:val="yellow"/>
              </w:rPr>
              <w:t xml:space="preserve">Do the data reveal any changes to student demographics (age, gender, race, ethnicity, or other) for the past cycle?   </w:t>
            </w:r>
          </w:p>
        </w:tc>
      </w:tr>
      <w:tr w:rsidR="004B5C32">
        <w:trPr>
          <w:trHeight w:val="852"/>
        </w:trPr>
        <w:tc>
          <w:tcPr>
            <w:tcW w:w="5309" w:type="dxa"/>
            <w:tcBorders>
              <w:top w:val="single" w:sz="4" w:space="0" w:color="BFBFBF"/>
              <w:left w:val="single" w:sz="4" w:space="0" w:color="BFBFBF"/>
              <w:bottom w:val="single" w:sz="4" w:space="0" w:color="BFBFBF"/>
              <w:right w:val="single" w:sz="4" w:space="0" w:color="BFBFBF"/>
            </w:tcBorders>
            <w:shd w:val="clear" w:color="auto" w:fill="F2F2F2"/>
          </w:tcPr>
          <w:p w:rsidR="004B5C32" w:rsidRDefault="003F5836">
            <w:pPr>
              <w:spacing w:line="238" w:lineRule="auto"/>
            </w:pPr>
            <w:r>
              <w:rPr>
                <w:rFonts w:ascii="Cambria" w:eastAsia="Cambria" w:hAnsi="Cambria" w:cs="Cambria"/>
                <w:sz w:val="24"/>
              </w:rPr>
              <w:t xml:space="preserve">Changes in enrollment (headcount, sections, course enrollment, and productivity). </w:t>
            </w:r>
          </w:p>
          <w:p w:rsidR="004B5C32" w:rsidRDefault="003F5836">
            <w:r>
              <w:rPr>
                <w:rFonts w:ascii="Cambria" w:eastAsia="Cambria" w:hAnsi="Cambria" w:cs="Cambria"/>
                <w:sz w:val="24"/>
              </w:rPr>
              <w:t xml:space="preserve"> </w:t>
            </w:r>
          </w:p>
        </w:tc>
        <w:tc>
          <w:tcPr>
            <w:tcW w:w="9662" w:type="dxa"/>
            <w:tcBorders>
              <w:top w:val="single" w:sz="4" w:space="0" w:color="BFBFBF"/>
              <w:left w:val="single" w:sz="4" w:space="0" w:color="BFBFBF"/>
              <w:bottom w:val="single" w:sz="4" w:space="0" w:color="BFBFBF"/>
              <w:right w:val="single" w:sz="4" w:space="0" w:color="BFBFBF"/>
            </w:tcBorders>
            <w:shd w:val="clear" w:color="auto" w:fill="F2F2F2"/>
          </w:tcPr>
          <w:p w:rsidR="004B5C32" w:rsidRPr="00410C11" w:rsidRDefault="003F5836">
            <w:pPr>
              <w:ind w:left="2" w:right="29"/>
              <w:rPr>
                <w:highlight w:val="yellow"/>
              </w:rPr>
            </w:pPr>
            <w:r w:rsidRPr="00410C11">
              <w:rPr>
                <w:rFonts w:ascii="Cambria" w:eastAsia="Cambria" w:hAnsi="Cambria" w:cs="Cambria"/>
                <w:sz w:val="24"/>
                <w:highlight w:val="yellow"/>
              </w:rPr>
              <w:t xml:space="preserve">Did the change in demographics have an effect on disproportionately impacted student enrollment and success rates? If so, what policies and/or practices can you attribute to those changes? </w:t>
            </w:r>
          </w:p>
        </w:tc>
      </w:tr>
      <w:tr w:rsidR="004B5C32">
        <w:trPr>
          <w:trHeight w:val="2258"/>
        </w:trPr>
        <w:tc>
          <w:tcPr>
            <w:tcW w:w="5309" w:type="dxa"/>
            <w:tcBorders>
              <w:top w:val="single" w:sz="4" w:space="0" w:color="BFBFBF"/>
              <w:left w:val="single" w:sz="4" w:space="0" w:color="BFBFBF"/>
              <w:bottom w:val="single" w:sz="4" w:space="0" w:color="BFBFBF"/>
              <w:right w:val="single" w:sz="4" w:space="0" w:color="BFBFBF"/>
            </w:tcBorders>
            <w:shd w:val="clear" w:color="auto" w:fill="F2F2F2"/>
          </w:tcPr>
          <w:p w:rsidR="004B5C32" w:rsidRDefault="003F5836">
            <w:pPr>
              <w:ind w:right="12"/>
            </w:pPr>
            <w:r w:rsidRPr="00410C11">
              <w:rPr>
                <w:rFonts w:ascii="Cambria" w:eastAsia="Cambria" w:hAnsi="Cambria" w:cs="Cambria"/>
                <w:b/>
                <w:sz w:val="24"/>
                <w:highlight w:val="yellow"/>
              </w:rPr>
              <w:t xml:space="preserve">PR Conclusion and Snapshot: </w:t>
            </w:r>
            <w:r w:rsidRPr="00410C11">
              <w:rPr>
                <w:rFonts w:ascii="Cambria" w:eastAsia="Cambria" w:hAnsi="Cambria" w:cs="Cambria"/>
                <w:sz w:val="24"/>
                <w:highlight w:val="yellow"/>
              </w:rPr>
              <w:t>Present any conclusions and findings about the program. This is an opportunity to provide a brief abstract or synopsis of your program’s current circumstances and needs. Consider this a snapshot of your program, if someone were to only read this portion of your annual program review.</w:t>
            </w:r>
            <w:r>
              <w:rPr>
                <w:rFonts w:ascii="Cambria" w:eastAsia="Cambria" w:hAnsi="Cambria" w:cs="Cambria"/>
                <w:sz w:val="24"/>
              </w:rPr>
              <w:t xml:space="preserve"> </w:t>
            </w:r>
          </w:p>
        </w:tc>
        <w:tc>
          <w:tcPr>
            <w:tcW w:w="9662" w:type="dxa"/>
            <w:tcBorders>
              <w:top w:val="single" w:sz="4" w:space="0" w:color="BFBFBF"/>
              <w:left w:val="single" w:sz="4" w:space="0" w:color="BFBFBF"/>
              <w:bottom w:val="single" w:sz="4" w:space="0" w:color="BFBFBF"/>
              <w:right w:val="single" w:sz="4" w:space="0" w:color="BFBFBF"/>
            </w:tcBorders>
            <w:shd w:val="clear" w:color="auto" w:fill="F2F2F2"/>
          </w:tcPr>
          <w:p w:rsidR="004B5C32" w:rsidRDefault="003F5836">
            <w:pPr>
              <w:spacing w:after="2" w:line="238" w:lineRule="auto"/>
              <w:ind w:left="2"/>
            </w:pPr>
            <w:r>
              <w:rPr>
                <w:rFonts w:ascii="Cambria" w:eastAsia="Cambria" w:hAnsi="Cambria" w:cs="Cambria"/>
                <w:sz w:val="24"/>
              </w:rPr>
              <w:t xml:space="preserve">Identify planned departmental activities designed to address equity gaps among disproportionately impacted students within your program in the next AY.  </w:t>
            </w:r>
          </w:p>
          <w:p w:rsidR="004B5C32" w:rsidRDefault="003F5836">
            <w:pPr>
              <w:ind w:left="2"/>
            </w:pPr>
            <w:r>
              <w:rPr>
                <w:rFonts w:ascii="Cambria" w:eastAsia="Cambria" w:hAnsi="Cambria" w:cs="Cambria"/>
                <w:sz w:val="24"/>
              </w:rPr>
              <w:t xml:space="preserve"> </w:t>
            </w:r>
          </w:p>
          <w:p w:rsidR="004B5C32" w:rsidRDefault="003F5836">
            <w:pPr>
              <w:ind w:left="2"/>
            </w:pPr>
            <w:r>
              <w:rPr>
                <w:rFonts w:ascii="Cambria" w:eastAsia="Cambria" w:hAnsi="Cambria" w:cs="Cambria"/>
                <w:sz w:val="24"/>
              </w:rPr>
              <w:t xml:space="preserve">In what way do you anticipate each of these activities will close gaps? </w:t>
            </w:r>
          </w:p>
          <w:p w:rsidR="004B5C32" w:rsidRDefault="003F5836">
            <w:pPr>
              <w:ind w:left="2"/>
            </w:pPr>
            <w:r>
              <w:rPr>
                <w:rFonts w:ascii="Cambria" w:eastAsia="Cambria" w:hAnsi="Cambria" w:cs="Cambria"/>
                <w:sz w:val="24"/>
              </w:rPr>
              <w:t xml:space="preserve"> </w:t>
            </w:r>
          </w:p>
          <w:p w:rsidR="004B5C32" w:rsidRDefault="003F5836">
            <w:pPr>
              <w:ind w:left="2" w:right="21"/>
            </w:pPr>
            <w:r>
              <w:rPr>
                <w:rFonts w:ascii="Cambria" w:eastAsia="Cambria" w:hAnsi="Cambria" w:cs="Cambria"/>
                <w:sz w:val="24"/>
              </w:rPr>
              <w:t xml:space="preserve">Provide programmatic improvements to advance student equity. How will you evaluate your progress?  </w:t>
            </w:r>
          </w:p>
        </w:tc>
      </w:tr>
    </w:tbl>
    <w:p w:rsidR="004B5C32" w:rsidRDefault="003F5836">
      <w:pPr>
        <w:spacing w:after="0"/>
      </w:pPr>
      <w:r>
        <w:rPr>
          <w:rFonts w:ascii="Cambria" w:eastAsia="Cambria" w:hAnsi="Cambria" w:cs="Cambria"/>
          <w:b/>
          <w:sz w:val="24"/>
        </w:rPr>
        <w:lastRenderedPageBreak/>
        <w:t>DRAFT</w:t>
      </w:r>
      <w:r>
        <w:rPr>
          <w:rFonts w:ascii="Cambria" w:eastAsia="Cambria" w:hAnsi="Cambria" w:cs="Cambria"/>
          <w:sz w:val="24"/>
        </w:rPr>
        <w:t xml:space="preserve">: </w:t>
      </w:r>
      <w:r>
        <w:rPr>
          <w:rFonts w:ascii="Cambria" w:eastAsia="Cambria" w:hAnsi="Cambria" w:cs="Cambria"/>
          <w:i/>
          <w:sz w:val="24"/>
        </w:rPr>
        <w:t>Program Review Student Equity Crosswalk| Bakersfield College</w:t>
      </w:r>
      <w:r>
        <w:rPr>
          <w:rFonts w:ascii="Cambria" w:eastAsia="Cambria" w:hAnsi="Cambria" w:cs="Cambria"/>
          <w:sz w:val="24"/>
        </w:rPr>
        <w:t xml:space="preserve"> </w:t>
      </w:r>
    </w:p>
    <w:sectPr w:rsidR="004B5C32">
      <w:pgSz w:w="15840" w:h="12240" w:orient="landscape"/>
      <w:pgMar w:top="1440" w:right="1436" w:bottom="113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18B4"/>
    <w:multiLevelType w:val="hybridMultilevel"/>
    <w:tmpl w:val="B406FF7E"/>
    <w:lvl w:ilvl="0" w:tplc="1298A4B0">
      <w:start w:val="1"/>
      <w:numFmt w:val="decimal"/>
      <w:lvlText w:val="%1."/>
      <w:lvlJc w:val="left"/>
      <w:pPr>
        <w:ind w:left="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1D0F26A">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7291B4">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52DBB8">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F0F394">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D7653AA">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E2EDE90">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188B066">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44AE406">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452BD9"/>
    <w:multiLevelType w:val="hybridMultilevel"/>
    <w:tmpl w:val="A4922912"/>
    <w:lvl w:ilvl="0" w:tplc="EB442F82">
      <w:start w:val="1"/>
      <w:numFmt w:val="decimal"/>
      <w:lvlText w:val="%1."/>
      <w:lvlJc w:val="left"/>
      <w:pPr>
        <w:ind w:left="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5183382">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9AA518">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68145C">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5005D3E">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03432">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386784">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7C17E6">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6C736C">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32"/>
    <w:rsid w:val="000202B6"/>
    <w:rsid w:val="000550FB"/>
    <w:rsid w:val="001949D4"/>
    <w:rsid w:val="003F5836"/>
    <w:rsid w:val="00410C11"/>
    <w:rsid w:val="004B5C32"/>
    <w:rsid w:val="009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B618"/>
  <w15:docId w15:val="{CF25F24B-6650-4040-B8A9-2D581424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Wright</dc:creator>
  <cp:keywords/>
  <cp:lastModifiedBy>Kimberly Nickell</cp:lastModifiedBy>
  <cp:revision>2</cp:revision>
  <cp:lastPrinted>2021-01-10T22:42:00Z</cp:lastPrinted>
  <dcterms:created xsi:type="dcterms:W3CDTF">2021-02-16T20:05:00Z</dcterms:created>
  <dcterms:modified xsi:type="dcterms:W3CDTF">2021-02-16T20:05:00Z</dcterms:modified>
</cp:coreProperties>
</file>