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4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1770"/>
        <w:gridCol w:w="4080"/>
        <w:tblGridChange w:id="0">
          <w:tblGrid>
            <w:gridCol w:w="3600"/>
            <w:gridCol w:w="1770"/>
            <w:gridCol w:w="408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June 28th,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https://kccd-edu.zoom.us/j/96504179517?pwd=NFMrVmVIU2V6eHdrWExtamJHYldzdz09</w:t>
              </w:r>
            </w:hyperlink>
            <w:r w:rsidDel="00000000" w:rsidR="00000000" w:rsidRPr="00000000">
              <w:rPr>
                <w:rtl w:val="0"/>
              </w:rPr>
              <w:t xml:space="preserve"> </w:t>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61793"/>
                <wp:effectExtent b="0" l="0" r="0" t="0"/>
                <wp:wrapNone/>
                <wp:docPr id="8" name=""/>
                <a:graphic>
                  <a:graphicData uri="http://schemas.microsoft.com/office/word/2010/wordprocessingShape">
                    <wps:wsp>
                      <wps:cNvSpPr/>
                      <wps:cNvPr id="2" name="Shape 2"/>
                      <wps:spPr>
                        <a:xfrm>
                          <a:off x="1078325" y="2202200"/>
                          <a:ext cx="8869500" cy="609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61793"/>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6615" cy="61793"/>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7"/>
        </w:numPr>
        <w:ind w:left="720" w:hanging="360"/>
        <w:rPr>
          <w:u w:val="none"/>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C">
      <w:pPr>
        <w:pStyle w:val="Subtitle"/>
        <w:ind w:left="0" w:firstLine="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numPr>
          <w:ilvl w:val="0"/>
          <w:numId w:val="7"/>
        </w:numPr>
        <w:ind w:left="720" w:hanging="360"/>
        <w:rPr>
          <w:u w:val="none"/>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numPr>
          <w:ilvl w:val="0"/>
          <w:numId w:val="7"/>
        </w:numPr>
        <w:ind w:left="720" w:hanging="360"/>
        <w:rPr>
          <w:u w:val="none"/>
        </w:rPr>
      </w:pPr>
      <w:r w:rsidDel="00000000" w:rsidR="00000000" w:rsidRPr="00000000">
        <w:rPr>
          <w:rtl w:val="0"/>
        </w:rPr>
        <w:t xml:space="preserve">CORRECTIONS TO THE MINUTES</w:t>
      </w:r>
    </w:p>
    <w:p w:rsidR="00000000" w:rsidDel="00000000" w:rsidP="00000000" w:rsidRDefault="00000000" w:rsidRPr="00000000" w14:paraId="00000012">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highlight w:val="white"/>
          <w:rtl w:val="0"/>
        </w:rPr>
        <w:t xml:space="preserve">Wednesday, June 14th, 2023</w:t>
      </w:r>
      <w:r w:rsidDel="00000000" w:rsidR="00000000" w:rsidRPr="00000000">
        <w:rPr>
          <w:rFonts w:ascii="Garamond" w:cs="Garamond" w:eastAsia="Garamond" w:hAnsi="Garamond"/>
          <w:b w:val="0"/>
          <w:i w:val="0"/>
          <w:smallCaps w:val="0"/>
          <w:strike w:val="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ind w:left="360" w:firstLine="0"/>
        <w:rPr/>
      </w:pPr>
      <w:r w:rsidDel="00000000" w:rsidR="00000000" w:rsidRPr="00000000">
        <w:rPr>
          <w:rtl w:val="0"/>
        </w:rPr>
        <w:t xml:space="preserve">4.    PUBLIC COMMENT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rPr>
      </w:pPr>
      <w:r w:rsidDel="00000000" w:rsidR="00000000" w:rsidRPr="00000000">
        <w:rPr>
          <w:rFonts w:ascii="Garamond" w:cs="Garamond" w:eastAsia="Garamond" w:hAnsi="Garamond"/>
          <w:sz w:val="20"/>
          <w:szCs w:val="20"/>
          <w:rtl w:val="0"/>
        </w:rPr>
        <w:t xml:space="preserve">Presentation on Updates to Brown Act</w:t>
      </w:r>
    </w:p>
    <w:p w:rsidR="00000000" w:rsidDel="00000000" w:rsidP="00000000" w:rsidRDefault="00000000" w:rsidRPr="00000000" w14:paraId="00000018">
      <w:pPr>
        <w:pStyle w:val="Heading1"/>
        <w:ind w:left="0" w:firstLine="0"/>
        <w:rPr>
          <w:smallCaps w:val="0"/>
        </w:rPr>
      </w:pPr>
      <w:r w:rsidDel="00000000" w:rsidR="00000000" w:rsidRPr="00000000">
        <w:rPr>
          <w:rtl w:val="0"/>
        </w:rPr>
      </w:r>
    </w:p>
    <w:p w:rsidR="00000000" w:rsidDel="00000000" w:rsidP="00000000" w:rsidRDefault="00000000" w:rsidRPr="00000000" w14:paraId="00000019">
      <w:pPr>
        <w:pStyle w:val="Heading1"/>
        <w:ind w:left="0" w:firstLine="360"/>
        <w:rPr/>
      </w:pPr>
      <w:r w:rsidDel="00000000" w:rsidR="00000000" w:rsidRPr="00000000">
        <w:rPr>
          <w:smallCaps w:val="0"/>
          <w:rtl w:val="0"/>
        </w:rPr>
        <w:t xml:space="preserve">5.    </w:t>
      </w: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ind w:left="360" w:firstLine="0"/>
        <w:rPr/>
      </w:pPr>
      <w:r w:rsidDel="00000000" w:rsidR="00000000" w:rsidRPr="00000000">
        <w:rPr>
          <w:rtl w:val="0"/>
        </w:rPr>
        <w:t xml:space="preserve">6.    REPORTS FROM EXECUTIVE OFFICERS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9">
      <w:pPr>
        <w:pStyle w:val="Heading1"/>
        <w:ind w:left="0" w:firstLine="360"/>
        <w:rPr/>
      </w:pPr>
      <w:r w:rsidDel="00000000" w:rsidR="00000000" w:rsidRPr="00000000">
        <w:rPr>
          <w:rtl w:val="0"/>
        </w:rPr>
        <w:t xml:space="preserve">7.    ELECTION  OF ASSOCIATION OFFICERS</w:t>
      </w:r>
    </w:p>
    <w:p w:rsidR="00000000" w:rsidDel="00000000" w:rsidP="00000000" w:rsidRDefault="00000000" w:rsidRPr="00000000" w14:paraId="0000002A">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 of Ms. Elizabeth Diaz to the position of Senator-at-Large</w:t>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 of Ms. Amanda Hernandez to the position of Senator-at-Large</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 of Mr. Max Geissel to the position of Senator-at-Large</w:t>
      </w:r>
    </w:p>
    <w:p w:rsidR="00000000" w:rsidDel="00000000" w:rsidP="00000000" w:rsidRDefault="00000000" w:rsidRPr="00000000" w14:paraId="0000002E">
      <w:pPr>
        <w:spacing w:after="0" w:line="240" w:lineRule="auto"/>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2F">
      <w:pPr>
        <w:pStyle w:val="Heading1"/>
        <w:ind w:left="360" w:firstLine="0"/>
        <w:rPr/>
      </w:pPr>
      <w:r w:rsidDel="00000000" w:rsidR="00000000" w:rsidRPr="00000000">
        <w:rPr>
          <w:rtl w:val="0"/>
        </w:rPr>
        <w:t xml:space="preserve">8.    OATH OF OFFICE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9.    ELECTION OF OFFICERS OF THE SENATE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may elect a Senate Pro-Tempore, pursuant to the BCSGA Constitution Article VI, section 6, and Chairperson of each Senate Standing Committee. The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Senate may consider the character, professional competence, physical or mental health, or other matters permissible, of certain individuals during consideration of this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position. Then, the Senate will consider a binding resolution to appoint a Senator as the Senate Officer established by the BCGSA COBRA. Under the Brown Act, the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Senate may not close the meeting.</w:t>
      </w:r>
      <w:r w:rsidDel="00000000" w:rsidR="00000000" w:rsidRPr="00000000">
        <w:rPr>
          <w:rFonts w:ascii="Garamond" w:cs="Garamond" w:eastAsia="Garamond" w:hAnsi="Garamond"/>
          <w:sz w:val="20"/>
          <w:szCs w:val="20"/>
          <w:rtl w:val="0"/>
        </w:rPr>
        <w:br w:type="textWrapping"/>
        <w:t xml:space="preserve">                a.</w:t>
        <w:tab/>
        <w:t xml:space="preserve">The Senate shall elect Chairperson to the Senate Committee on Government Operations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10.   APPOINTMENT OF SENATORS TO COMMITTEES AND DEPARTMENTS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recommend members to each of the Senate Standing Committee and the BCSGA Departments. Then, the Senate will consider a binding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resolution to appoint Senators as members to each Senate Standing Committees or BCSGA Departments established by the BCGSA COBRA. The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Senate may consider the character, professional competence, physical or mental health, or other matters permissible under the California Brown Act, of</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certain individuals during consideration of this item. Under the Brown Act, the Senate may not close the meeting.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w:t>
        <w:tab/>
        <w:t xml:space="preserve">BCSGA Department on Finance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 </w:t>
        <w:tab/>
        <w:t xml:space="preserve">BCSGA Department on Legislative Affairs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 </w:t>
        <w:tab/>
        <w:t xml:space="preserve">BCSGA Department on Student Activities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w:t>
        <w:tab/>
        <w:t xml:space="preserve">BCSGA Department on Student Organizations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     BCSGA Department on Academic Affairs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     BCSGA Department on Advancement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     BCSGA Department </w:t>
      </w:r>
    </w:p>
    <w:p w:rsidR="00000000" w:rsidDel="00000000" w:rsidP="00000000" w:rsidRDefault="00000000" w:rsidRPr="00000000" w14:paraId="00000046">
      <w:pPr>
        <w:pStyle w:val="Heading1"/>
        <w:ind w:left="0" w:firstLine="0"/>
        <w:rPr>
          <w:rFonts w:ascii="Garamond" w:cs="Garamond" w:eastAsia="Garamond" w:hAnsi="Garamond"/>
          <w:b w:val="0"/>
          <w:i w:val="0"/>
          <w:smallCaps w:val="0"/>
          <w:strike w:val="0"/>
          <w:color w:val="ff0000"/>
          <w:sz w:val="20"/>
          <w:szCs w:val="20"/>
          <w:u w:val="none"/>
          <w:shd w:fill="auto" w:val="clear"/>
          <w:vertAlign w:val="baseline"/>
        </w:rPr>
      </w:pPr>
      <w:bookmarkStart w:colFirst="0" w:colLast="0" w:name="_heading=h.65l54ggq7x2p" w:id="0"/>
      <w:bookmarkEnd w:id="0"/>
      <w:r w:rsidDel="00000000" w:rsidR="00000000" w:rsidRPr="00000000">
        <w:rPr>
          <w:rtl w:val="0"/>
        </w:rPr>
      </w:r>
    </w:p>
    <w:p w:rsidR="00000000" w:rsidDel="00000000" w:rsidP="00000000" w:rsidRDefault="00000000" w:rsidRPr="00000000" w14:paraId="00000047">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UNFINISHED BUSINESS</w:t>
      </w:r>
    </w:p>
    <w:p w:rsidR="00000000" w:rsidDel="00000000" w:rsidP="00000000" w:rsidRDefault="00000000" w:rsidRPr="00000000" w14:paraId="00000048">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p>
    <w:p w:rsidR="00000000" w:rsidDel="00000000" w:rsidP="00000000" w:rsidRDefault="00000000" w:rsidRPr="00000000" w14:paraId="00000049">
      <w:pPr>
        <w:numPr>
          <w:ilvl w:val="0"/>
          <w:numId w:val="6"/>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KCCD Retreat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ind w:left="360" w:firstLine="0"/>
        <w:rPr/>
      </w:pPr>
      <w:r w:rsidDel="00000000" w:rsidR="00000000" w:rsidRPr="00000000">
        <w:rPr>
          <w:smallCaps w:val="0"/>
          <w:rtl w:val="0"/>
        </w:rPr>
        <w:t xml:space="preserve">12.   NEW BUSINESS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Juneteenth Recap</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Pride Week Recap</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Participatory Governance Committee Overview</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Presentation on Updates to Brown Act</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1"/>
        <w:ind w:left="360" w:firstLine="0"/>
        <w:rPr/>
      </w:pPr>
      <w:r w:rsidDel="00000000" w:rsidR="00000000" w:rsidRPr="00000000">
        <w:rPr>
          <w:smallCaps w:val="0"/>
          <w:rtl w:val="0"/>
        </w:rPr>
        <w:t xml:space="preserve">13.   ANNOUNCEMENTS</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54">
      <w:pPr>
        <w:numPr>
          <w:ilvl w:val="0"/>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Saldivar’s leave of absence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1"/>
        <w:ind w:left="360" w:firstLine="0"/>
        <w:rPr/>
      </w:pPr>
      <w:r w:rsidDel="00000000" w:rsidR="00000000" w:rsidRPr="00000000">
        <w:rPr>
          <w:smallCaps w:val="0"/>
          <w:rtl w:val="0"/>
        </w:rPr>
        <w:t xml:space="preserve">14.   ADJOURNMENT</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6">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7">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8">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C">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D">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7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5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June 28th 2023</w:t>
          </w: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2">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1440" w:hanging="360"/>
      </w:pPr>
      <w:rPr>
        <w:i w:val="0"/>
        <w:sz w:val="26"/>
        <w:szCs w:val="26"/>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1KRU2RHlynv5COXPE1D9SSCW8g==">CgMxLjAaHgoBMBIZChcIB0ITCghHYXJhbW9uZBIHR3VuZ3N1aDIOaC42NWw1NGdncTd4MnA4AHIhMU5vamNSZHpIUXp6SE1ZV0tBM3RtWjZOQm5taWZtdDQ2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