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22,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97065" cy="55723"/>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5"/>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5"/>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5"/>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February 8,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5"/>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smallCaps w:val="0"/>
          <w:sz w:val="18"/>
          <w:szCs w:val="18"/>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5"/>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A">
      <w:pPr>
        <w:numPr>
          <w:ilvl w:val="1"/>
          <w:numId w:val="5"/>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5"/>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0">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1">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2">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3">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4">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5">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6">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Style w:val="Heading1"/>
        <w:numPr>
          <w:ilvl w:val="0"/>
          <w:numId w:val="5"/>
        </w:numPr>
        <w:ind w:left="810" w:hanging="360"/>
        <w:rPr>
          <w:smallCaps w:val="1"/>
        </w:rPr>
      </w:pPr>
      <w:bookmarkStart w:colFirst="0" w:colLast="0" w:name="_heading=h.gjdgxs" w:id="0"/>
      <w:bookmarkEnd w:id="0"/>
      <w:r w:rsidDel="00000000" w:rsidR="00000000" w:rsidRPr="00000000">
        <w:rPr>
          <w:rtl w:val="0"/>
        </w:rPr>
        <w:t xml:space="preserve">REPORTS FROM THE PARTICIPATORY GOVERNANCE COMMITTEES</w:t>
      </w:r>
      <w:r w:rsidDel="00000000" w:rsidR="00000000" w:rsidRPr="00000000">
        <w:rPr>
          <w:rtl w:val="0"/>
        </w:rPr>
      </w:r>
    </w:p>
    <w:p w:rsidR="00000000" w:rsidDel="00000000" w:rsidP="00000000" w:rsidRDefault="00000000" w:rsidRPr="00000000" w14:paraId="00000029">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A">
      <w:pPr>
        <w:pStyle w:val="Heading2"/>
        <w:numPr>
          <w:ilvl w:val="1"/>
          <w:numId w:val="1"/>
        </w:numPr>
        <w:spacing w:line="240" w:lineRule="auto"/>
        <w:ind w:left="1440" w:hanging="360"/>
        <w:rPr/>
      </w:pPr>
      <w:bookmarkStart w:colFirst="0" w:colLast="0" w:name="_heading=h.tko3eh6qwy2a" w:id="1"/>
      <w:bookmarkEnd w:id="1"/>
      <w:r w:rsidDel="00000000" w:rsidR="00000000" w:rsidRPr="00000000">
        <w:rPr>
          <w:rtl w:val="0"/>
        </w:rPr>
        <w:t xml:space="preserve">Academic Senate</w:t>
      </w:r>
    </w:p>
    <w:p w:rsidR="00000000" w:rsidDel="00000000" w:rsidP="00000000" w:rsidRDefault="00000000" w:rsidRPr="00000000" w14:paraId="0000002B">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2C">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2D">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2E">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2F">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0">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1">
      <w:pPr>
        <w:widowControl w:val="0"/>
        <w:numPr>
          <w:ilvl w:val="1"/>
          <w:numId w:val="1"/>
        </w:numPr>
        <w:spacing w:after="0" w:line="240" w:lineRule="auto"/>
        <w:ind w:left="1440" w:hanging="36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2">
      <w:pPr>
        <w:widowControl w:val="0"/>
        <w:numPr>
          <w:ilvl w:val="1"/>
          <w:numId w:val="1"/>
        </w:numPr>
        <w:spacing w:after="0" w:line="240" w:lineRule="auto"/>
        <w:ind w:left="1440" w:hanging="36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3">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4">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35">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36">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37">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8">
      <w:pPr>
        <w:widowControl w:val="0"/>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numPr>
          <w:ilvl w:val="0"/>
          <w:numId w:val="5"/>
        </w:numPr>
        <w:spacing w:after="0" w:line="240" w:lineRule="auto"/>
        <w:ind w:left="810" w:hanging="360"/>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Implementation of the Bakersfield College Student Transportation Fee</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0"/>
          <w:numId w:val="5"/>
        </w:numPr>
        <w:spacing w:after="0" w:line="240" w:lineRule="auto"/>
        <w:ind w:left="810" w:hanging="360"/>
      </w:pPr>
      <w:r w:rsidDel="00000000" w:rsidR="00000000" w:rsidRPr="00000000">
        <w:rPr>
          <w:rFonts w:ascii="Garamond" w:cs="Garamond" w:eastAsia="Garamond" w:hAnsi="Garamond"/>
          <w:b w:val="1"/>
          <w:sz w:val="20"/>
          <w:szCs w:val="20"/>
          <w:rtl w:val="0"/>
        </w:rPr>
        <w:t xml:space="preserve">SECOND READING OF LEGISLATION</w:t>
      </w:r>
    </w:p>
    <w:p w:rsidR="00000000" w:rsidDel="00000000" w:rsidP="00000000" w:rsidRDefault="00000000" w:rsidRPr="00000000" w14:paraId="0000003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r w:rsidDel="00000000" w:rsidR="00000000" w:rsidRPr="00000000">
        <w:rPr>
          <w:rtl w:val="0"/>
        </w:rPr>
      </w:r>
    </w:p>
    <w:p w:rsidR="00000000" w:rsidDel="00000000" w:rsidP="00000000" w:rsidRDefault="00000000" w:rsidRPr="00000000" w14:paraId="00000040">
      <w:pPr>
        <w:numPr>
          <w:ilvl w:val="1"/>
          <w:numId w:val="3"/>
        </w:numPr>
        <w:spacing w:after="0" w:line="240" w:lineRule="auto"/>
        <w:ind w:left="1440" w:hanging="360"/>
      </w:pPr>
      <w:r w:rsidDel="00000000" w:rsidR="00000000" w:rsidRPr="00000000">
        <w:rPr>
          <w:rFonts w:ascii="Garamond" w:cs="Garamond" w:eastAsia="Garamond" w:hAnsi="Garamond"/>
          <w:sz w:val="20"/>
          <w:szCs w:val="20"/>
          <w:rtl w:val="0"/>
        </w:rPr>
        <w:t xml:space="preserve">ACTION: SB 16: Remembering and Recognizing Holocaust Remembrance Day </w:t>
      </w:r>
      <w:r w:rsidDel="00000000" w:rsidR="00000000" w:rsidRPr="00000000">
        <w:rPr>
          <w:rtl w:val="0"/>
        </w:rPr>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3">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4">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DSS Speaker: Kwame Anthony Appiah</w:t>
      </w:r>
    </w:p>
    <w:p w:rsidR="00000000" w:rsidDel="00000000" w:rsidP="00000000" w:rsidRDefault="00000000" w:rsidRPr="00000000" w14:paraId="00000045">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6">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4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8">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9">
      <w:pPr>
        <w:pStyle w:val="Heading1"/>
        <w:numPr>
          <w:ilvl w:val="0"/>
          <w:numId w:val="5"/>
        </w:numPr>
        <w:ind w:left="810" w:hanging="360"/>
        <w:rPr/>
      </w:pPr>
      <w:bookmarkStart w:colFirst="0" w:colLast="0" w:name="_heading=h.tohf2r2tgph6" w:id="4"/>
      <w:bookmarkEnd w:id="4"/>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A">
      <w:pPr>
        <w:spacing w:after="0" w:line="240" w:lineRule="auto"/>
        <w:rPr>
          <w:shd w:fill="b6d7a8" w:val="clear"/>
        </w:rPr>
      </w:pPr>
      <w:r w:rsidDel="00000000" w:rsidR="00000000" w:rsidRPr="00000000">
        <w:rPr>
          <w:rtl w:val="0"/>
        </w:rPr>
      </w:r>
    </w:p>
    <w:p w:rsidR="00000000" w:rsidDel="00000000" w:rsidP="00000000" w:rsidRDefault="00000000" w:rsidRPr="00000000" w14:paraId="0000004B">
      <w:pPr>
        <w:pStyle w:val="Heading1"/>
        <w:ind w:left="0" w:firstLine="0"/>
        <w:rPr>
          <w:smallCaps w:val="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57168</wp:posOffset>
          </wp:positionH>
          <wp:positionV relativeFrom="paragraph">
            <wp:posOffset>13970</wp:posOffset>
          </wp:positionV>
          <wp:extent cx="297815" cy="1316355"/>
          <wp:effectExtent b="0" l="0" r="0" t="0"/>
          <wp:wrapSquare wrapText="bothSides" distB="0" distT="0" distL="114300" distR="114300"/>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Feb 22, 2023</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c9MnuJw1l5vcfdsdX7Y7uguDJQ==">AMUW2mVJk1TKKa7h7ekSnfB5Xt/5oFMhskH23+YVnnxDwwIb7vC5lZQ8pI44JwdOERDI2FAfvTrX53BPBmaicNZU6t7Ck9ehSH/gae14LYjghDwnLqRXR/dUkevb98DWZJvjtKg3s7Tf+elZTIIDUDr0ZdBOj3t7DKqH7J+gb4fTDlGz7YgmgiJ2XV5AaQXlam0leR8cJaF9gqePEBZZCT3m7+tplhXeaE8LLMXLZ03uty6b8ZcrQZ0=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