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MEMO</w:t>
      </w:r>
    </w:p>
    <w:p w:rsidR="00000000" w:rsidDel="00000000" w:rsidP="00000000" w:rsidRDefault="00000000" w:rsidRPr="00000000" w14:paraId="0000000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w:t>
        <w:tab/>
        <w:tab/>
        <w:t xml:space="preserve"> </w:t>
      </w:r>
    </w:p>
    <w:p w:rsidR="00000000" w:rsidDel="00000000" w:rsidP="00000000" w:rsidRDefault="00000000" w:rsidRPr="00000000" w14:paraId="00000004">
      <w:pPr>
        <w:spacing w:after="0" w:line="240" w:lineRule="auto"/>
        <w:ind w:left="720" w:firstLine="720"/>
        <w:rPr>
          <w:rFonts w:ascii="Arial" w:cs="Arial" w:eastAsia="Arial" w:hAnsi="Arial"/>
          <w:color w:val="000000"/>
        </w:rPr>
      </w:pPr>
      <w:r w:rsidDel="00000000" w:rsidR="00000000" w:rsidRPr="00000000">
        <w:rPr>
          <w:rFonts w:ascii="Arial" w:cs="Arial" w:eastAsia="Arial" w:hAnsi="Arial"/>
          <w:color w:val="000000"/>
          <w:rtl w:val="0"/>
        </w:rPr>
        <w:t xml:space="preserve">Dr. Emmanuel Mourtzanos, BC Vice President of Student Affairs</w:t>
      </w:r>
    </w:p>
    <w:p w:rsidR="00000000" w:rsidDel="00000000" w:rsidP="00000000" w:rsidRDefault="00000000" w:rsidRPr="00000000" w14:paraId="0000000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0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From:</w:t>
        <w:tab/>
        <w:tab/>
        <w:t xml:space="preserve">Edith Mata, BCSGA President</w:t>
      </w:r>
    </w:p>
    <w:p w:rsidR="00000000" w:rsidDel="00000000" w:rsidP="00000000" w:rsidRDefault="00000000" w:rsidRPr="00000000" w14:paraId="00000007">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CC:</w:t>
        <w:tab/>
        <w:tab/>
        <w:t xml:space="preserve">Dr. Nicky Damania, BCSGA Advisor</w:t>
      </w:r>
    </w:p>
    <w:p w:rsidR="00000000" w:rsidDel="00000000" w:rsidP="00000000" w:rsidRDefault="00000000" w:rsidRPr="00000000" w14:paraId="00000009">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Date:</w:t>
        <w:tab/>
        <w:tab/>
      </w:r>
      <w:r w:rsidDel="00000000" w:rsidR="00000000" w:rsidRPr="00000000">
        <w:rPr>
          <w:rFonts w:ascii="Arial" w:cs="Arial" w:eastAsia="Arial" w:hAnsi="Arial"/>
          <w:rtl w:val="0"/>
        </w:rPr>
        <w:t xml:space="preserve">Friday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February 18</w:t>
      </w:r>
      <w:r w:rsidDel="00000000" w:rsidR="00000000" w:rsidRPr="00000000">
        <w:rPr>
          <w:rFonts w:ascii="Arial" w:cs="Arial" w:eastAsia="Arial" w:hAnsi="Arial"/>
          <w:color w:val="000000"/>
          <w:rtl w:val="0"/>
        </w:rPr>
        <w:t xml:space="preserve">,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Subject:</w:t>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0D">
      <w:pPr>
        <w:spacing w:after="0" w:line="240" w:lineRule="auto"/>
        <w:ind w:left="72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Addressing Diversity, Equity, Inclusion, Accessibility, and Anti-Racism Efforts</w:t>
      </w:r>
      <w:r w:rsidDel="00000000" w:rsidR="00000000" w:rsidRPr="00000000">
        <w:rPr>
          <w:rtl w:val="0"/>
        </w:rPr>
      </w:r>
    </w:p>
    <w:p w:rsidR="00000000" w:rsidDel="00000000" w:rsidP="00000000" w:rsidRDefault="00000000" w:rsidRPr="00000000" w14:paraId="0000000E">
      <w:pPr>
        <w:pBdr>
          <w:bottom w:color="000000" w:space="1" w:sz="12" w:val="single"/>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smallCaps w:val="1"/>
          <w:color w:val="0a0a0a"/>
          <w:sz w:val="20"/>
          <w:szCs w:val="20"/>
        </w:rPr>
      </w:pPr>
      <w:r w:rsidDel="00000000" w:rsidR="00000000" w:rsidRPr="00000000">
        <w:rPr>
          <w:color w:val="000000"/>
          <w:rtl w:val="0"/>
        </w:rPr>
        <w:t xml:space="preserve">By the powers vested to me by the Codes of the Bakersfield Renegade Association (COBRA) 202.01(b), the BCSGA President “shall have the power to issue proclamations, or opinions of the Office of the President,” it is my </w:t>
      </w:r>
      <w:r w:rsidDel="00000000" w:rsidR="00000000" w:rsidRPr="00000000">
        <w:rPr>
          <w:rtl w:val="0"/>
        </w:rPr>
        <w:t xml:space="preserve">opinion</w:t>
      </w:r>
      <w:r w:rsidDel="00000000" w:rsidR="00000000" w:rsidRPr="00000000">
        <w:rPr>
          <w:color w:val="000000"/>
          <w:rtl w:val="0"/>
        </w:rPr>
        <w:t xml:space="preserve"> as the 2021-2022 BCSGA President that diversity, equity, inclusion, accessibility, and anti</w:t>
      </w:r>
      <w:r w:rsidDel="00000000" w:rsidR="00000000" w:rsidRPr="00000000">
        <w:rPr>
          <w:rtl w:val="0"/>
        </w:rPr>
        <w:t xml:space="preserve">-racism conversations be on the forefront to address the racial climate on campus.</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2">
      <w:pPr>
        <w:spacing w:line="480" w:lineRule="auto"/>
        <w:ind w:firstLine="450"/>
        <w:rPr>
          <w:i w:val="1"/>
          <w:color w:val="0a0a0a"/>
        </w:rPr>
      </w:pPr>
      <w:r w:rsidDel="00000000" w:rsidR="00000000" w:rsidRPr="00000000">
        <w:rPr>
          <w:i w:val="1"/>
          <w:color w:val="0a0a0a"/>
          <w:highlight w:val="white"/>
          <w:rtl w:val="0"/>
        </w:rPr>
        <w:t xml:space="preserve">Whereas</w:t>
      </w:r>
      <w:r w:rsidDel="00000000" w:rsidR="00000000" w:rsidRPr="00000000">
        <w:rPr>
          <w:i w:val="1"/>
          <w:color w:val="0a0a0a"/>
          <w:highlight w:val="white"/>
          <w:rtl w:val="0"/>
        </w:rPr>
        <w:t xml:space="preserve">, the California Code 51202 Statement on Diversity, Equity, and Inclusion in the California Community Colleges states colleges</w:t>
      </w:r>
      <w:r w:rsidDel="00000000" w:rsidR="00000000" w:rsidRPr="00000000">
        <w:rPr>
          <w:i w:val="1"/>
          <w:color w:val="0a0a0a"/>
          <w:highlight w:val="white"/>
          <w:vertAlign w:val="superscript"/>
        </w:rPr>
        <w:footnoteReference w:customMarkFollows="0" w:id="0"/>
      </w:r>
      <w:r w:rsidDel="00000000" w:rsidR="00000000" w:rsidRPr="00000000">
        <w:rPr>
          <w:i w:val="1"/>
          <w:color w:val="0a0a0a"/>
          <w:highlight w:val="white"/>
          <w:rtl w:val="0"/>
        </w:rPr>
        <w:t xml:space="preserve">; will ensure equal educational opportunity for all students; will acknowledge institutional racism, discrimination, and biases exist and eradicate from our system; and act deliberately to create a safe, inclusive, and anti-racist environment;</w:t>
      </w:r>
      <w:r w:rsidDel="00000000" w:rsidR="00000000" w:rsidRPr="00000000">
        <w:rPr>
          <w:rtl w:val="0"/>
        </w:rPr>
      </w:r>
    </w:p>
    <w:p w:rsidR="00000000" w:rsidDel="00000000" w:rsidP="00000000" w:rsidRDefault="00000000" w:rsidRPr="00000000" w14:paraId="00000013">
      <w:pPr>
        <w:spacing w:line="480" w:lineRule="auto"/>
        <w:ind w:firstLine="450"/>
        <w:rPr>
          <w:i w:val="1"/>
          <w:color w:val="0a0a0a"/>
          <w:highlight w:val="white"/>
        </w:rPr>
      </w:pPr>
      <w:r w:rsidDel="00000000" w:rsidR="00000000" w:rsidRPr="00000000">
        <w:rPr>
          <w:i w:val="1"/>
          <w:color w:val="0a0a0a"/>
          <w:highlight w:val="white"/>
          <w:rtl w:val="0"/>
        </w:rPr>
        <w:t xml:space="preserve">Whereas, the California Community College Chancellor’s Office issued a call to action for campus leaders to host open dialogue and address campus climate; create an action plan to create inclusive classrooms and anti-racism curriculum; and to expedite the full implementation of the CCCCO Diversity, Equity, and Inclusion plan;</w:t>
      </w:r>
    </w:p>
    <w:p w:rsidR="00000000" w:rsidDel="00000000" w:rsidP="00000000" w:rsidRDefault="00000000" w:rsidRPr="00000000" w14:paraId="00000014">
      <w:pPr>
        <w:shd w:fill="ffffff" w:val="clear"/>
        <w:spacing w:line="480" w:lineRule="auto"/>
        <w:ind w:firstLine="450"/>
        <w:rPr>
          <w:i w:val="1"/>
          <w:color w:val="0a0a0a"/>
        </w:rPr>
      </w:pPr>
      <w:r w:rsidDel="00000000" w:rsidR="00000000" w:rsidRPr="00000000">
        <w:rPr>
          <w:i w:val="1"/>
          <w:color w:val="0a0a0a"/>
          <w:rtl w:val="0"/>
        </w:rPr>
        <w:t xml:space="preserve">Whereas, the Student Senate for California Community Colleges adopted an Anti-Racism Student Plan of Action in 2020 that includes:</w:t>
      </w:r>
      <w:r w:rsidDel="00000000" w:rsidR="00000000" w:rsidRPr="00000000">
        <w:rPr>
          <w:i w:val="1"/>
          <w:color w:val="0a0a0a"/>
          <w:vertAlign w:val="superscript"/>
        </w:rPr>
        <w:footnoteReference w:customMarkFollows="0" w:id="1"/>
      </w:r>
      <w:r w:rsidDel="00000000" w:rsidR="00000000" w:rsidRPr="00000000">
        <w:rPr>
          <w:rtl w:val="0"/>
        </w:rPr>
      </w:r>
    </w:p>
    <w:p w:rsidR="00000000" w:rsidDel="00000000" w:rsidP="00000000" w:rsidRDefault="00000000" w:rsidRPr="00000000" w14:paraId="00000015">
      <w:pPr>
        <w:numPr>
          <w:ilvl w:val="0"/>
          <w:numId w:val="1"/>
        </w:numPr>
        <w:shd w:fill="ffffff" w:val="clear"/>
        <w:spacing w:after="0" w:line="216" w:lineRule="auto"/>
        <w:ind w:left="720" w:hanging="360"/>
        <w:rPr>
          <w:i w:val="1"/>
          <w:color w:val="0a0a0a"/>
        </w:rPr>
      </w:pPr>
      <w:r w:rsidDel="00000000" w:rsidR="00000000" w:rsidRPr="00000000">
        <w:rPr>
          <w:i w:val="1"/>
          <w:color w:val="0a0a0a"/>
          <w:rtl w:val="0"/>
        </w:rPr>
        <w:t xml:space="preserve">Cultural Awareness and Respect: A climate to allow students of color to feel welcome, free and safe to express opinions; </w:t>
      </w:r>
    </w:p>
    <w:p w:rsidR="00000000" w:rsidDel="00000000" w:rsidP="00000000" w:rsidRDefault="00000000" w:rsidRPr="00000000" w14:paraId="00000016">
      <w:pPr>
        <w:numPr>
          <w:ilvl w:val="0"/>
          <w:numId w:val="1"/>
        </w:numPr>
        <w:shd w:fill="ffffff" w:val="clear"/>
        <w:spacing w:after="0" w:line="216" w:lineRule="auto"/>
        <w:ind w:left="720" w:hanging="360"/>
        <w:rPr>
          <w:i w:val="1"/>
          <w:color w:val="0a0a0a"/>
        </w:rPr>
      </w:pPr>
      <w:r w:rsidDel="00000000" w:rsidR="00000000" w:rsidRPr="00000000">
        <w:rPr>
          <w:i w:val="1"/>
          <w:color w:val="0a0a0a"/>
          <w:rtl w:val="0"/>
        </w:rPr>
        <w:t xml:space="preserve">Equity Training: Building cultural diversity awareness and address racism, unconscious bias, and microaggressions;</w:t>
      </w:r>
    </w:p>
    <w:p w:rsidR="00000000" w:rsidDel="00000000" w:rsidP="00000000" w:rsidRDefault="00000000" w:rsidRPr="00000000" w14:paraId="00000017">
      <w:pPr>
        <w:numPr>
          <w:ilvl w:val="0"/>
          <w:numId w:val="1"/>
        </w:numPr>
        <w:shd w:fill="ffffff" w:val="clear"/>
        <w:spacing w:after="0" w:line="216" w:lineRule="auto"/>
        <w:ind w:left="720" w:hanging="360"/>
        <w:rPr>
          <w:i w:val="1"/>
          <w:color w:val="0a0a0a"/>
        </w:rPr>
      </w:pPr>
      <w:r w:rsidDel="00000000" w:rsidR="00000000" w:rsidRPr="00000000">
        <w:rPr>
          <w:i w:val="1"/>
          <w:color w:val="0a0a0a"/>
          <w:rtl w:val="0"/>
        </w:rPr>
        <w:t xml:space="preserve">Curriculum Changes: curriculum that fosters cultural appreciation, awareness, acceptance, &amp; value;</w:t>
      </w:r>
    </w:p>
    <w:p w:rsidR="00000000" w:rsidDel="00000000" w:rsidP="00000000" w:rsidRDefault="00000000" w:rsidRPr="00000000" w14:paraId="00000018">
      <w:pPr>
        <w:numPr>
          <w:ilvl w:val="0"/>
          <w:numId w:val="1"/>
        </w:numPr>
        <w:shd w:fill="ffffff" w:val="clear"/>
        <w:spacing w:after="0" w:line="216" w:lineRule="auto"/>
        <w:ind w:left="720" w:hanging="360"/>
        <w:rPr>
          <w:i w:val="1"/>
          <w:color w:val="0a0a0a"/>
        </w:rPr>
      </w:pPr>
      <w:r w:rsidDel="00000000" w:rsidR="00000000" w:rsidRPr="00000000">
        <w:rPr>
          <w:i w:val="1"/>
          <w:color w:val="0a0a0a"/>
          <w:rtl w:val="0"/>
        </w:rPr>
        <w:t xml:space="preserve">Peer Mentors and Alliances: Resources for students to seek help and resources in addressing racism, microaggressions, and other racial barriers to their education (communication between student groups; peer mentor programs; faculty opportunities to share, learn, &amp; listen);</w:t>
      </w:r>
    </w:p>
    <w:p w:rsidR="00000000" w:rsidDel="00000000" w:rsidP="00000000" w:rsidRDefault="00000000" w:rsidRPr="00000000" w14:paraId="00000019">
      <w:pPr>
        <w:numPr>
          <w:ilvl w:val="0"/>
          <w:numId w:val="1"/>
        </w:numPr>
        <w:shd w:fill="ffffff" w:val="clear"/>
        <w:spacing w:after="0" w:line="216" w:lineRule="auto"/>
        <w:ind w:left="720" w:hanging="360"/>
        <w:rPr>
          <w:i w:val="1"/>
          <w:color w:val="0a0a0a"/>
        </w:rPr>
      </w:pPr>
      <w:r w:rsidDel="00000000" w:rsidR="00000000" w:rsidRPr="00000000">
        <w:rPr>
          <w:i w:val="1"/>
          <w:color w:val="0a0a0a"/>
          <w:rtl w:val="0"/>
        </w:rPr>
        <w:t xml:space="preserve">Classroom Experience: Faculty evaluation; include equity in hiring training; intentional recruitment of diverse full-time faculty; require anti-racism statements;</w:t>
      </w:r>
    </w:p>
    <w:p w:rsidR="00000000" w:rsidDel="00000000" w:rsidP="00000000" w:rsidRDefault="00000000" w:rsidRPr="00000000" w14:paraId="0000001A">
      <w:pPr>
        <w:shd w:fill="ffffff" w:val="clear"/>
        <w:spacing w:line="216" w:lineRule="auto"/>
        <w:rPr>
          <w:i w:val="1"/>
          <w:color w:val="0a0a0a"/>
        </w:rPr>
      </w:pPr>
      <w:r w:rsidDel="00000000" w:rsidR="00000000" w:rsidRPr="00000000">
        <w:rPr>
          <w:rtl w:val="0"/>
        </w:rPr>
      </w:r>
    </w:p>
    <w:p w:rsidR="00000000" w:rsidDel="00000000" w:rsidP="00000000" w:rsidRDefault="00000000" w:rsidRPr="00000000" w14:paraId="0000001B">
      <w:pPr>
        <w:shd w:fill="ffffff" w:val="clear"/>
        <w:spacing w:line="480" w:lineRule="auto"/>
        <w:ind w:firstLine="720"/>
        <w:rPr>
          <w:i w:val="1"/>
          <w:color w:val="0a0a0a"/>
        </w:rPr>
      </w:pPr>
      <w:r w:rsidDel="00000000" w:rsidR="00000000" w:rsidRPr="00000000">
        <w:rPr>
          <w:i w:val="1"/>
          <w:color w:val="0a0a0a"/>
          <w:rtl w:val="0"/>
        </w:rPr>
        <w:t xml:space="preserve">Whereas, the Academic Senate for California Community Colleges in an Inclusivity statement</w:t>
      </w:r>
      <w:r w:rsidDel="00000000" w:rsidR="00000000" w:rsidRPr="00000000">
        <w:rPr>
          <w:i w:val="1"/>
          <w:color w:val="0a0a0a"/>
          <w:vertAlign w:val="superscript"/>
        </w:rPr>
        <w:footnoteReference w:customMarkFollows="0" w:id="2"/>
      </w:r>
      <w:r w:rsidDel="00000000" w:rsidR="00000000" w:rsidRPr="00000000">
        <w:rPr>
          <w:i w:val="1"/>
          <w:color w:val="0a0a0a"/>
          <w:rtl w:val="0"/>
        </w:rPr>
        <w:t xml:space="preserve"> professed a need for recognition of the complexity of our present state; acknowledge that institutional discrimination and implicit bias exist; made a call to action for a better future; established a goal to eradicate institutional discrimination and implicit bias; committed to an environment that offers equal employment opportunity for all; and proclaimed equity and mutual respect are both intrinsic and explicit by valuing individuals and groups from all backgrounds, demographics, and experiences;</w:t>
      </w:r>
    </w:p>
    <w:p w:rsidR="00000000" w:rsidDel="00000000" w:rsidP="00000000" w:rsidRDefault="00000000" w:rsidRPr="00000000" w14:paraId="0000001C">
      <w:pPr>
        <w:spacing w:after="0" w:line="240" w:lineRule="auto"/>
        <w:ind w:firstLine="720"/>
        <w:rPr>
          <w:i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spacing w:after="0" w:line="240" w:lineRule="auto"/>
        <w:rPr>
          <w:i w:val="1"/>
          <w:color w:val="000000"/>
        </w:rPr>
      </w:pPr>
      <w:bookmarkStart w:colFirst="0" w:colLast="0" w:name="_heading=h.30j0zll" w:id="1"/>
      <w:bookmarkEnd w:id="1"/>
      <w:r w:rsidDel="00000000" w:rsidR="00000000" w:rsidRPr="00000000">
        <w:rPr>
          <w:i w:val="1"/>
          <w:color w:val="000000"/>
          <w:rtl w:val="0"/>
        </w:rPr>
        <w:t xml:space="preserve">WHEREAS, Office of the BCSGA President affirms the value</w:t>
      </w:r>
      <w:r w:rsidDel="00000000" w:rsidR="00000000" w:rsidRPr="00000000">
        <w:rPr>
          <w:i w:val="1"/>
          <w:rtl w:val="0"/>
        </w:rPr>
        <w:t xml:space="preserve"> </w:t>
      </w:r>
      <w:r w:rsidDel="00000000" w:rsidR="00000000" w:rsidRPr="00000000">
        <w:rPr>
          <w:i w:val="1"/>
          <w:color w:val="000000"/>
          <w:rtl w:val="0"/>
        </w:rPr>
        <w:t xml:space="preserve">of </w:t>
      </w:r>
      <w:r w:rsidDel="00000000" w:rsidR="00000000" w:rsidRPr="00000000">
        <w:rPr>
          <w:i w:val="1"/>
          <w:color w:val="0a0a0a"/>
          <w:highlight w:val="white"/>
          <w:rtl w:val="0"/>
        </w:rPr>
        <w:t xml:space="preserve">equal educational opportunity for all students and to eradicate institutional racism, discrimination and biases from our system; and act deliberately to create a safe, inclusive, and anti-racist environment</w:t>
      </w:r>
      <w:r w:rsidDel="00000000" w:rsidR="00000000" w:rsidRPr="00000000">
        <w:rPr>
          <w:i w:val="1"/>
          <w:color w:val="0a0a0a"/>
          <w:rtl w:val="0"/>
        </w:rPr>
        <w:t xml:space="preserve"> </w:t>
      </w:r>
      <w:r w:rsidDel="00000000" w:rsidR="00000000" w:rsidRPr="00000000">
        <w:rPr>
          <w:i w:val="1"/>
          <w:color w:val="000000"/>
          <w:rtl w:val="0"/>
        </w:rPr>
        <w:t xml:space="preserve">at the Home of the Renegades; and </w:t>
      </w:r>
    </w:p>
    <w:p w:rsidR="00000000" w:rsidDel="00000000" w:rsidP="00000000" w:rsidRDefault="00000000" w:rsidRPr="00000000" w14:paraId="0000001E">
      <w:pPr>
        <w:spacing w:after="0" w:line="240" w:lineRule="auto"/>
        <w:ind w:firstLine="720"/>
        <w:rPr>
          <w:i w:val="1"/>
          <w:color w:val="000000"/>
        </w:rPr>
      </w:pPr>
      <w:r w:rsidDel="00000000" w:rsidR="00000000" w:rsidRPr="00000000">
        <w:rPr>
          <w:rtl w:val="0"/>
        </w:rPr>
      </w:r>
    </w:p>
    <w:p w:rsidR="00000000" w:rsidDel="00000000" w:rsidP="00000000" w:rsidRDefault="00000000" w:rsidRPr="00000000" w14:paraId="0000001F">
      <w:pPr>
        <w:spacing w:after="0" w:line="240" w:lineRule="auto"/>
        <w:rPr>
          <w:i w:val="1"/>
          <w:color w:val="0a0a0a"/>
        </w:rPr>
      </w:pPr>
      <w:r w:rsidDel="00000000" w:rsidR="00000000" w:rsidRPr="00000000">
        <w:rPr>
          <w:i w:val="1"/>
          <w:color w:val="000000"/>
          <w:rtl w:val="0"/>
        </w:rPr>
        <w:t xml:space="preserve">Be it Resolved, BCSGA Office of the President supports </w:t>
      </w:r>
      <w:r w:rsidDel="00000000" w:rsidR="00000000" w:rsidRPr="00000000">
        <w:rPr>
          <w:i w:val="1"/>
          <w:color w:val="0a0a0a"/>
          <w:rtl w:val="0"/>
        </w:rPr>
        <w:t xml:space="preserve">the statement on Diversity, Equity, and Inclusion set forth in Section 51201 to be the official position of the BCSGA and the California Community Colleges on their commitment to diversity and equity in fulfilling the system's educational mission while  guiding the administration of all programs in the California Community Colleges, consistent with all applicable state and federal laws and regulations;</w:t>
      </w:r>
    </w:p>
    <w:p w:rsidR="00000000" w:rsidDel="00000000" w:rsidP="00000000" w:rsidRDefault="00000000" w:rsidRPr="00000000" w14:paraId="00000020">
      <w:pPr>
        <w:spacing w:after="0" w:line="240" w:lineRule="auto"/>
        <w:rPr>
          <w:i w:val="1"/>
          <w:color w:val="000000"/>
        </w:rPr>
      </w:pPr>
      <w:r w:rsidDel="00000000" w:rsidR="00000000" w:rsidRPr="00000000">
        <w:rPr>
          <w:rtl w:val="0"/>
        </w:rPr>
      </w:r>
    </w:p>
    <w:p w:rsidR="00000000" w:rsidDel="00000000" w:rsidP="00000000" w:rsidRDefault="00000000" w:rsidRPr="00000000" w14:paraId="00000021">
      <w:pPr>
        <w:spacing w:after="0" w:line="240" w:lineRule="auto"/>
        <w:rPr>
          <w:i w:val="1"/>
          <w:color w:val="000000"/>
        </w:rPr>
      </w:pPr>
      <w:r w:rsidDel="00000000" w:rsidR="00000000" w:rsidRPr="00000000">
        <w:rPr>
          <w:i w:val="1"/>
          <w:color w:val="000000"/>
          <w:rtl w:val="0"/>
        </w:rPr>
        <w:t xml:space="preserve">BE IT Further RESOLVED, the BCSGA Office of the President encourages Bakersfield College to </w:t>
      </w:r>
    </w:p>
    <w:p w:rsidR="00000000" w:rsidDel="00000000" w:rsidP="00000000" w:rsidRDefault="00000000" w:rsidRPr="00000000" w14:paraId="00000022">
      <w:pPr>
        <w:spacing w:after="0" w:line="240" w:lineRule="auto"/>
        <w:rPr>
          <w:i w:val="1"/>
          <w:color w:val="0a0a0a"/>
        </w:rPr>
      </w:pPr>
      <w:r w:rsidDel="00000000" w:rsidR="00000000" w:rsidRPr="00000000">
        <w:rPr>
          <w:i w:val="1"/>
          <w:rtl w:val="0"/>
        </w:rPr>
        <w:t xml:space="preserve">support the</w:t>
      </w:r>
      <w:r w:rsidDel="00000000" w:rsidR="00000000" w:rsidRPr="00000000">
        <w:rPr>
          <w:i w:val="1"/>
          <w:color w:val="0a0a0a"/>
          <w:rtl w:val="0"/>
        </w:rPr>
        <w:t xml:space="preserve"> Student Senate for California Community Colleges Anti-Racism Student Plan of </w:t>
      </w:r>
    </w:p>
    <w:p w:rsidR="00000000" w:rsidDel="00000000" w:rsidP="00000000" w:rsidRDefault="00000000" w:rsidRPr="00000000" w14:paraId="00000023">
      <w:pPr>
        <w:spacing w:after="0" w:line="240" w:lineRule="auto"/>
        <w:rPr>
          <w:i w:val="1"/>
          <w:color w:val="0a0a0a"/>
        </w:rPr>
      </w:pPr>
      <w:r w:rsidDel="00000000" w:rsidR="00000000" w:rsidRPr="00000000">
        <w:rPr>
          <w:i w:val="1"/>
          <w:color w:val="0a0a0a"/>
          <w:rtl w:val="0"/>
        </w:rPr>
        <w:t xml:space="preserve">Action</w:t>
      </w:r>
      <w:r w:rsidDel="00000000" w:rsidR="00000000" w:rsidRPr="00000000">
        <w:rPr>
          <w:i w:val="1"/>
          <w:color w:val="0a0a0a"/>
          <w:sz w:val="24"/>
          <w:szCs w:val="24"/>
          <w:rtl w:val="0"/>
        </w:rPr>
        <w:t xml:space="preserve">;</w:t>
      </w:r>
      <w:r w:rsidDel="00000000" w:rsidR="00000000" w:rsidRPr="00000000">
        <w:rPr>
          <w:rtl w:val="0"/>
        </w:rPr>
      </w:r>
    </w:p>
    <w:p w:rsidR="00000000" w:rsidDel="00000000" w:rsidP="00000000" w:rsidRDefault="00000000" w:rsidRPr="00000000" w14:paraId="00000024">
      <w:pPr>
        <w:spacing w:after="0" w:line="240" w:lineRule="auto"/>
        <w:rPr>
          <w:i w:val="1"/>
          <w:color w:val="000000"/>
        </w:rPr>
      </w:pPr>
      <w:r w:rsidDel="00000000" w:rsidR="00000000" w:rsidRPr="00000000">
        <w:rPr>
          <w:rtl w:val="0"/>
        </w:rPr>
      </w:r>
    </w:p>
    <w:p w:rsidR="00000000" w:rsidDel="00000000" w:rsidP="00000000" w:rsidRDefault="00000000" w:rsidRPr="00000000" w14:paraId="00000025">
      <w:pPr>
        <w:spacing w:after="0" w:line="240" w:lineRule="auto"/>
        <w:ind w:firstLine="720"/>
        <w:rPr>
          <w:i w:val="1"/>
        </w:rPr>
      </w:pPr>
      <w:r w:rsidDel="00000000" w:rsidR="00000000" w:rsidRPr="00000000">
        <w:rPr>
          <w:rtl w:val="0"/>
        </w:rPr>
      </w:r>
    </w:p>
    <w:p w:rsidR="00000000" w:rsidDel="00000000" w:rsidP="00000000" w:rsidRDefault="00000000" w:rsidRPr="00000000" w14:paraId="00000026">
      <w:pPr>
        <w:spacing w:after="0" w:line="240" w:lineRule="auto"/>
        <w:rPr>
          <w:i w:val="1"/>
          <w:color w:val="3c4043"/>
          <w:highlight w:val="white"/>
        </w:rPr>
      </w:pPr>
      <w:r w:rsidDel="00000000" w:rsidR="00000000" w:rsidRPr="00000000">
        <w:rPr>
          <w:rtl w:val="0"/>
        </w:rPr>
      </w:r>
    </w:p>
    <w:p w:rsidR="00000000" w:rsidDel="00000000" w:rsidP="00000000" w:rsidRDefault="00000000" w:rsidRPr="00000000" w14:paraId="00000027">
      <w:pPr>
        <w:spacing w:after="0" w:line="240" w:lineRule="auto"/>
        <w:rPr>
          <w:i w:val="1"/>
        </w:rPr>
      </w:pPr>
      <w:r w:rsidDel="00000000" w:rsidR="00000000" w:rsidRPr="00000000">
        <w:rPr>
          <w:rtl w:val="0"/>
        </w:rPr>
      </w:r>
    </w:p>
    <w:p w:rsidR="00000000" w:rsidDel="00000000" w:rsidP="00000000" w:rsidRDefault="00000000" w:rsidRPr="00000000" w14:paraId="00000028">
      <w:pPr>
        <w:spacing w:after="0" w:line="240" w:lineRule="auto"/>
        <w:rPr>
          <w:i w:val="1"/>
          <w:color w:val="000000"/>
        </w:rPr>
      </w:pPr>
      <w:r w:rsidDel="00000000" w:rsidR="00000000" w:rsidRPr="00000000">
        <w:rPr>
          <w:i w:val="1"/>
          <w:color w:val="000000"/>
          <w:rtl w:val="0"/>
        </w:rPr>
        <w:t xml:space="preserve">Finally BE IT RESOLVED, Office of the President will submit this </w:t>
      </w:r>
      <w:r w:rsidDel="00000000" w:rsidR="00000000" w:rsidRPr="00000000">
        <w:rPr>
          <w:i w:val="1"/>
          <w:rtl w:val="0"/>
        </w:rPr>
        <w:t xml:space="preserve">opinion</w:t>
      </w:r>
      <w:r w:rsidDel="00000000" w:rsidR="00000000" w:rsidRPr="00000000">
        <w:rPr>
          <w:i w:val="1"/>
          <w:color w:val="000000"/>
          <w:rtl w:val="0"/>
        </w:rPr>
        <w:t xml:space="preserve"> to the next BCSGA Senate meeting for review and creation of an official </w:t>
      </w:r>
      <w:r w:rsidDel="00000000" w:rsidR="00000000" w:rsidRPr="00000000">
        <w:rPr>
          <w:i w:val="1"/>
          <w:rtl w:val="0"/>
        </w:rPr>
        <w:t xml:space="preserve">bill</w:t>
      </w:r>
      <w:r w:rsidDel="00000000" w:rsidR="00000000" w:rsidRPr="00000000">
        <w:rPr>
          <w:i w:val="1"/>
          <w:color w:val="000000"/>
          <w:rtl w:val="0"/>
        </w:rPr>
        <w:t xml:space="preserve">.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tbl>
    <w:tblPr>
      <w:tblStyle w:val="Table2"/>
      <w:tblW w:w="9360.0" w:type="dxa"/>
      <w:jc w:val="left"/>
      <w:tblInd w:w="0.0" w:type="dxa"/>
      <w:tblBorders>
        <w:top w:color="990000" w:space="0" w:sz="2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20"/>
              <w:szCs w:val="20"/>
            </w:rPr>
          </w:pPr>
          <w:r w:rsidDel="00000000" w:rsidR="00000000" w:rsidRPr="00000000">
            <w:rPr>
              <w:rFonts w:ascii="Arial" w:cs="Arial" w:eastAsia="Arial" w:hAnsi="Arial"/>
              <w:color w:val="000000"/>
              <w:sz w:val="8"/>
              <w:szCs w:val="8"/>
              <w:rtl w:val="0"/>
            </w:rPr>
            <w:br w:type="textWrapping"/>
          </w:r>
          <w:r w:rsidDel="00000000" w:rsidR="00000000" w:rsidRPr="00000000">
            <w:rPr>
              <w:rFonts w:ascii="Arial" w:cs="Arial" w:eastAsia="Arial" w:hAnsi="Arial"/>
              <w:color w:val="000000"/>
              <w:sz w:val="20"/>
              <w:szCs w:val="20"/>
              <w:rtl w:val="0"/>
            </w:rPr>
            <w:t xml:space="preserve">1801 Panorama Drive | Bakersfield, CA 93305 | www.bakersfieldcollege.edu/bcsga | 661.395.4614</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4"/>
        <w:szCs w:val="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rPr>
          <w:sz w:val="20"/>
          <w:szCs w:val="20"/>
        </w:rPr>
      </w:pPr>
      <w:r w:rsidDel="00000000" w:rsidR="00000000" w:rsidRPr="00000000">
        <w:rPr>
          <w:rStyle w:val="FootnoteReference"/>
          <w:vertAlign w:val="superscript"/>
        </w:rPr>
        <w:footnoteRef/>
      </w:r>
      <w:r w:rsidDel="00000000" w:rsidR="00000000" w:rsidRPr="00000000">
        <w:rPr>
          <w:color w:val="0a0a0a"/>
          <w:sz w:val="20"/>
          <w:szCs w:val="20"/>
          <w:rtl w:val="0"/>
        </w:rPr>
        <w:t xml:space="preserve"> “Cal. Code Regs. Tit. 5, § 51201 - Statement on Diversity, Equity, and Inclusion in the California Community Colleges,” Cornell Law School Legal Information Institute, accessed February 19, 2022, </w:t>
      </w:r>
      <w:hyperlink r:id="rId1">
        <w:r w:rsidDel="00000000" w:rsidR="00000000" w:rsidRPr="00000000">
          <w:rPr>
            <w:color w:val="1155cc"/>
            <w:sz w:val="20"/>
            <w:szCs w:val="20"/>
            <w:u w:val="single"/>
            <w:rtl w:val="0"/>
          </w:rPr>
          <w:t xml:space="preserve">https://www.law.cornell.edu/regulations/california/5-CCR-Sec-51201</w:t>
        </w:r>
      </w:hyperlink>
      <w:r w:rsidDel="00000000" w:rsidR="00000000" w:rsidRPr="00000000">
        <w:rPr>
          <w:sz w:val="20"/>
          <w:szCs w:val="20"/>
          <w:rtl w:val="0"/>
        </w:rPr>
        <w:t xml:space="preserve">.</w:t>
      </w:r>
    </w:p>
  </w:footnote>
  <w:footnote w:id="1">
    <w:p w:rsidR="00000000" w:rsidDel="00000000" w:rsidP="00000000" w:rsidRDefault="00000000" w:rsidRPr="00000000" w14:paraId="0000002A">
      <w:pPr>
        <w:rPr>
          <w:color w:val="0a0a0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a0a0a"/>
          <w:sz w:val="20"/>
          <w:szCs w:val="20"/>
          <w:rtl w:val="0"/>
        </w:rPr>
        <w:t xml:space="preserve">“Anti-Racism Student Plan of Action,” Student Senate for California Community Colleges, accessed February 19, 2022, </w:t>
      </w:r>
      <w:hyperlink r:id="rId2">
        <w:r w:rsidDel="00000000" w:rsidR="00000000" w:rsidRPr="00000000">
          <w:rPr>
            <w:color w:val="1155cc"/>
            <w:sz w:val="20"/>
            <w:szCs w:val="20"/>
            <w:u w:val="single"/>
            <w:rtl w:val="0"/>
          </w:rPr>
          <w:t xml:space="preserve">https://ssccc.org/news-events/newsroom/newsroom.html/article/2020/09/06/ssccc-anti-racism-a-student-plan-of-action</w:t>
        </w:r>
      </w:hyperlink>
      <w:r w:rsidDel="00000000" w:rsidR="00000000" w:rsidRPr="00000000">
        <w:rPr>
          <w:color w:val="0a0a0a"/>
          <w:sz w:val="20"/>
          <w:szCs w:val="20"/>
          <w:rtl w:val="0"/>
        </w:rPr>
        <w:t xml:space="preserve">.</w:t>
      </w:r>
    </w:p>
  </w:footnote>
  <w:footnote w:id="2">
    <w:p w:rsidR="00000000" w:rsidDel="00000000" w:rsidP="00000000" w:rsidRDefault="00000000" w:rsidRPr="00000000" w14:paraId="0000002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“Inclusivity Statement,” Academic Senate for California Community College, accessed February 19, 2022, </w:t>
      </w:r>
      <w:hyperlink r:id="rId3">
        <w:r w:rsidDel="00000000" w:rsidR="00000000" w:rsidRPr="00000000">
          <w:rPr>
            <w:color w:val="1155cc"/>
            <w:sz w:val="20"/>
            <w:szCs w:val="20"/>
            <w:u w:val="single"/>
            <w:rtl w:val="0"/>
          </w:rPr>
          <w:t xml:space="preserve">https://www.asccc.org/inclusivity-statement</w:t>
        </w:r>
      </w:hyperlink>
      <w:r w:rsidDel="00000000" w:rsidR="00000000" w:rsidRPr="00000000">
        <w:rPr>
          <w:sz w:val="20"/>
          <w:szCs w:val="20"/>
          <w:rtl w:val="0"/>
        </w:rPr>
        <w:t xml:space="preserve">.</w:t>
      </w:r>
    </w:p>
    <w:p w:rsidR="00000000" w:rsidDel="00000000" w:rsidP="00000000" w:rsidRDefault="00000000" w:rsidRPr="00000000" w14:paraId="0000002C">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i w:val="1"/>
        <w:color w:val="000000"/>
      </w:rPr>
    </w:pPr>
    <w:r w:rsidDel="00000000" w:rsidR="00000000" w:rsidRPr="00000000">
      <w:rPr>
        <w:rtl w:val="0"/>
      </w:rPr>
    </w:r>
  </w:p>
  <w:tbl>
    <w:tblPr>
      <w:tblStyle w:val="Table1"/>
      <w:tblW w:w="9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38"/>
      <w:gridCol w:w="990"/>
      <w:tblGridChange w:id="0">
        <w:tblGrid>
          <w:gridCol w:w="8838"/>
          <w:gridCol w:w="990"/>
        </w:tblGrid>
      </w:tblGridChange>
    </w:tblGrid>
    <w:tr>
      <w:trPr>
        <w:cantSplit w:val="0"/>
        <w:tblHeader w:val="0"/>
      </w:trPr>
      <w:tc>
        <w:tcPr/>
        <w:p w:rsidR="00000000" w:rsidDel="00000000" w:rsidP="00000000" w:rsidRDefault="00000000" w:rsidRPr="00000000" w14:paraId="0000002E">
          <w:pPr>
            <w:tabs>
              <w:tab w:val="left" w:pos="416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tabs>
              <w:tab w:val="left" w:pos="4160"/>
            </w:tabs>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tabs>
              <w:tab w:val="left" w:pos="416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tabs>
              <w:tab w:val="left" w:pos="4160"/>
            </w:tabs>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1290320" cy="147955"/>
                    <wp:effectExtent b="0" l="0" r="0" t="0"/>
                    <wp:docPr id="9" name=""/>
                    <a:graphic>
                      <a:graphicData uri="http://schemas.microsoft.com/office/word/2010/wordprocessingShape">
                        <wps:wsp>
                          <wps:cNvSpPr/>
                          <wps:cNvPr id="2" name="Shape 2"/>
                          <wps:spPr>
                            <a:xfrm>
                              <a:off x="4719890" y="3725073"/>
                              <a:ext cx="1252220" cy="109855"/>
                            </a:xfrm>
                            <a:prstGeom prst="rect">
                              <a:avLst/>
                            </a:prstGeom>
                            <a:solidFill>
                              <a:srgbClr val="A011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290320" cy="147955"/>
                    <wp:effectExtent b="0" l="0" r="0" t="0"/>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0320" cy="147955"/>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i w:val="1"/>
              <w:color w:val="231f20"/>
              <w:rtl w:val="0"/>
            </w:rPr>
            <w:t xml:space="preserve">Bakersfield College Student Government Association</w:t>
          </w: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ind w:right="-720"/>
      <w:rPr>
        <w:color w:val="000000"/>
        <w:sz w:val="2"/>
        <w:szCs w:val="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5206503</wp:posOffset>
          </wp:positionH>
          <wp:positionV relativeFrom="paragraph">
            <wp:posOffset>-560700</wp:posOffset>
          </wp:positionV>
          <wp:extent cx="730402" cy="2849490"/>
          <wp:effectExtent b="0" l="0" r="0" t="0"/>
          <wp:wrapNone/>
          <wp:docPr id="1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730402" cy="2849490"/>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autoRedefine w:val="1"/>
    <w:uiPriority w:val="1"/>
    <w:qFormat w:val="1"/>
    <w:rsid w:val="00BA0054"/>
    <w:pPr>
      <w:spacing w:after="0" w:line="240" w:lineRule="auto"/>
    </w:pPr>
    <w:rPr>
      <w:rFonts w:ascii="Arial" w:hAnsi="Arial"/>
      <w:color w:val="000000" w:themeColor="text1"/>
    </w:rPr>
  </w:style>
  <w:style w:type="paragraph" w:styleId="Header">
    <w:name w:val="header"/>
    <w:basedOn w:val="Normal"/>
    <w:link w:val="HeaderChar"/>
    <w:uiPriority w:val="99"/>
    <w:unhideWhenUsed w:val="1"/>
    <w:rsid w:val="00077C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7C3D"/>
  </w:style>
  <w:style w:type="paragraph" w:styleId="Footer">
    <w:name w:val="footer"/>
    <w:basedOn w:val="Normal"/>
    <w:link w:val="FooterChar"/>
    <w:uiPriority w:val="99"/>
    <w:unhideWhenUsed w:val="1"/>
    <w:rsid w:val="00077C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7C3D"/>
  </w:style>
  <w:style w:type="paragraph" w:styleId="BalloonText">
    <w:name w:val="Balloon Text"/>
    <w:basedOn w:val="Normal"/>
    <w:link w:val="BalloonTextChar"/>
    <w:uiPriority w:val="99"/>
    <w:semiHidden w:val="1"/>
    <w:unhideWhenUsed w:val="1"/>
    <w:rsid w:val="00077C3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77C3D"/>
    <w:rPr>
      <w:rFonts w:ascii="Tahoma" w:cs="Tahoma" w:hAnsi="Tahoma"/>
      <w:sz w:val="16"/>
      <w:szCs w:val="16"/>
    </w:rPr>
  </w:style>
  <w:style w:type="table" w:styleId="TableGrid">
    <w:name w:val="Table Grid"/>
    <w:basedOn w:val="TableNormal"/>
    <w:uiPriority w:val="59"/>
    <w:rsid w:val="00077C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77C3D"/>
    <w:rPr>
      <w:color w:val="0000ff" w:themeColor="hyperlink"/>
      <w:u w:val="single"/>
    </w:rPr>
  </w:style>
  <w:style w:type="paragraph" w:styleId="ListParagraph">
    <w:name w:val="List Paragraph"/>
    <w:basedOn w:val="Normal"/>
    <w:uiPriority w:val="34"/>
    <w:qFormat w:val="1"/>
    <w:rsid w:val="00F7644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936A73"/>
    <w:pPr>
      <w:spacing w:after="0" w:line="240" w:lineRule="auto"/>
    </w:pPr>
  </w:style>
  <w:style w:type="character" w:styleId="CommentReference">
    <w:name w:val="annotation reference"/>
    <w:basedOn w:val="DefaultParagraphFont"/>
    <w:uiPriority w:val="99"/>
    <w:semiHidden w:val="1"/>
    <w:unhideWhenUsed w:val="1"/>
    <w:rsid w:val="00DB5E7D"/>
    <w:rPr>
      <w:sz w:val="16"/>
      <w:szCs w:val="16"/>
    </w:rPr>
  </w:style>
  <w:style w:type="paragraph" w:styleId="CommentText">
    <w:name w:val="annotation text"/>
    <w:basedOn w:val="Normal"/>
    <w:link w:val="CommentTextChar"/>
    <w:uiPriority w:val="99"/>
    <w:unhideWhenUsed w:val="1"/>
    <w:rsid w:val="00DB5E7D"/>
    <w:pPr>
      <w:spacing w:line="240" w:lineRule="auto"/>
    </w:pPr>
    <w:rPr>
      <w:sz w:val="20"/>
      <w:szCs w:val="20"/>
    </w:rPr>
  </w:style>
  <w:style w:type="character" w:styleId="CommentTextChar" w:customStyle="1">
    <w:name w:val="Comment Text Char"/>
    <w:basedOn w:val="DefaultParagraphFont"/>
    <w:link w:val="CommentText"/>
    <w:uiPriority w:val="99"/>
    <w:rsid w:val="00DB5E7D"/>
    <w:rPr>
      <w:sz w:val="20"/>
      <w:szCs w:val="20"/>
    </w:rPr>
  </w:style>
  <w:style w:type="paragraph" w:styleId="CommentSubject">
    <w:name w:val="annotation subject"/>
    <w:basedOn w:val="CommentText"/>
    <w:next w:val="CommentText"/>
    <w:link w:val="CommentSubjectChar"/>
    <w:uiPriority w:val="99"/>
    <w:semiHidden w:val="1"/>
    <w:unhideWhenUsed w:val="1"/>
    <w:rsid w:val="00DB5E7D"/>
    <w:rPr>
      <w:b w:val="1"/>
      <w:bCs w:val="1"/>
    </w:rPr>
  </w:style>
  <w:style w:type="character" w:styleId="CommentSubjectChar" w:customStyle="1">
    <w:name w:val="Comment Subject Char"/>
    <w:basedOn w:val="CommentTextChar"/>
    <w:link w:val="CommentSubject"/>
    <w:uiPriority w:val="99"/>
    <w:semiHidden w:val="1"/>
    <w:rsid w:val="00DB5E7D"/>
    <w:rPr>
      <w:b w:val="1"/>
      <w:bCs w:val="1"/>
      <w:sz w:val="20"/>
      <w:szCs w:val="20"/>
    </w:rPr>
  </w:style>
  <w:style w:type="paragraph" w:styleId="NormalWeb">
    <w:name w:val="Normal (Web)"/>
    <w:basedOn w:val="Normal"/>
    <w:uiPriority w:val="99"/>
    <w:semiHidden w:val="1"/>
    <w:unhideWhenUsed w:val="1"/>
    <w:rsid w:val="006A1A6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regulations/california/5-CCR-Sec-51201" TargetMode="External"/><Relationship Id="rId2" Type="http://schemas.openxmlformats.org/officeDocument/2006/relationships/hyperlink" Target="https://ssccc.org/news-events/newsroom/newsroom.html/article/2020/09/06/ssccc-anti-racism-a-student-plan-of-action" TargetMode="External"/><Relationship Id="rId3" Type="http://schemas.openxmlformats.org/officeDocument/2006/relationships/hyperlink" Target="https://www.asccc.org/inclusivit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aEM4RgvwfNOAYuB2xzI4vOX+Bw==">AMUW2mV4RIGVGna0FXbAE1IO/iAsINw5mm0b7dIU1+p/QRbWR3YaI3TfLKVjYX0Wu35rgJvUnL6qX32PF4lxv1AxxYvAiybMebKdibqiZaMXYH4WPA0DvImD+cLnDjQKGgDe4gqzhCFM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2022-02-26T19:07:00Z</dcterms:created>
  <dc:creator>Nicky Damania</dc:creator>
</cp:coreProperties>
</file>