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February 9, 2022</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w:t>
            </w:r>
            <w:r w:rsidDel="00000000" w:rsidR="00000000" w:rsidRPr="00000000">
              <w:rPr>
                <w:rFonts w:ascii="Garamond" w:cs="Garamond" w:eastAsia="Garamond" w:hAnsi="Garamond"/>
                <w:b w:val="1"/>
                <w:sz w:val="20"/>
                <w:szCs w:val="20"/>
                <w:rtl w:val="0"/>
              </w:rPr>
              <w:t xml:space="preserve">:30 </w:t>
            </w:r>
            <w:r w:rsidDel="00000000" w:rsidR="00000000" w:rsidRPr="00000000">
              <w:rPr>
                <w:rFonts w:ascii="Garamond" w:cs="Garamond" w:eastAsia="Garamond" w:hAnsi="Garamond"/>
                <w:b w:val="1"/>
                <w:color w:val="000000"/>
                <w:sz w:val="20"/>
                <w:szCs w:val="20"/>
                <w:rtl w:val="0"/>
              </w:rPr>
              <w:t xml:space="preserve">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pPr>
      <w:r w:rsidDel="00000000" w:rsidR="00000000" w:rsidRPr="00000000">
        <w:rPr>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2">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3">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Wednesday, January 26.</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6">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19">
      <w:pPr>
        <w:pStyle w:val="Heading1"/>
        <w:numPr>
          <w:ilvl w:val="0"/>
          <w:numId w:val="2"/>
        </w:numPr>
        <w:ind w:left="810" w:hanging="360"/>
        <w:rPr/>
      </w:pPr>
      <w:r w:rsidDel="00000000" w:rsidR="00000000" w:rsidRPr="00000000">
        <w:rPr>
          <w:rtl w:val="0"/>
        </w:rPr>
        <w:t xml:space="preserve">receipt of correspondence to the senate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Committee Changes</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Recognition of Annalise Johnson from committee appointment </w:t>
      </w:r>
    </w:p>
    <w:p w:rsidR="00000000" w:rsidDel="00000000" w:rsidP="00000000" w:rsidRDefault="00000000" w:rsidRPr="00000000" w14:paraId="0000001D">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A vacancy</w:t>
      </w:r>
      <w:r w:rsidDel="00000000" w:rsidR="00000000" w:rsidRPr="00000000">
        <w:rPr>
          <w:rFonts w:ascii="Garamond" w:cs="Garamond" w:eastAsia="Garamond" w:hAnsi="Garamond"/>
          <w:color w:val="000000"/>
          <w:sz w:val="20"/>
          <w:szCs w:val="20"/>
          <w:rtl w:val="0"/>
        </w:rPr>
        <w:t xml:space="preserve"> on Accreditation &amp; Institutional Quality Committee, appointing Senator Grewal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1F">
      <w:pPr>
        <w:pStyle w:val="Heading1"/>
        <w:numPr>
          <w:ilvl w:val="0"/>
          <w:numId w:val="2"/>
        </w:numPr>
        <w:ind w:left="810" w:hanging="360"/>
        <w:rPr/>
      </w:pPr>
      <w:r w:rsidDel="00000000" w:rsidR="00000000" w:rsidRPr="00000000">
        <w:rPr>
          <w:rtl w:val="0"/>
        </w:rPr>
        <w:t xml:space="preserve">REPORTS OF THE ASSOCIATION</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r w:rsidDel="00000000" w:rsidR="00000000" w:rsidRPr="00000000">
        <w:rPr>
          <w:rtl w:val="0"/>
        </w:rPr>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5">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Office of the President</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Organizations</w:t>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Activities</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Legislative Affairs</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Finance</w:t>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Public Relations </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Elections Commission</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Secretary</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Student Trustee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1">
      <w:pPr>
        <w:pStyle w:val="Heading1"/>
        <w:numPr>
          <w:ilvl w:val="0"/>
          <w:numId w:val="2"/>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Academic Affairs</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Advancement of Bakersfield College</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Government Operations</w:t>
      </w:r>
    </w:p>
    <w:p w:rsidR="00000000" w:rsidDel="00000000" w:rsidP="00000000" w:rsidRDefault="00000000" w:rsidRPr="00000000" w14:paraId="00000036">
      <w:pPr>
        <w:pStyle w:val="Heading1"/>
        <w:numPr>
          <w:ilvl w:val="0"/>
          <w:numId w:val="2"/>
        </w:numPr>
        <w:ind w:left="810" w:hanging="360"/>
        <w:rPr/>
      </w:pPr>
      <w:r w:rsidDel="00000000" w:rsidR="00000000" w:rsidRPr="00000000">
        <w:rPr>
          <w:rtl w:val="0"/>
        </w:rPr>
        <w:t xml:space="preserve">ELECTION OR APPOINTMENTS OF ASSOCIATION OFFICERS</w:t>
      </w:r>
    </w:p>
    <w:p w:rsidR="00000000" w:rsidDel="00000000" w:rsidP="00000000" w:rsidRDefault="00000000" w:rsidRPr="00000000" w14:paraId="00000037">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the Brown Act during consideration of this item. </w:t>
      </w:r>
      <w:r w:rsidDel="00000000" w:rsidR="00000000" w:rsidRPr="00000000">
        <w:rPr>
          <w:rtl w:val="0"/>
        </w:rPr>
        <w:t xml:space="preserve">Under Brown</w:t>
      </w:r>
      <w:r w:rsidDel="00000000" w:rsidR="00000000" w:rsidRPr="00000000">
        <w:rPr>
          <w:rtl w:val="0"/>
        </w:rPr>
        <w:t xml:space="preserve"> Act, the meeting may not be closed. </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Brenda Abad for the position of  BCSGA Legislative Affairs Manager </w:t>
      </w:r>
    </w:p>
    <w:p w:rsidR="00000000" w:rsidDel="00000000" w:rsidP="00000000" w:rsidRDefault="00000000" w:rsidRPr="00000000" w14:paraId="00000039">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A">
      <w:pPr>
        <w:pStyle w:val="Heading1"/>
        <w:numPr>
          <w:ilvl w:val="0"/>
          <w:numId w:val="2"/>
        </w:numPr>
        <w:ind w:left="810" w:hanging="360"/>
        <w:rPr/>
      </w:pPr>
      <w:r w:rsidDel="00000000" w:rsidR="00000000" w:rsidRPr="00000000">
        <w:rPr>
          <w:rtl w:val="0"/>
        </w:rPr>
        <w:t xml:space="preserve">OATH OF OFFICE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3C">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0"/>
          <w:szCs w:val="20"/>
          <w:highlight w:val="white"/>
          <w:rtl w:val="0"/>
        </w:rPr>
        <w:t xml:space="preserve">Administering the Oath of office to Brenda Abad, </w:t>
      </w:r>
      <w:r w:rsidDel="00000000" w:rsidR="00000000" w:rsidRPr="00000000">
        <w:rPr>
          <w:rFonts w:ascii="Garamond" w:cs="Garamond" w:eastAsia="Garamond" w:hAnsi="Garamond"/>
          <w:sz w:val="20"/>
          <w:szCs w:val="20"/>
          <w:rtl w:val="0"/>
        </w:rPr>
        <w:t xml:space="preserve">BCSGA Legislative Affairs Manager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E">
      <w:pPr>
        <w:pStyle w:val="Heading1"/>
        <w:numPr>
          <w:ilvl w:val="0"/>
          <w:numId w:val="2"/>
        </w:numPr>
        <w:ind w:left="810" w:hanging="360"/>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ind w:left="360" w:right="409"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40">
      <w:pPr>
        <w:pStyle w:val="Heading2"/>
        <w:numPr>
          <w:ilvl w:val="1"/>
          <w:numId w:val="1"/>
        </w:numPr>
        <w:spacing w:line="240" w:lineRule="auto"/>
        <w:ind w:left="1440" w:hanging="360"/>
        <w:rPr/>
      </w:pPr>
      <w:r w:rsidDel="00000000" w:rsidR="00000000" w:rsidRPr="00000000">
        <w:rPr>
          <w:rtl w:val="0"/>
        </w:rPr>
        <w:t xml:space="preserve">Academic Senate</w:t>
      </w:r>
    </w:p>
    <w:p w:rsidR="00000000" w:rsidDel="00000000" w:rsidP="00000000" w:rsidRDefault="00000000" w:rsidRPr="00000000" w14:paraId="00000041">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Accreditation &amp; Institutional Quality Committee 2/8</w:t>
      </w:r>
    </w:p>
    <w:p w:rsidR="00000000" w:rsidDel="00000000" w:rsidP="00000000" w:rsidRDefault="00000000" w:rsidRPr="00000000" w14:paraId="00000042">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Assessment Committee 2/4</w:t>
      </w:r>
    </w:p>
    <w:p w:rsidR="00000000" w:rsidDel="00000000" w:rsidP="00000000" w:rsidRDefault="00000000" w:rsidRPr="00000000" w14:paraId="00000043">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Bookstore Committee (contact chair)</w:t>
      </w:r>
    </w:p>
    <w:p w:rsidR="00000000" w:rsidDel="00000000" w:rsidP="00000000" w:rsidRDefault="00000000" w:rsidRPr="00000000" w14:paraId="00000044">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Curriculum Committee (contact chair)</w:t>
      </w:r>
    </w:p>
    <w:p w:rsidR="00000000" w:rsidDel="00000000" w:rsidP="00000000" w:rsidRDefault="00000000" w:rsidRPr="00000000" w14:paraId="00000045">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Equal Opportunity &amp; Diversity Advisory Council (EODAC) 2/22</w:t>
      </w:r>
    </w:p>
    <w:p w:rsidR="00000000" w:rsidDel="00000000" w:rsidP="00000000" w:rsidRDefault="00000000" w:rsidRPr="00000000" w14:paraId="00000046">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Enrollment Committee 2/3</w:t>
      </w:r>
    </w:p>
    <w:p w:rsidR="00000000" w:rsidDel="00000000" w:rsidP="00000000" w:rsidRDefault="00000000" w:rsidRPr="00000000" w14:paraId="00000047">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Facilities &amp; Sustainability Committee 2/2</w:t>
      </w:r>
    </w:p>
    <w:p w:rsidR="00000000" w:rsidDel="00000000" w:rsidP="00000000" w:rsidRDefault="00000000" w:rsidRPr="00000000" w14:paraId="00000048">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Board of Trustees</w:t>
      </w:r>
    </w:p>
    <w:p w:rsidR="00000000" w:rsidDel="00000000" w:rsidP="00000000" w:rsidRDefault="00000000" w:rsidRPr="00000000" w14:paraId="00000049">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Information Services &amp; Instructional Technology (ISIT)</w:t>
      </w:r>
    </w:p>
    <w:p w:rsidR="00000000" w:rsidDel="00000000" w:rsidP="00000000" w:rsidRDefault="00000000" w:rsidRPr="00000000" w14:paraId="0000004A">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Program Review Committee 2/1</w:t>
      </w:r>
    </w:p>
    <w:p w:rsidR="00000000" w:rsidDel="00000000" w:rsidP="00000000" w:rsidRDefault="00000000" w:rsidRPr="00000000" w14:paraId="0000004B">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Professional Development Committee (contact chair)</w:t>
      </w:r>
    </w:p>
    <w:p w:rsidR="00000000" w:rsidDel="00000000" w:rsidP="00000000" w:rsidRDefault="00000000" w:rsidRPr="00000000" w14:paraId="0000004C">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Safety Advisory Committee 2/9 </w:t>
      </w:r>
    </w:p>
    <w:p w:rsidR="00000000" w:rsidDel="00000000" w:rsidP="00000000" w:rsidRDefault="00000000" w:rsidRPr="00000000" w14:paraId="0000004D">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UNFINISHED BUSINESS</w:t>
        <w:br w:type="textWrapping"/>
      </w:r>
      <w:r w:rsidDel="00000000" w:rsidR="00000000" w:rsidRPr="00000000">
        <w:rPr>
          <w:rFonts w:ascii="Garamond" w:cs="Garamond" w:eastAsia="Garamond" w:hAnsi="Garamond"/>
          <w:i w:val="1"/>
          <w:color w:val="000000"/>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Discussion </w:t>
      </w:r>
      <w:r w:rsidDel="00000000" w:rsidR="00000000" w:rsidRPr="00000000">
        <w:rPr>
          <w:rFonts w:ascii="Garamond" w:cs="Garamond" w:eastAsia="Garamond" w:hAnsi="Garamond"/>
          <w:sz w:val="20"/>
          <w:szCs w:val="20"/>
          <w:rtl w:val="0"/>
        </w:rPr>
        <w:t xml:space="preserve">T</w:t>
      </w:r>
      <w:r w:rsidDel="00000000" w:rsidR="00000000" w:rsidRPr="00000000">
        <w:rPr>
          <w:rFonts w:ascii="Garamond" w:cs="Garamond" w:eastAsia="Garamond" w:hAnsi="Garamond"/>
          <w:color w:val="000000"/>
          <w:sz w:val="20"/>
          <w:szCs w:val="20"/>
          <w:rtl w:val="0"/>
        </w:rPr>
        <w:t xml:space="preserve">ownhall</w:t>
      </w:r>
      <w:r w:rsidDel="00000000" w:rsidR="00000000" w:rsidRPr="00000000">
        <w:rPr>
          <w:rFonts w:ascii="Garamond" w:cs="Garamond" w:eastAsia="Garamond" w:hAnsi="Garamond"/>
          <w:color w:val="000000"/>
          <w:sz w:val="20"/>
          <w:szCs w:val="20"/>
          <w:rtl w:val="0"/>
        </w:rPr>
        <w:t xml:space="preserve"> February 22</w:t>
      </w:r>
      <w:r w:rsidDel="00000000" w:rsidR="00000000" w:rsidRPr="00000000">
        <w:rPr>
          <w:rFonts w:ascii="Garamond" w:cs="Garamond" w:eastAsia="Garamond" w:hAnsi="Garamond"/>
          <w:color w:val="000000"/>
          <w:sz w:val="20"/>
          <w:szCs w:val="20"/>
          <w:vertAlign w:val="superscript"/>
          <w:rtl w:val="0"/>
        </w:rPr>
        <w:t xml:space="preserve">nd</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50">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Discussion Women History Month Mural</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color w:val="000000"/>
          <w:sz w:val="20"/>
          <w:szCs w:val="20"/>
          <w:rtl w:val="0"/>
        </w:rPr>
        <w:t xml:space="preserve">March 8</w:t>
      </w:r>
      <w:r w:rsidDel="00000000" w:rsidR="00000000" w:rsidRPr="00000000">
        <w:rPr>
          <w:rFonts w:ascii="Garamond" w:cs="Garamond" w:eastAsia="Garamond" w:hAnsi="Garamond"/>
          <w:color w:val="000000"/>
          <w:sz w:val="20"/>
          <w:szCs w:val="20"/>
          <w:vertAlign w:val="superscript"/>
          <w:rtl w:val="0"/>
        </w:rPr>
        <w:t xml:space="preserve">th</w:t>
      </w:r>
      <w:r w:rsidDel="00000000" w:rsidR="00000000" w:rsidRPr="00000000">
        <w:rPr>
          <w:rtl w:val="0"/>
        </w:rPr>
      </w:r>
    </w:p>
    <w:p w:rsidR="00000000" w:rsidDel="00000000" w:rsidP="00000000" w:rsidRDefault="00000000" w:rsidRPr="00000000" w14:paraId="00000051">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Discussion: Campaigning starts March 3rd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53">
      <w:pPr>
        <w:pStyle w:val="Heading1"/>
        <w:numPr>
          <w:ilvl w:val="0"/>
          <w:numId w:val="2"/>
        </w:numPr>
        <w:ind w:left="810" w:hanging="360"/>
        <w:rPr/>
      </w:pPr>
      <w:bookmarkStart w:colFirst="0" w:colLast="0" w:name="_heading=h.30j0zll" w:id="1"/>
      <w:bookmarkEnd w:id="1"/>
      <w:r w:rsidDel="00000000" w:rsidR="00000000" w:rsidRPr="00000000">
        <w:rPr>
          <w:rtl w:val="0"/>
        </w:rPr>
        <w:t xml:space="preserve">NEW BUSINESS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55">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ACTION: 1</w:t>
      </w:r>
      <w:r w:rsidDel="00000000" w:rsidR="00000000" w:rsidRPr="00000000">
        <w:rPr>
          <w:rFonts w:ascii="Garamond" w:cs="Garamond" w:eastAsia="Garamond" w:hAnsi="Garamond"/>
          <w:sz w:val="20"/>
          <w:szCs w:val="20"/>
          <w:rtl w:val="0"/>
        </w:rPr>
        <w:t xml:space="preserve">0 </w:t>
      </w:r>
      <w:r w:rsidDel="00000000" w:rsidR="00000000" w:rsidRPr="00000000">
        <w:rPr>
          <w:rFonts w:ascii="Garamond" w:cs="Garamond" w:eastAsia="Garamond" w:hAnsi="Garamond"/>
          <w:color w:val="000000"/>
          <w:sz w:val="20"/>
          <w:szCs w:val="20"/>
          <w:rtl w:val="0"/>
        </w:rPr>
        <w:t xml:space="preserve">mins of COBRA reading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57">
      <w:pPr>
        <w:pStyle w:val="Heading1"/>
        <w:numPr>
          <w:ilvl w:val="0"/>
          <w:numId w:val="2"/>
        </w:numPr>
        <w:ind w:left="810" w:hanging="360"/>
        <w:rPr/>
      </w:pPr>
      <w:r w:rsidDel="00000000" w:rsidR="00000000" w:rsidRPr="00000000">
        <w:rPr>
          <w:rtl w:val="0"/>
        </w:rPr>
        <w:t xml:space="preserve">ANNOUNCEMENTS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5A">
      <w:pPr>
        <w:pStyle w:val="Heading1"/>
        <w:numPr>
          <w:ilvl w:val="0"/>
          <w:numId w:val="2"/>
        </w:numPr>
        <w:ind w:left="810" w:hanging="360"/>
        <w:rPr/>
      </w:pPr>
      <w:r w:rsidDel="00000000" w:rsidR="00000000" w:rsidRPr="00000000">
        <w:rPr>
          <w:rtl w:val="0"/>
        </w:rPr>
        <w:t xml:space="preserve">ADJOURNMENT</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A">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13970</wp:posOffset>
          </wp:positionV>
          <wp:extent cx="297815" cy="13163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B">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C">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70">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71">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3">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74">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5">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6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sz w:val="16"/>
              <w:szCs w:val="16"/>
              <w:rtl w:val="0"/>
            </w:rPr>
            <w:t xml:space="preserve">Wednesday, February 9</w:t>
          </w: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6">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3"/>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j0SLlo3xOaERGaNjfeKBlVfA==">AMUW2mUyrGIS6OKN0RVGFtTQ79smL65mkfjkrLFBhUyVf/K1951+S8O5XkFhViVd0Jw1X6Abi+HShmPnyrXilAU8DpmqZfm+BYg0OQryHjl+BZACzyUFEemf+eWa938LMRwgk9CskI9EhChiIlbRiI0IaHY5PSM7kaFWuuqqOG1O1AnWtVj9jJs=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2022-02-04T17:50:00Z</dcterms:created>
  <dc:creator>Image User</dc:creator>
</cp:coreProperties>
</file>